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99F8" w14:textId="6400687C" w:rsidR="007C0837" w:rsidRPr="00B55905" w:rsidRDefault="004353B6" w:rsidP="007C0837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94941808"/>
      <w:r w:rsidRPr="004353B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0837" w:rsidRPr="00B55905">
        <w:rPr>
          <w:rFonts w:ascii="Times New Roman" w:hAnsi="Times New Roman" w:cs="Times New Roman"/>
          <w:sz w:val="24"/>
          <w:szCs w:val="24"/>
        </w:rPr>
        <w:t xml:space="preserve">Diagrams illustrating the </w:t>
      </w:r>
      <w:r w:rsidR="007C0837">
        <w:rPr>
          <w:rFonts w:ascii="Times New Roman" w:hAnsi="Times New Roman" w:cs="Times New Roman"/>
          <w:sz w:val="24"/>
          <w:szCs w:val="24"/>
        </w:rPr>
        <w:t>neuroprotective effect of lithium after noise exposure</w:t>
      </w:r>
      <w:r w:rsidR="007C0837" w:rsidRPr="00B55905">
        <w:rPr>
          <w:rFonts w:ascii="Times New Roman" w:hAnsi="Times New Roman" w:cs="Times New Roman"/>
          <w:sz w:val="24"/>
          <w:szCs w:val="24"/>
        </w:rPr>
        <w:t xml:space="preserve"> in ribbons, NMDA</w:t>
      </w:r>
      <w:r w:rsidR="007C0837">
        <w:rPr>
          <w:rFonts w:ascii="Times New Roman" w:hAnsi="Times New Roman" w:cs="Times New Roman"/>
          <w:sz w:val="24"/>
          <w:szCs w:val="24"/>
        </w:rPr>
        <w:t xml:space="preserve"> receptors</w:t>
      </w:r>
      <w:r w:rsidR="007C0837" w:rsidRPr="00B55905">
        <w:rPr>
          <w:rFonts w:ascii="Times New Roman" w:hAnsi="Times New Roman" w:cs="Times New Roman"/>
          <w:sz w:val="24"/>
          <w:szCs w:val="24"/>
        </w:rPr>
        <w:t>, and AMPA</w:t>
      </w:r>
      <w:r w:rsidR="007C0837">
        <w:rPr>
          <w:rFonts w:ascii="Times New Roman" w:hAnsi="Times New Roman" w:cs="Times New Roman"/>
          <w:sz w:val="24"/>
          <w:szCs w:val="24"/>
        </w:rPr>
        <w:t xml:space="preserve"> receptors</w:t>
      </w:r>
      <w:r w:rsidR="007C0837" w:rsidRPr="00B55905">
        <w:rPr>
          <w:rFonts w:ascii="Times New Roman" w:hAnsi="Times New Roman" w:cs="Times New Roman"/>
          <w:sz w:val="24"/>
          <w:szCs w:val="24"/>
        </w:rPr>
        <w:t xml:space="preserve"> at the IHC-SGN synapse in the </w:t>
      </w:r>
      <w:r w:rsidR="007C0837">
        <w:rPr>
          <w:rFonts w:ascii="Times New Roman" w:hAnsi="Times New Roman" w:cs="Times New Roman"/>
          <w:sz w:val="24"/>
          <w:szCs w:val="24"/>
        </w:rPr>
        <w:t>rat</w:t>
      </w:r>
      <w:r w:rsidR="007C0837" w:rsidRPr="00B55905">
        <w:rPr>
          <w:rFonts w:ascii="Times New Roman" w:hAnsi="Times New Roman" w:cs="Times New Roman"/>
          <w:sz w:val="24"/>
          <w:szCs w:val="24"/>
        </w:rPr>
        <w:t xml:space="preserve"> cochlea. In the normal cochlea, presynaptic ribbons and postsynaptic AMPA</w:t>
      </w:r>
      <w:r w:rsidR="007C0837">
        <w:rPr>
          <w:rFonts w:ascii="Times New Roman" w:hAnsi="Times New Roman" w:cs="Times New Roman"/>
          <w:sz w:val="24"/>
          <w:szCs w:val="24"/>
        </w:rPr>
        <w:t xml:space="preserve"> receptor</w:t>
      </w:r>
      <w:r w:rsidR="007C0837" w:rsidRPr="00B55905">
        <w:rPr>
          <w:rFonts w:ascii="Times New Roman" w:hAnsi="Times New Roman" w:cs="Times New Roman"/>
          <w:sz w:val="24"/>
          <w:szCs w:val="24"/>
        </w:rPr>
        <w:t xml:space="preserve"> show a nearly one-to-one relationship. The ribbon synaptic pairs are distributed around the basal poles of the IHCs. </w:t>
      </w:r>
      <w:r w:rsidR="007C0837">
        <w:rPr>
          <w:rFonts w:ascii="Times New Roman" w:hAnsi="Times New Roman" w:cs="Times New Roman"/>
          <w:sz w:val="24"/>
          <w:szCs w:val="24"/>
        </w:rPr>
        <w:t>T</w:t>
      </w:r>
      <w:r w:rsidR="007C0837" w:rsidRPr="00A03E82">
        <w:rPr>
          <w:rFonts w:ascii="Times New Roman" w:eastAsia="휴먼명조" w:hAnsi="Times New Roman" w:cs="Times New Roman"/>
          <w:sz w:val="24"/>
          <w:szCs w:val="24"/>
        </w:rPr>
        <w:t>he NMDA receptors are blocked at resting potential by Mg</w:t>
      </w:r>
      <w:r w:rsidR="007C0837" w:rsidRPr="00A03E82">
        <w:rPr>
          <w:rFonts w:ascii="Times New Roman" w:eastAsia="휴먼명조" w:hAnsi="Times New Roman" w:cs="Times New Roman"/>
          <w:sz w:val="24"/>
          <w:szCs w:val="24"/>
          <w:vertAlign w:val="superscript"/>
        </w:rPr>
        <w:t>2+</w:t>
      </w:r>
      <w:r w:rsidR="007C0837">
        <w:rPr>
          <w:rFonts w:ascii="Times New Roman" w:eastAsia="휴먼명조" w:hAnsi="Times New Roman" w:cs="Times New Roman"/>
          <w:sz w:val="24"/>
          <w:szCs w:val="24"/>
        </w:rPr>
        <w:t>, but they</w:t>
      </w:r>
      <w:r w:rsidR="007C0837" w:rsidRPr="00A03E82">
        <w:rPr>
          <w:rFonts w:ascii="Times New Roman" w:eastAsia="휴먼명조" w:hAnsi="Times New Roman" w:cs="Times New Roman"/>
          <w:sz w:val="24"/>
          <w:szCs w:val="24"/>
        </w:rPr>
        <w:t xml:space="preserve"> are instead activated by excessive neurotransmitter release from IHCs</w:t>
      </w:r>
      <w:r w:rsidR="007C0837">
        <w:rPr>
          <w:rFonts w:ascii="Times New Roman" w:eastAsia="휴먼명조" w:hAnsi="Times New Roman" w:cs="Times New Roman"/>
          <w:sz w:val="24"/>
          <w:szCs w:val="24"/>
        </w:rPr>
        <w:t xml:space="preserve"> after noise overexposure. NMDA receptors permit calcium influx and modulates the </w:t>
      </w:r>
      <w:r w:rsidR="007C0837" w:rsidRPr="00A03E82">
        <w:rPr>
          <w:rFonts w:ascii="Times New Roman" w:eastAsia="휴먼명조" w:hAnsi="Times New Roman" w:cs="Times New Roman"/>
          <w:sz w:val="24"/>
          <w:szCs w:val="24"/>
        </w:rPr>
        <w:t>post-synaptic rearrangement of AMPA receptors</w:t>
      </w:r>
      <w:r w:rsidR="007C0837">
        <w:rPr>
          <w:rFonts w:ascii="Times New Roman" w:eastAsia="휴먼명조" w:hAnsi="Times New Roman" w:cs="Times New Roman"/>
          <w:sz w:val="24"/>
          <w:szCs w:val="24"/>
        </w:rPr>
        <w:t xml:space="preserve">. Lithium treatment protects glutamate-induced excitotoxicity by reducing NMDA receptor-mediated calcium influx. NMDA; </w:t>
      </w:r>
      <w:r w:rsidR="007C0837" w:rsidRPr="00A03E82">
        <w:rPr>
          <w:rFonts w:ascii="Times New Roman" w:eastAsia="휴먼명조" w:hAnsi="Times New Roman" w:cs="Times New Roman"/>
          <w:i/>
          <w:iCs/>
          <w:sz w:val="24"/>
          <w:szCs w:val="24"/>
        </w:rPr>
        <w:t>N</w:t>
      </w:r>
      <w:r w:rsidR="007C0837" w:rsidRPr="00A03E82">
        <w:rPr>
          <w:rFonts w:ascii="Times New Roman" w:eastAsia="휴먼명조" w:hAnsi="Times New Roman" w:cs="Times New Roman"/>
          <w:sz w:val="24"/>
          <w:szCs w:val="24"/>
        </w:rPr>
        <w:t>-methyl-D-aspartate</w:t>
      </w:r>
      <w:r w:rsidR="007C0837">
        <w:rPr>
          <w:rFonts w:ascii="Times New Roman" w:eastAsia="휴먼명조" w:hAnsi="Times New Roman" w:cs="Times New Roman"/>
          <w:sz w:val="24"/>
          <w:szCs w:val="24"/>
        </w:rPr>
        <w:t xml:space="preserve">, AMPA; </w:t>
      </w:r>
      <w:r w:rsidR="007C0837" w:rsidRPr="00A03E82">
        <w:rPr>
          <w:rFonts w:ascii="Times New Roman" w:eastAsia="휴먼명조" w:hAnsi="Times New Roman" w:cs="Times New Roman"/>
          <w:sz w:val="24"/>
          <w:szCs w:val="24"/>
        </w:rPr>
        <w:t>α-amino-3-hydroxy-5-methylisoxazole-4-propionic acid</w:t>
      </w:r>
      <w:r w:rsidR="007C0837">
        <w:rPr>
          <w:rFonts w:ascii="Times New Roman" w:eastAsia="휴먼명조" w:hAnsi="Times New Roman" w:cs="Times New Roman"/>
          <w:sz w:val="24"/>
          <w:szCs w:val="24"/>
        </w:rPr>
        <w:t xml:space="preserve">, </w:t>
      </w:r>
      <w:r w:rsidR="007C0837" w:rsidRPr="00B55905">
        <w:rPr>
          <w:rFonts w:ascii="Times New Roman" w:hAnsi="Times New Roman" w:cs="Times New Roman"/>
          <w:sz w:val="24"/>
          <w:szCs w:val="24"/>
        </w:rPr>
        <w:t>IHC: inner hair cell; SGN: spiral ganglion neuron</w:t>
      </w:r>
    </w:p>
    <w:bookmarkEnd w:id="0"/>
    <w:p w14:paraId="2BCFBA21" w14:textId="77777777" w:rsidR="000452BD" w:rsidRPr="007C0837" w:rsidRDefault="000452BD"/>
    <w:sectPr w:rsidR="000452BD" w:rsidRPr="007C08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37"/>
    <w:rsid w:val="000452BD"/>
    <w:rsid w:val="004353B6"/>
    <w:rsid w:val="007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D0348"/>
  <w15:chartTrackingRefBased/>
  <w15:docId w15:val="{8A893B3B-95AA-40C8-BD41-5C90FC37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83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Jieun</dc:creator>
  <cp:keywords/>
  <dc:description/>
  <cp:lastModifiedBy>Choi Jieun</cp:lastModifiedBy>
  <cp:revision>2</cp:revision>
  <dcterms:created xsi:type="dcterms:W3CDTF">2022-06-01T00:46:00Z</dcterms:created>
  <dcterms:modified xsi:type="dcterms:W3CDTF">2022-06-01T00:46:00Z</dcterms:modified>
</cp:coreProperties>
</file>