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09ACFA" w14:textId="3B888C1C" w:rsidR="00C66EE6" w:rsidRPr="00C66EE6" w:rsidRDefault="00C66EE6" w:rsidP="00C66EE6">
      <w:pPr>
        <w:spacing w:line="480" w:lineRule="auto"/>
        <w:jc w:val="center"/>
        <w:rPr>
          <w:rFonts w:ascii="Arial" w:hAnsi="Arial" w:cs="Arial"/>
          <w:b/>
          <w:sz w:val="24"/>
          <w:szCs w:val="24"/>
        </w:rPr>
      </w:pPr>
      <w:r w:rsidRPr="00C66EE6">
        <w:rPr>
          <w:rFonts w:ascii="Arial" w:hAnsi="Arial" w:cs="Arial"/>
          <w:b/>
          <w:sz w:val="24"/>
          <w:szCs w:val="24"/>
        </w:rPr>
        <w:t>Supplemental material</w:t>
      </w:r>
    </w:p>
    <w:p w14:paraId="1E6A1578" w14:textId="3114721A" w:rsidR="00BD20A1" w:rsidRPr="006D743D" w:rsidRDefault="00BD20A1" w:rsidP="006F4C29">
      <w:pPr>
        <w:spacing w:line="480" w:lineRule="auto"/>
        <w:jc w:val="left"/>
        <w:rPr>
          <w:rFonts w:ascii="Arial" w:hAnsi="Arial" w:cs="Arial"/>
          <w:sz w:val="24"/>
          <w:szCs w:val="24"/>
        </w:rPr>
      </w:pPr>
      <w:r w:rsidRPr="00CC44F4">
        <w:rPr>
          <w:rFonts w:ascii="Arial" w:hAnsi="Arial" w:cs="Arial"/>
          <w:sz w:val="24"/>
          <w:szCs w:val="24"/>
        </w:rPr>
        <w:t>Supplemental table 1</w:t>
      </w:r>
      <w:r w:rsidR="00AC27B0">
        <w:rPr>
          <w:rFonts w:ascii="Arial" w:hAnsi="Arial" w:cs="Arial"/>
          <w:sz w:val="24"/>
          <w:szCs w:val="24"/>
        </w:rPr>
        <w:t xml:space="preserve"> The </w:t>
      </w:r>
      <w:r w:rsidR="00AC27B0" w:rsidRPr="00AC27B0">
        <w:rPr>
          <w:rFonts w:ascii="Arial" w:hAnsi="Arial" w:cs="Arial"/>
          <w:sz w:val="24"/>
          <w:szCs w:val="24"/>
        </w:rPr>
        <w:t>Details of antibodies used in the study</w:t>
      </w:r>
    </w:p>
    <w:tbl>
      <w:tblPr>
        <w:tblStyle w:val="a5"/>
        <w:tblW w:w="8500" w:type="dxa"/>
        <w:jc w:val="center"/>
        <w:tblLayout w:type="fixed"/>
        <w:tblLook w:val="04A0" w:firstRow="1" w:lastRow="0" w:firstColumn="1" w:lastColumn="0" w:noHBand="0" w:noVBand="1"/>
      </w:tblPr>
      <w:tblGrid>
        <w:gridCol w:w="3411"/>
        <w:gridCol w:w="3530"/>
        <w:gridCol w:w="1559"/>
      </w:tblGrid>
      <w:tr w:rsidR="00BD20A1" w:rsidRPr="006D743D" w14:paraId="55822F66" w14:textId="77777777" w:rsidTr="00AC27B0">
        <w:trPr>
          <w:trHeight w:hRule="exact" w:val="680"/>
          <w:jc w:val="center"/>
        </w:trPr>
        <w:tc>
          <w:tcPr>
            <w:tcW w:w="3411" w:type="dxa"/>
            <w:shd w:val="clear" w:color="auto" w:fill="D9D9D9" w:themeFill="background1" w:themeFillShade="D9"/>
            <w:vAlign w:val="center"/>
          </w:tcPr>
          <w:p w14:paraId="66C65157"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Antibodies (use, dilution)</w:t>
            </w:r>
          </w:p>
        </w:tc>
        <w:tc>
          <w:tcPr>
            <w:tcW w:w="3530" w:type="dxa"/>
            <w:shd w:val="clear" w:color="auto" w:fill="D9D9D9" w:themeFill="background1" w:themeFillShade="D9"/>
            <w:vAlign w:val="center"/>
          </w:tcPr>
          <w:p w14:paraId="612B7203"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Source</w:t>
            </w:r>
          </w:p>
        </w:tc>
        <w:tc>
          <w:tcPr>
            <w:tcW w:w="1559" w:type="dxa"/>
            <w:shd w:val="clear" w:color="auto" w:fill="D9D9D9" w:themeFill="background1" w:themeFillShade="D9"/>
            <w:vAlign w:val="center"/>
          </w:tcPr>
          <w:p w14:paraId="5AC1BD26"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Catalog no.</w:t>
            </w:r>
          </w:p>
        </w:tc>
      </w:tr>
      <w:tr w:rsidR="00BD20A1" w:rsidRPr="006D743D" w14:paraId="61F7A885" w14:textId="77777777" w:rsidTr="00AC27B0">
        <w:trPr>
          <w:trHeight w:hRule="exact" w:val="680"/>
          <w:jc w:val="center"/>
        </w:trPr>
        <w:tc>
          <w:tcPr>
            <w:tcW w:w="3411" w:type="dxa"/>
            <w:vAlign w:val="center"/>
          </w:tcPr>
          <w:p w14:paraId="7E6138AA"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GAPDH (WB, 1:3000)</w:t>
            </w:r>
          </w:p>
        </w:tc>
        <w:tc>
          <w:tcPr>
            <w:tcW w:w="3530" w:type="dxa"/>
            <w:vAlign w:val="center"/>
          </w:tcPr>
          <w:p w14:paraId="72C7BF13"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Beyotime Biotechnology, Shanghai</w:t>
            </w:r>
            <w:r>
              <w:rPr>
                <w:rFonts w:ascii="Arial" w:hAnsi="Arial" w:cs="Arial" w:hint="eastAsia"/>
                <w:sz w:val="24"/>
                <w:szCs w:val="24"/>
              </w:rPr>
              <w:t>,</w:t>
            </w:r>
            <w:r>
              <w:rPr>
                <w:rFonts w:ascii="Arial" w:hAnsi="Arial" w:cs="Arial"/>
                <w:sz w:val="24"/>
                <w:szCs w:val="24"/>
              </w:rPr>
              <w:t xml:space="preserve"> China</w:t>
            </w:r>
          </w:p>
        </w:tc>
        <w:tc>
          <w:tcPr>
            <w:tcW w:w="1559" w:type="dxa"/>
            <w:vAlign w:val="center"/>
          </w:tcPr>
          <w:p w14:paraId="73FA3CB4"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AF1186</w:t>
            </w:r>
          </w:p>
        </w:tc>
      </w:tr>
      <w:tr w:rsidR="00BD20A1" w:rsidRPr="006D743D" w14:paraId="02A86CA5" w14:textId="77777777" w:rsidTr="00AC27B0">
        <w:trPr>
          <w:trHeight w:hRule="exact" w:val="680"/>
          <w:jc w:val="center"/>
        </w:trPr>
        <w:tc>
          <w:tcPr>
            <w:tcW w:w="3411" w:type="dxa"/>
            <w:vAlign w:val="center"/>
          </w:tcPr>
          <w:p w14:paraId="7508DC24" w14:textId="77777777" w:rsidR="00BD20A1" w:rsidRPr="00C67646" w:rsidRDefault="00BD20A1" w:rsidP="006F4C29">
            <w:pPr>
              <w:jc w:val="left"/>
              <w:rPr>
                <w:rFonts w:ascii="Arial" w:hAnsi="Arial" w:cs="Arial"/>
                <w:sz w:val="24"/>
                <w:szCs w:val="24"/>
              </w:rPr>
            </w:pPr>
            <w:r w:rsidRPr="00C67646">
              <w:rPr>
                <w:rFonts w:ascii="Arial" w:hAnsi="Arial" w:cs="Arial"/>
                <w:sz w:val="24"/>
                <w:szCs w:val="24"/>
              </w:rPr>
              <w:t>β-actin</w:t>
            </w:r>
            <w:r>
              <w:rPr>
                <w:rFonts w:ascii="Arial" w:hAnsi="Arial" w:cs="Arial"/>
                <w:sz w:val="24"/>
                <w:szCs w:val="24"/>
              </w:rPr>
              <w:t xml:space="preserve"> </w:t>
            </w:r>
            <w:r w:rsidRPr="006D743D">
              <w:rPr>
                <w:rFonts w:ascii="Arial" w:hAnsi="Arial" w:cs="Arial"/>
                <w:sz w:val="24"/>
                <w:szCs w:val="24"/>
              </w:rPr>
              <w:t xml:space="preserve">(WB, </w:t>
            </w:r>
            <w:r>
              <w:rPr>
                <w:rFonts w:ascii="Arial" w:hAnsi="Arial" w:cs="Arial"/>
                <w:sz w:val="24"/>
                <w:szCs w:val="24"/>
              </w:rPr>
              <w:t>1:4</w:t>
            </w:r>
            <w:r w:rsidRPr="006D743D">
              <w:rPr>
                <w:rFonts w:ascii="Arial" w:hAnsi="Arial" w:cs="Arial"/>
                <w:sz w:val="24"/>
                <w:szCs w:val="24"/>
              </w:rPr>
              <w:t>000)</w:t>
            </w:r>
          </w:p>
        </w:tc>
        <w:tc>
          <w:tcPr>
            <w:tcW w:w="3530" w:type="dxa"/>
            <w:vAlign w:val="center"/>
          </w:tcPr>
          <w:p w14:paraId="6FF24B82"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Beyotime Biotechnology, Shanghai</w:t>
            </w:r>
            <w:r>
              <w:rPr>
                <w:rFonts w:ascii="Arial" w:hAnsi="Arial" w:cs="Arial" w:hint="eastAsia"/>
                <w:sz w:val="24"/>
                <w:szCs w:val="24"/>
              </w:rPr>
              <w:t>,</w:t>
            </w:r>
            <w:r>
              <w:rPr>
                <w:rFonts w:ascii="Arial" w:hAnsi="Arial" w:cs="Arial"/>
                <w:sz w:val="24"/>
                <w:szCs w:val="24"/>
              </w:rPr>
              <w:t xml:space="preserve"> China</w:t>
            </w:r>
          </w:p>
        </w:tc>
        <w:tc>
          <w:tcPr>
            <w:tcW w:w="1559" w:type="dxa"/>
            <w:vAlign w:val="center"/>
          </w:tcPr>
          <w:p w14:paraId="3D47B2F0" w14:textId="77777777" w:rsidR="00BD20A1" w:rsidRPr="006D743D" w:rsidRDefault="00BD20A1" w:rsidP="006F4C29">
            <w:pPr>
              <w:jc w:val="left"/>
              <w:rPr>
                <w:rFonts w:ascii="Arial" w:hAnsi="Arial" w:cs="Arial"/>
                <w:sz w:val="24"/>
                <w:szCs w:val="24"/>
              </w:rPr>
            </w:pPr>
            <w:r>
              <w:rPr>
                <w:rFonts w:ascii="Arial" w:hAnsi="Arial" w:cs="Arial"/>
                <w:sz w:val="24"/>
                <w:szCs w:val="24"/>
              </w:rPr>
              <w:t>AF5001</w:t>
            </w:r>
          </w:p>
        </w:tc>
      </w:tr>
      <w:tr w:rsidR="00BD20A1" w:rsidRPr="006D743D" w14:paraId="2C9181DD" w14:textId="77777777" w:rsidTr="00AC27B0">
        <w:trPr>
          <w:trHeight w:hRule="exact" w:val="680"/>
          <w:jc w:val="center"/>
        </w:trPr>
        <w:tc>
          <w:tcPr>
            <w:tcW w:w="3411" w:type="dxa"/>
            <w:vAlign w:val="center"/>
          </w:tcPr>
          <w:p w14:paraId="125CA60C"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UGCG (WB, 1:1000)</w:t>
            </w:r>
          </w:p>
        </w:tc>
        <w:tc>
          <w:tcPr>
            <w:tcW w:w="3530" w:type="dxa"/>
            <w:vAlign w:val="center"/>
          </w:tcPr>
          <w:p w14:paraId="075AE55E"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BOSTER Biological Technology, Wuhan</w:t>
            </w:r>
            <w:r>
              <w:rPr>
                <w:rFonts w:ascii="Arial" w:hAnsi="Arial" w:cs="Arial"/>
                <w:sz w:val="24"/>
                <w:szCs w:val="24"/>
              </w:rPr>
              <w:t>, China</w:t>
            </w:r>
          </w:p>
        </w:tc>
        <w:tc>
          <w:tcPr>
            <w:tcW w:w="1559" w:type="dxa"/>
            <w:vAlign w:val="center"/>
          </w:tcPr>
          <w:p w14:paraId="451E0ACF"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BA2382</w:t>
            </w:r>
          </w:p>
        </w:tc>
      </w:tr>
      <w:tr w:rsidR="00BD20A1" w:rsidRPr="006D743D" w14:paraId="5607831A" w14:textId="77777777" w:rsidTr="00AC27B0">
        <w:trPr>
          <w:trHeight w:hRule="exact" w:val="680"/>
          <w:jc w:val="center"/>
        </w:trPr>
        <w:tc>
          <w:tcPr>
            <w:tcW w:w="3411" w:type="dxa"/>
            <w:vAlign w:val="center"/>
          </w:tcPr>
          <w:p w14:paraId="652FCCE1" w14:textId="77777777" w:rsidR="00BD20A1" w:rsidRDefault="00BD20A1" w:rsidP="006F4C29">
            <w:pPr>
              <w:jc w:val="left"/>
              <w:rPr>
                <w:rFonts w:ascii="Arial" w:hAnsi="Arial" w:cs="Arial"/>
                <w:sz w:val="24"/>
                <w:szCs w:val="24"/>
              </w:rPr>
            </w:pPr>
            <w:r w:rsidRPr="006D743D">
              <w:rPr>
                <w:rFonts w:ascii="Arial" w:hAnsi="Arial" w:cs="Arial"/>
                <w:sz w:val="24"/>
                <w:szCs w:val="24"/>
              </w:rPr>
              <w:t>Cleaved caspase-3</w:t>
            </w:r>
            <w:r>
              <w:rPr>
                <w:rFonts w:ascii="Arial" w:hAnsi="Arial" w:cs="Arial" w:hint="eastAsia"/>
                <w:sz w:val="24"/>
                <w:szCs w:val="24"/>
              </w:rPr>
              <w:t xml:space="preserve"> </w:t>
            </w:r>
          </w:p>
          <w:p w14:paraId="75D3CC85"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(WB, 1:1000)</w:t>
            </w:r>
          </w:p>
        </w:tc>
        <w:tc>
          <w:tcPr>
            <w:tcW w:w="3530" w:type="dxa"/>
            <w:vAlign w:val="center"/>
          </w:tcPr>
          <w:p w14:paraId="595A0306"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Cell Signaling Technology, Boston</w:t>
            </w:r>
            <w:r>
              <w:rPr>
                <w:rFonts w:ascii="Arial" w:hAnsi="Arial" w:cs="Arial"/>
                <w:sz w:val="24"/>
                <w:szCs w:val="24"/>
              </w:rPr>
              <w:t>, USA</w:t>
            </w:r>
          </w:p>
        </w:tc>
        <w:tc>
          <w:tcPr>
            <w:tcW w:w="1559" w:type="dxa"/>
            <w:vAlign w:val="center"/>
          </w:tcPr>
          <w:p w14:paraId="6D32EEFE"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#9664</w:t>
            </w:r>
          </w:p>
        </w:tc>
      </w:tr>
      <w:tr w:rsidR="00BD20A1" w:rsidRPr="006D743D" w14:paraId="3C2CB2D8" w14:textId="77777777" w:rsidTr="00AC27B0">
        <w:trPr>
          <w:trHeight w:hRule="exact" w:val="680"/>
          <w:jc w:val="center"/>
        </w:trPr>
        <w:tc>
          <w:tcPr>
            <w:tcW w:w="3411" w:type="dxa"/>
            <w:vAlign w:val="center"/>
          </w:tcPr>
          <w:p w14:paraId="793D6DF5"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Cleaved PARP1 (WB, 1:1000)</w:t>
            </w:r>
          </w:p>
        </w:tc>
        <w:tc>
          <w:tcPr>
            <w:tcW w:w="3530" w:type="dxa"/>
            <w:vAlign w:val="center"/>
          </w:tcPr>
          <w:p w14:paraId="44B05753" w14:textId="77777777" w:rsidR="00BD20A1" w:rsidRPr="006D743D" w:rsidRDefault="00BD20A1" w:rsidP="006F4C29">
            <w:pPr>
              <w:jc w:val="left"/>
              <w:rPr>
                <w:rFonts w:ascii="Arial" w:hAnsi="Arial" w:cs="Arial"/>
                <w:sz w:val="24"/>
                <w:szCs w:val="24"/>
              </w:rPr>
            </w:pPr>
            <w:r w:rsidRPr="00D77E5F">
              <w:rPr>
                <w:rFonts w:ascii="Arial" w:hAnsi="Arial" w:cs="Arial"/>
                <w:sz w:val="24"/>
                <w:szCs w:val="24"/>
              </w:rPr>
              <w:t>Abcam, Cambridge</w:t>
            </w:r>
            <w:r>
              <w:rPr>
                <w:rFonts w:ascii="Arial" w:hAnsi="Arial" w:cs="Arial"/>
                <w:sz w:val="24"/>
                <w:szCs w:val="24"/>
              </w:rPr>
              <w:t>, UK</w:t>
            </w:r>
          </w:p>
        </w:tc>
        <w:tc>
          <w:tcPr>
            <w:tcW w:w="1559" w:type="dxa"/>
            <w:vAlign w:val="center"/>
          </w:tcPr>
          <w:p w14:paraId="3C12E6CA" w14:textId="77777777" w:rsidR="00BD20A1" w:rsidRPr="006D743D" w:rsidRDefault="00BD20A1" w:rsidP="006F4C29">
            <w:pPr>
              <w:jc w:val="left"/>
              <w:rPr>
                <w:rFonts w:ascii="Arial" w:hAnsi="Arial" w:cs="Arial"/>
                <w:sz w:val="24"/>
                <w:szCs w:val="24"/>
              </w:rPr>
            </w:pPr>
            <w:r w:rsidRPr="00D77E5F">
              <w:rPr>
                <w:rFonts w:ascii="Arial" w:hAnsi="Arial" w:cs="Arial"/>
                <w:sz w:val="24"/>
                <w:szCs w:val="24"/>
              </w:rPr>
              <w:t>ab32064</w:t>
            </w:r>
          </w:p>
        </w:tc>
      </w:tr>
      <w:tr w:rsidR="00BD20A1" w:rsidRPr="006D743D" w14:paraId="473EC1E8" w14:textId="77777777" w:rsidTr="00AC27B0">
        <w:trPr>
          <w:trHeight w:hRule="exact" w:val="680"/>
          <w:jc w:val="center"/>
        </w:trPr>
        <w:tc>
          <w:tcPr>
            <w:tcW w:w="3411" w:type="dxa"/>
            <w:vAlign w:val="center"/>
          </w:tcPr>
          <w:p w14:paraId="19D5CBAF" w14:textId="77777777" w:rsidR="00BD20A1" w:rsidRPr="006D743D" w:rsidRDefault="00BD20A1" w:rsidP="006F4C29">
            <w:pPr>
              <w:jc w:val="left"/>
              <w:rPr>
                <w:rFonts w:ascii="Arial" w:hAnsi="Arial" w:cs="Arial"/>
                <w:sz w:val="24"/>
                <w:szCs w:val="24"/>
              </w:rPr>
            </w:pPr>
            <w:r>
              <w:rPr>
                <w:rFonts w:ascii="Arial" w:hAnsi="Arial" w:cs="Arial" w:hint="eastAsia"/>
                <w:sz w:val="24"/>
                <w:szCs w:val="24"/>
              </w:rPr>
              <w:t>B</w:t>
            </w:r>
            <w:r>
              <w:rPr>
                <w:rFonts w:ascii="Arial" w:hAnsi="Arial" w:cs="Arial"/>
                <w:sz w:val="24"/>
                <w:szCs w:val="24"/>
              </w:rPr>
              <w:t>ax (</w:t>
            </w:r>
            <w:r w:rsidRPr="006D743D">
              <w:rPr>
                <w:rFonts w:ascii="Arial" w:hAnsi="Arial" w:cs="Arial"/>
                <w:sz w:val="24"/>
                <w:szCs w:val="24"/>
              </w:rPr>
              <w:t>WB, 1:1000</w:t>
            </w:r>
            <w:r>
              <w:rPr>
                <w:rFonts w:ascii="Arial" w:hAnsi="Arial" w:cs="Arial"/>
                <w:sz w:val="24"/>
                <w:szCs w:val="24"/>
              </w:rPr>
              <w:t>)</w:t>
            </w:r>
          </w:p>
        </w:tc>
        <w:tc>
          <w:tcPr>
            <w:tcW w:w="3530" w:type="dxa"/>
            <w:vAlign w:val="center"/>
          </w:tcPr>
          <w:p w14:paraId="39F3A96E" w14:textId="77777777" w:rsidR="00BD20A1" w:rsidRPr="00D77E5F" w:rsidRDefault="00BD20A1" w:rsidP="006F4C29">
            <w:pPr>
              <w:jc w:val="left"/>
              <w:rPr>
                <w:rFonts w:ascii="Arial" w:hAnsi="Arial" w:cs="Arial"/>
                <w:sz w:val="24"/>
                <w:szCs w:val="24"/>
              </w:rPr>
            </w:pPr>
            <w:r>
              <w:rPr>
                <w:rFonts w:ascii="Arial" w:hAnsi="Arial" w:cs="Arial" w:hint="eastAsia"/>
                <w:sz w:val="24"/>
                <w:szCs w:val="24"/>
              </w:rPr>
              <w:t>D</w:t>
            </w:r>
            <w:r>
              <w:rPr>
                <w:rFonts w:ascii="Arial" w:hAnsi="Arial" w:cs="Arial"/>
                <w:sz w:val="24"/>
                <w:szCs w:val="24"/>
              </w:rPr>
              <w:t>iagbio, Hangzhou, China</w:t>
            </w:r>
          </w:p>
        </w:tc>
        <w:tc>
          <w:tcPr>
            <w:tcW w:w="1559" w:type="dxa"/>
            <w:vAlign w:val="center"/>
          </w:tcPr>
          <w:p w14:paraId="53B7A4EC" w14:textId="77777777" w:rsidR="00BD20A1" w:rsidRPr="00D77E5F" w:rsidRDefault="00BD20A1" w:rsidP="006F4C29">
            <w:pPr>
              <w:jc w:val="left"/>
              <w:rPr>
                <w:rFonts w:ascii="Arial" w:hAnsi="Arial" w:cs="Arial"/>
                <w:sz w:val="24"/>
                <w:szCs w:val="24"/>
              </w:rPr>
            </w:pPr>
            <w:r w:rsidRPr="00AD717C">
              <w:rPr>
                <w:rFonts w:ascii="Arial" w:hAnsi="Arial" w:cs="Arial"/>
                <w:sz w:val="24"/>
                <w:szCs w:val="24"/>
              </w:rPr>
              <w:t>db819</w:t>
            </w:r>
          </w:p>
        </w:tc>
      </w:tr>
      <w:tr w:rsidR="00BD20A1" w:rsidRPr="006D743D" w14:paraId="3B54201C" w14:textId="77777777" w:rsidTr="00AC27B0">
        <w:trPr>
          <w:trHeight w:hRule="exact" w:val="680"/>
          <w:jc w:val="center"/>
        </w:trPr>
        <w:tc>
          <w:tcPr>
            <w:tcW w:w="3411" w:type="dxa"/>
            <w:vAlign w:val="center"/>
          </w:tcPr>
          <w:p w14:paraId="4DA1C8C2" w14:textId="77777777" w:rsidR="00BD20A1" w:rsidRDefault="00BD20A1" w:rsidP="006F4C29">
            <w:pPr>
              <w:jc w:val="left"/>
              <w:rPr>
                <w:rFonts w:ascii="Arial" w:hAnsi="Arial" w:cs="Arial"/>
                <w:sz w:val="24"/>
                <w:szCs w:val="24"/>
              </w:rPr>
            </w:pPr>
            <w:r>
              <w:rPr>
                <w:rFonts w:ascii="Arial" w:hAnsi="Arial" w:cs="Arial" w:hint="eastAsia"/>
                <w:sz w:val="24"/>
                <w:szCs w:val="24"/>
              </w:rPr>
              <w:t>B</w:t>
            </w:r>
            <w:r>
              <w:rPr>
                <w:rFonts w:ascii="Arial" w:hAnsi="Arial" w:cs="Arial"/>
                <w:sz w:val="24"/>
                <w:szCs w:val="24"/>
              </w:rPr>
              <w:t>cl-2 (</w:t>
            </w:r>
            <w:r w:rsidRPr="006D743D">
              <w:rPr>
                <w:rFonts w:ascii="Arial" w:hAnsi="Arial" w:cs="Arial"/>
                <w:sz w:val="24"/>
                <w:szCs w:val="24"/>
              </w:rPr>
              <w:t>WB, 1:1000</w:t>
            </w:r>
            <w:r>
              <w:rPr>
                <w:rFonts w:ascii="Arial" w:hAnsi="Arial" w:cs="Arial"/>
                <w:sz w:val="24"/>
                <w:szCs w:val="24"/>
              </w:rPr>
              <w:t>)</w:t>
            </w:r>
          </w:p>
        </w:tc>
        <w:tc>
          <w:tcPr>
            <w:tcW w:w="3530" w:type="dxa"/>
            <w:vAlign w:val="center"/>
          </w:tcPr>
          <w:p w14:paraId="529F8E65" w14:textId="77777777" w:rsidR="00BD20A1" w:rsidRDefault="00BD20A1" w:rsidP="006F4C29">
            <w:pPr>
              <w:jc w:val="left"/>
              <w:rPr>
                <w:rFonts w:ascii="Arial" w:hAnsi="Arial" w:cs="Arial"/>
                <w:sz w:val="24"/>
                <w:szCs w:val="24"/>
              </w:rPr>
            </w:pPr>
            <w:r>
              <w:rPr>
                <w:rFonts w:ascii="Arial" w:hAnsi="Arial" w:cs="Arial" w:hint="eastAsia"/>
                <w:sz w:val="24"/>
                <w:szCs w:val="24"/>
              </w:rPr>
              <w:t>D</w:t>
            </w:r>
            <w:r>
              <w:rPr>
                <w:rFonts w:ascii="Arial" w:hAnsi="Arial" w:cs="Arial"/>
                <w:sz w:val="24"/>
                <w:szCs w:val="24"/>
              </w:rPr>
              <w:t>iagbio, Hangzhou, China</w:t>
            </w:r>
          </w:p>
        </w:tc>
        <w:tc>
          <w:tcPr>
            <w:tcW w:w="1559" w:type="dxa"/>
            <w:vAlign w:val="center"/>
          </w:tcPr>
          <w:p w14:paraId="4E26A350" w14:textId="77777777" w:rsidR="00BD20A1" w:rsidRPr="00AD717C" w:rsidRDefault="00BD20A1" w:rsidP="006F4C29">
            <w:pPr>
              <w:jc w:val="left"/>
              <w:rPr>
                <w:rFonts w:ascii="Arial" w:hAnsi="Arial" w:cs="Arial"/>
                <w:sz w:val="24"/>
                <w:szCs w:val="24"/>
              </w:rPr>
            </w:pPr>
            <w:r w:rsidRPr="00AD717C">
              <w:rPr>
                <w:rFonts w:ascii="Arial" w:hAnsi="Arial" w:cs="Arial"/>
                <w:sz w:val="24"/>
                <w:szCs w:val="24"/>
              </w:rPr>
              <w:t>db2374</w:t>
            </w:r>
          </w:p>
        </w:tc>
      </w:tr>
      <w:tr w:rsidR="00BD20A1" w:rsidRPr="006D743D" w14:paraId="049807F5" w14:textId="77777777" w:rsidTr="00AC27B0">
        <w:trPr>
          <w:trHeight w:hRule="exact" w:val="680"/>
          <w:jc w:val="center"/>
        </w:trPr>
        <w:tc>
          <w:tcPr>
            <w:tcW w:w="3411" w:type="dxa"/>
            <w:vAlign w:val="center"/>
          </w:tcPr>
          <w:p w14:paraId="2560A92A" w14:textId="77777777" w:rsidR="00BD20A1" w:rsidRPr="00271D4B" w:rsidRDefault="00BD20A1" w:rsidP="006F4C29">
            <w:pPr>
              <w:jc w:val="left"/>
              <w:rPr>
                <w:rFonts w:ascii="Arial" w:hAnsi="Arial" w:cs="Arial"/>
                <w:sz w:val="24"/>
                <w:szCs w:val="24"/>
              </w:rPr>
            </w:pPr>
            <w:r w:rsidRPr="00271D4B">
              <w:rPr>
                <w:rFonts w:ascii="Arial" w:hAnsi="Arial" w:cs="Arial"/>
                <w:sz w:val="24"/>
                <w:szCs w:val="24"/>
              </w:rPr>
              <w:t>eIF2α</w:t>
            </w:r>
            <w:r>
              <w:rPr>
                <w:rFonts w:ascii="Arial" w:hAnsi="Arial" w:cs="Arial"/>
                <w:sz w:val="24"/>
                <w:szCs w:val="24"/>
              </w:rPr>
              <w:t xml:space="preserve"> (</w:t>
            </w:r>
            <w:r w:rsidRPr="006D743D">
              <w:rPr>
                <w:rFonts w:ascii="Arial" w:hAnsi="Arial" w:cs="Arial"/>
                <w:sz w:val="24"/>
                <w:szCs w:val="24"/>
              </w:rPr>
              <w:t>WB, 1:1000</w:t>
            </w:r>
            <w:r>
              <w:rPr>
                <w:rFonts w:ascii="Arial" w:hAnsi="Arial" w:cs="Arial"/>
                <w:sz w:val="24"/>
                <w:szCs w:val="24"/>
              </w:rPr>
              <w:t>)</w:t>
            </w:r>
          </w:p>
        </w:tc>
        <w:tc>
          <w:tcPr>
            <w:tcW w:w="3530" w:type="dxa"/>
            <w:vAlign w:val="center"/>
          </w:tcPr>
          <w:p w14:paraId="084685AE" w14:textId="77777777" w:rsidR="00BD20A1" w:rsidRDefault="00BD20A1" w:rsidP="006F4C29">
            <w:pPr>
              <w:jc w:val="left"/>
              <w:rPr>
                <w:rFonts w:ascii="Arial" w:hAnsi="Arial" w:cs="Arial"/>
                <w:sz w:val="24"/>
                <w:szCs w:val="24"/>
              </w:rPr>
            </w:pPr>
            <w:r w:rsidRPr="006D743D">
              <w:rPr>
                <w:rFonts w:ascii="Arial" w:hAnsi="Arial" w:cs="Arial"/>
                <w:sz w:val="24"/>
                <w:szCs w:val="24"/>
              </w:rPr>
              <w:t>Beyotime Biotechnology, Shanghai</w:t>
            </w:r>
            <w:r>
              <w:rPr>
                <w:rFonts w:ascii="Arial" w:hAnsi="Arial" w:cs="Arial" w:hint="eastAsia"/>
                <w:sz w:val="24"/>
                <w:szCs w:val="24"/>
              </w:rPr>
              <w:t>,</w:t>
            </w:r>
            <w:r>
              <w:rPr>
                <w:rFonts w:ascii="Arial" w:hAnsi="Arial" w:cs="Arial"/>
                <w:sz w:val="24"/>
                <w:szCs w:val="24"/>
              </w:rPr>
              <w:t xml:space="preserve"> China</w:t>
            </w:r>
          </w:p>
        </w:tc>
        <w:tc>
          <w:tcPr>
            <w:tcW w:w="1559" w:type="dxa"/>
            <w:vAlign w:val="center"/>
          </w:tcPr>
          <w:p w14:paraId="14831A63" w14:textId="77777777" w:rsidR="00BD20A1" w:rsidRPr="00AD717C" w:rsidRDefault="00BD20A1" w:rsidP="006F4C29">
            <w:pPr>
              <w:jc w:val="left"/>
              <w:rPr>
                <w:rFonts w:ascii="Arial" w:hAnsi="Arial" w:cs="Arial"/>
                <w:sz w:val="24"/>
                <w:szCs w:val="24"/>
              </w:rPr>
            </w:pPr>
            <w:r w:rsidRPr="00271D4B">
              <w:rPr>
                <w:rFonts w:ascii="Arial" w:hAnsi="Arial" w:cs="Arial" w:hint="eastAsia"/>
                <w:sz w:val="24"/>
                <w:szCs w:val="24"/>
              </w:rPr>
              <w:t>AF6771</w:t>
            </w:r>
          </w:p>
        </w:tc>
      </w:tr>
      <w:tr w:rsidR="00BD20A1" w:rsidRPr="006D743D" w14:paraId="181F8B94" w14:textId="77777777" w:rsidTr="00AC27B0">
        <w:trPr>
          <w:trHeight w:hRule="exact" w:val="680"/>
          <w:jc w:val="center"/>
        </w:trPr>
        <w:tc>
          <w:tcPr>
            <w:tcW w:w="3411" w:type="dxa"/>
            <w:vAlign w:val="center"/>
          </w:tcPr>
          <w:p w14:paraId="5775FA20" w14:textId="77777777" w:rsidR="00BD20A1" w:rsidRPr="00271D4B" w:rsidRDefault="00BD20A1" w:rsidP="006F4C29">
            <w:pPr>
              <w:jc w:val="left"/>
              <w:rPr>
                <w:rFonts w:ascii="Arial" w:hAnsi="Arial" w:cs="Arial"/>
                <w:sz w:val="24"/>
                <w:szCs w:val="24"/>
              </w:rPr>
            </w:pPr>
            <w:r>
              <w:rPr>
                <w:rFonts w:ascii="Arial" w:hAnsi="Arial" w:cs="Arial"/>
                <w:sz w:val="24"/>
                <w:szCs w:val="24"/>
              </w:rPr>
              <w:t>Phospho-</w:t>
            </w:r>
            <w:r w:rsidRPr="00271D4B">
              <w:rPr>
                <w:rFonts w:ascii="Arial" w:hAnsi="Arial" w:cs="Arial"/>
                <w:sz w:val="24"/>
                <w:szCs w:val="24"/>
              </w:rPr>
              <w:t>eIF2α</w:t>
            </w:r>
            <w:r>
              <w:rPr>
                <w:rFonts w:ascii="Arial" w:hAnsi="Arial" w:cs="Arial"/>
                <w:sz w:val="24"/>
                <w:szCs w:val="24"/>
              </w:rPr>
              <w:t xml:space="preserve"> (</w:t>
            </w:r>
            <w:r w:rsidRPr="006D743D">
              <w:rPr>
                <w:rFonts w:ascii="Arial" w:hAnsi="Arial" w:cs="Arial"/>
                <w:sz w:val="24"/>
                <w:szCs w:val="24"/>
              </w:rPr>
              <w:t>WB, 1:1000</w:t>
            </w:r>
            <w:r>
              <w:rPr>
                <w:rFonts w:ascii="Arial" w:hAnsi="Arial" w:cs="Arial"/>
                <w:sz w:val="24"/>
                <w:szCs w:val="24"/>
              </w:rPr>
              <w:t>)</w:t>
            </w:r>
          </w:p>
        </w:tc>
        <w:tc>
          <w:tcPr>
            <w:tcW w:w="3530" w:type="dxa"/>
            <w:vAlign w:val="center"/>
          </w:tcPr>
          <w:p w14:paraId="64097956" w14:textId="77777777" w:rsidR="00BD20A1" w:rsidRDefault="00BD20A1" w:rsidP="006F4C29">
            <w:pPr>
              <w:jc w:val="left"/>
              <w:rPr>
                <w:rFonts w:ascii="Arial" w:hAnsi="Arial" w:cs="Arial"/>
                <w:sz w:val="24"/>
                <w:szCs w:val="24"/>
              </w:rPr>
            </w:pPr>
            <w:r>
              <w:rPr>
                <w:rFonts w:ascii="Arial" w:hAnsi="Arial" w:cs="Arial"/>
                <w:sz w:val="24"/>
                <w:szCs w:val="24"/>
              </w:rPr>
              <w:t>HUABIO, Hangzhou, China</w:t>
            </w:r>
          </w:p>
        </w:tc>
        <w:tc>
          <w:tcPr>
            <w:tcW w:w="1559" w:type="dxa"/>
            <w:vAlign w:val="center"/>
          </w:tcPr>
          <w:p w14:paraId="5A80BEAB" w14:textId="77777777" w:rsidR="00BD20A1" w:rsidRPr="00271D4B" w:rsidRDefault="00BD20A1" w:rsidP="006F4C29">
            <w:pPr>
              <w:jc w:val="left"/>
              <w:rPr>
                <w:rFonts w:ascii="Arial" w:hAnsi="Arial" w:cs="Arial"/>
                <w:sz w:val="24"/>
                <w:szCs w:val="24"/>
              </w:rPr>
            </w:pPr>
            <w:r w:rsidRPr="00C45481">
              <w:rPr>
                <w:rFonts w:ascii="Arial" w:hAnsi="Arial" w:cs="Arial"/>
                <w:sz w:val="24"/>
                <w:szCs w:val="24"/>
              </w:rPr>
              <w:t>SZ01-06</w:t>
            </w:r>
          </w:p>
        </w:tc>
      </w:tr>
      <w:tr w:rsidR="00BD20A1" w:rsidRPr="006D743D" w14:paraId="0BAA26BB" w14:textId="77777777" w:rsidTr="00AC27B0">
        <w:trPr>
          <w:trHeight w:hRule="exact" w:val="680"/>
          <w:jc w:val="center"/>
        </w:trPr>
        <w:tc>
          <w:tcPr>
            <w:tcW w:w="3411" w:type="dxa"/>
            <w:vAlign w:val="center"/>
          </w:tcPr>
          <w:p w14:paraId="0D3A5DFF" w14:textId="77777777" w:rsidR="00BD20A1" w:rsidRDefault="00BD20A1" w:rsidP="006F4C29">
            <w:pPr>
              <w:jc w:val="left"/>
              <w:rPr>
                <w:rFonts w:ascii="Arial" w:hAnsi="Arial" w:cs="Arial"/>
                <w:sz w:val="24"/>
                <w:szCs w:val="24"/>
              </w:rPr>
            </w:pPr>
            <w:r w:rsidRPr="006D743D">
              <w:rPr>
                <w:rFonts w:ascii="Arial" w:hAnsi="Arial" w:cs="Arial"/>
                <w:sz w:val="24"/>
                <w:szCs w:val="24"/>
              </w:rPr>
              <w:t>GRP78 (WB, 1:1000; IF, 1:100)</w:t>
            </w:r>
          </w:p>
        </w:tc>
        <w:tc>
          <w:tcPr>
            <w:tcW w:w="3530" w:type="dxa"/>
            <w:vAlign w:val="center"/>
          </w:tcPr>
          <w:p w14:paraId="1334C014" w14:textId="77777777" w:rsidR="00BD20A1" w:rsidRDefault="00BD20A1" w:rsidP="006F4C29">
            <w:pPr>
              <w:jc w:val="left"/>
              <w:rPr>
                <w:rFonts w:ascii="Arial" w:hAnsi="Arial" w:cs="Arial"/>
                <w:sz w:val="24"/>
                <w:szCs w:val="24"/>
              </w:rPr>
            </w:pPr>
            <w:r w:rsidRPr="00D77E5F">
              <w:rPr>
                <w:rFonts w:ascii="Arial" w:hAnsi="Arial" w:cs="Arial"/>
                <w:sz w:val="24"/>
                <w:szCs w:val="24"/>
              </w:rPr>
              <w:t>Abcam, Cambridge</w:t>
            </w:r>
            <w:r>
              <w:rPr>
                <w:rFonts w:ascii="Arial" w:hAnsi="Arial" w:cs="Arial"/>
                <w:sz w:val="24"/>
                <w:szCs w:val="24"/>
              </w:rPr>
              <w:t>, UK</w:t>
            </w:r>
          </w:p>
        </w:tc>
        <w:tc>
          <w:tcPr>
            <w:tcW w:w="1559" w:type="dxa"/>
            <w:vAlign w:val="center"/>
          </w:tcPr>
          <w:p w14:paraId="69B97AD5" w14:textId="77777777" w:rsidR="00BD20A1" w:rsidRPr="00C45481" w:rsidRDefault="00BD20A1" w:rsidP="006F4C29">
            <w:pPr>
              <w:jc w:val="left"/>
              <w:rPr>
                <w:rFonts w:ascii="Arial" w:hAnsi="Arial" w:cs="Arial"/>
                <w:sz w:val="24"/>
                <w:szCs w:val="24"/>
              </w:rPr>
            </w:pPr>
            <w:r w:rsidRPr="001D5631">
              <w:rPr>
                <w:rFonts w:ascii="Arial" w:hAnsi="Arial" w:cs="Arial"/>
                <w:sz w:val="24"/>
                <w:szCs w:val="24"/>
              </w:rPr>
              <w:t>ab212054</w:t>
            </w:r>
          </w:p>
        </w:tc>
      </w:tr>
      <w:tr w:rsidR="00BD20A1" w:rsidRPr="006D743D" w14:paraId="3496F0CD" w14:textId="77777777" w:rsidTr="00AC27B0">
        <w:trPr>
          <w:trHeight w:hRule="exact" w:val="680"/>
          <w:jc w:val="center"/>
        </w:trPr>
        <w:tc>
          <w:tcPr>
            <w:tcW w:w="3411" w:type="dxa"/>
            <w:vAlign w:val="center"/>
          </w:tcPr>
          <w:p w14:paraId="199C963F"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NF-κB p65 (WB, 1:1000)</w:t>
            </w:r>
          </w:p>
        </w:tc>
        <w:tc>
          <w:tcPr>
            <w:tcW w:w="3530" w:type="dxa"/>
            <w:vAlign w:val="center"/>
          </w:tcPr>
          <w:p w14:paraId="273CBF36" w14:textId="77777777" w:rsidR="00BD20A1" w:rsidRPr="00D77E5F" w:rsidRDefault="00BD20A1" w:rsidP="006F4C29">
            <w:pPr>
              <w:jc w:val="left"/>
              <w:rPr>
                <w:rFonts w:ascii="Arial" w:hAnsi="Arial" w:cs="Arial"/>
                <w:sz w:val="24"/>
                <w:szCs w:val="24"/>
              </w:rPr>
            </w:pPr>
            <w:r w:rsidRPr="006D743D">
              <w:rPr>
                <w:rFonts w:ascii="Arial" w:hAnsi="Arial" w:cs="Arial"/>
                <w:sz w:val="24"/>
                <w:szCs w:val="24"/>
              </w:rPr>
              <w:t>Beyotime Biotechnology, Shanghai</w:t>
            </w:r>
            <w:r>
              <w:rPr>
                <w:rFonts w:ascii="Arial" w:hAnsi="Arial" w:cs="Arial"/>
                <w:sz w:val="24"/>
                <w:szCs w:val="24"/>
              </w:rPr>
              <w:t>, China</w:t>
            </w:r>
          </w:p>
        </w:tc>
        <w:tc>
          <w:tcPr>
            <w:tcW w:w="1559" w:type="dxa"/>
            <w:vAlign w:val="center"/>
          </w:tcPr>
          <w:p w14:paraId="608049AA" w14:textId="77777777" w:rsidR="00BD20A1" w:rsidRPr="001D5631" w:rsidRDefault="00BD20A1" w:rsidP="006F4C29">
            <w:pPr>
              <w:jc w:val="left"/>
              <w:rPr>
                <w:rFonts w:ascii="Arial" w:hAnsi="Arial" w:cs="Arial"/>
                <w:sz w:val="24"/>
                <w:szCs w:val="24"/>
              </w:rPr>
            </w:pPr>
            <w:r w:rsidRPr="002524AC">
              <w:rPr>
                <w:rFonts w:ascii="Arial" w:hAnsi="Arial" w:cs="Arial"/>
                <w:sz w:val="24"/>
                <w:szCs w:val="24"/>
              </w:rPr>
              <w:t>AF1234</w:t>
            </w:r>
          </w:p>
        </w:tc>
      </w:tr>
      <w:tr w:rsidR="00BD20A1" w:rsidRPr="006D743D" w14:paraId="3E17416E" w14:textId="77777777" w:rsidTr="00AC27B0">
        <w:trPr>
          <w:trHeight w:hRule="exact" w:val="680"/>
          <w:jc w:val="center"/>
        </w:trPr>
        <w:tc>
          <w:tcPr>
            <w:tcW w:w="3411" w:type="dxa"/>
            <w:vAlign w:val="center"/>
          </w:tcPr>
          <w:p w14:paraId="1DA0AD7C" w14:textId="77777777" w:rsidR="00BD20A1" w:rsidRDefault="00BD20A1" w:rsidP="006F4C29">
            <w:pPr>
              <w:jc w:val="left"/>
              <w:rPr>
                <w:rFonts w:ascii="Arial" w:hAnsi="Arial" w:cs="Arial"/>
                <w:sz w:val="24"/>
                <w:szCs w:val="24"/>
              </w:rPr>
            </w:pPr>
            <w:r w:rsidRPr="006D743D">
              <w:rPr>
                <w:rFonts w:ascii="Arial" w:hAnsi="Arial" w:cs="Arial"/>
                <w:sz w:val="24"/>
                <w:szCs w:val="24"/>
              </w:rPr>
              <w:t>Phospho-NF-κB p65</w:t>
            </w:r>
          </w:p>
          <w:p w14:paraId="382C2CB0"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(WB, 1:1000; IF, 1:100)</w:t>
            </w:r>
          </w:p>
        </w:tc>
        <w:tc>
          <w:tcPr>
            <w:tcW w:w="3530" w:type="dxa"/>
            <w:vAlign w:val="center"/>
          </w:tcPr>
          <w:p w14:paraId="11BB3016"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Cell Signaling Technology, Boston</w:t>
            </w:r>
            <w:r>
              <w:rPr>
                <w:rFonts w:ascii="Arial" w:hAnsi="Arial" w:cs="Arial"/>
                <w:sz w:val="24"/>
                <w:szCs w:val="24"/>
              </w:rPr>
              <w:t>, USA</w:t>
            </w:r>
          </w:p>
        </w:tc>
        <w:tc>
          <w:tcPr>
            <w:tcW w:w="1559" w:type="dxa"/>
            <w:vAlign w:val="center"/>
          </w:tcPr>
          <w:p w14:paraId="55306ECB"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#8242</w:t>
            </w:r>
          </w:p>
        </w:tc>
      </w:tr>
      <w:tr w:rsidR="00BD20A1" w:rsidRPr="006D743D" w14:paraId="7D06ECF0" w14:textId="77777777" w:rsidTr="00AC27B0">
        <w:trPr>
          <w:trHeight w:hRule="exact" w:val="680"/>
          <w:jc w:val="center"/>
        </w:trPr>
        <w:tc>
          <w:tcPr>
            <w:tcW w:w="3411" w:type="dxa"/>
            <w:vAlign w:val="center"/>
          </w:tcPr>
          <w:p w14:paraId="1D35F114" w14:textId="77777777" w:rsidR="00BD20A1" w:rsidRPr="006D743D" w:rsidRDefault="00BD20A1" w:rsidP="006F4C29">
            <w:pPr>
              <w:jc w:val="left"/>
              <w:rPr>
                <w:rFonts w:ascii="Arial" w:hAnsi="Arial" w:cs="Arial"/>
                <w:sz w:val="24"/>
                <w:szCs w:val="24"/>
              </w:rPr>
            </w:pPr>
            <w:r w:rsidRPr="00FA32CC">
              <w:rPr>
                <w:rFonts w:ascii="Arial" w:hAnsi="Arial" w:cs="Arial"/>
                <w:sz w:val="24"/>
                <w:szCs w:val="24"/>
              </w:rPr>
              <w:t>LC3B</w:t>
            </w:r>
            <w:r>
              <w:rPr>
                <w:rFonts w:ascii="Arial" w:hAnsi="Arial" w:cs="Arial"/>
                <w:sz w:val="24"/>
                <w:szCs w:val="24"/>
              </w:rPr>
              <w:t xml:space="preserve"> (WB, 1:1000)</w:t>
            </w:r>
          </w:p>
        </w:tc>
        <w:tc>
          <w:tcPr>
            <w:tcW w:w="3530" w:type="dxa"/>
            <w:vAlign w:val="center"/>
          </w:tcPr>
          <w:p w14:paraId="396E571F" w14:textId="77777777" w:rsidR="00BD20A1" w:rsidRPr="006D743D" w:rsidRDefault="00BD20A1" w:rsidP="006F4C29">
            <w:pPr>
              <w:jc w:val="left"/>
              <w:rPr>
                <w:rFonts w:ascii="Arial" w:hAnsi="Arial" w:cs="Arial"/>
                <w:sz w:val="24"/>
                <w:szCs w:val="24"/>
              </w:rPr>
            </w:pPr>
            <w:r>
              <w:rPr>
                <w:rFonts w:ascii="Arial" w:hAnsi="Arial" w:cs="Arial"/>
                <w:sz w:val="24"/>
                <w:szCs w:val="24"/>
              </w:rPr>
              <w:t>HUABIO, Hangzhou, China</w:t>
            </w:r>
          </w:p>
        </w:tc>
        <w:tc>
          <w:tcPr>
            <w:tcW w:w="1559" w:type="dxa"/>
            <w:vAlign w:val="center"/>
          </w:tcPr>
          <w:p w14:paraId="59110558" w14:textId="77777777" w:rsidR="00BD20A1" w:rsidRPr="006D743D" w:rsidRDefault="00BD20A1" w:rsidP="006F4C29">
            <w:pPr>
              <w:jc w:val="left"/>
              <w:rPr>
                <w:rFonts w:ascii="Arial" w:hAnsi="Arial" w:cs="Arial"/>
                <w:sz w:val="24"/>
                <w:szCs w:val="24"/>
              </w:rPr>
            </w:pPr>
            <w:r w:rsidRPr="00FA32CC">
              <w:rPr>
                <w:rFonts w:ascii="Arial" w:hAnsi="Arial" w:cs="Arial"/>
                <w:sz w:val="24"/>
                <w:szCs w:val="24"/>
              </w:rPr>
              <w:t>JJ090-6</w:t>
            </w:r>
          </w:p>
        </w:tc>
      </w:tr>
      <w:tr w:rsidR="00BD20A1" w:rsidRPr="006D743D" w14:paraId="6261D1FD" w14:textId="77777777" w:rsidTr="00AC27B0">
        <w:trPr>
          <w:trHeight w:hRule="exact" w:val="680"/>
          <w:jc w:val="center"/>
        </w:trPr>
        <w:tc>
          <w:tcPr>
            <w:tcW w:w="3411" w:type="dxa"/>
            <w:vAlign w:val="center"/>
          </w:tcPr>
          <w:p w14:paraId="0DBCA994" w14:textId="77777777" w:rsidR="00BD20A1" w:rsidRPr="00FA32CC" w:rsidRDefault="00BD20A1" w:rsidP="006F4C29">
            <w:pPr>
              <w:jc w:val="left"/>
              <w:rPr>
                <w:rFonts w:ascii="Arial" w:hAnsi="Arial" w:cs="Arial"/>
                <w:sz w:val="24"/>
                <w:szCs w:val="24"/>
              </w:rPr>
            </w:pPr>
            <w:r>
              <w:rPr>
                <w:rFonts w:ascii="Arial" w:hAnsi="Arial" w:cs="Arial"/>
                <w:sz w:val="24"/>
                <w:szCs w:val="24"/>
              </w:rPr>
              <w:t>C</w:t>
            </w:r>
            <w:r w:rsidRPr="006D743D">
              <w:rPr>
                <w:rFonts w:ascii="Arial" w:hAnsi="Arial" w:cs="Arial"/>
                <w:sz w:val="24"/>
                <w:szCs w:val="24"/>
              </w:rPr>
              <w:t>ytokeratin 18</w:t>
            </w:r>
            <w:r>
              <w:rPr>
                <w:rFonts w:ascii="Arial" w:hAnsi="Arial" w:cs="Arial"/>
                <w:sz w:val="24"/>
                <w:szCs w:val="24"/>
              </w:rPr>
              <w:t xml:space="preserve"> (</w:t>
            </w:r>
            <w:r w:rsidRPr="006D743D">
              <w:rPr>
                <w:rFonts w:ascii="Arial" w:hAnsi="Arial" w:cs="Arial"/>
                <w:sz w:val="24"/>
                <w:szCs w:val="24"/>
              </w:rPr>
              <w:t>IF, 1:100</w:t>
            </w:r>
            <w:r>
              <w:rPr>
                <w:rFonts w:ascii="Arial" w:hAnsi="Arial" w:cs="Arial"/>
                <w:sz w:val="24"/>
                <w:szCs w:val="24"/>
              </w:rPr>
              <w:t>)</w:t>
            </w:r>
          </w:p>
        </w:tc>
        <w:tc>
          <w:tcPr>
            <w:tcW w:w="3530" w:type="dxa"/>
            <w:vAlign w:val="center"/>
          </w:tcPr>
          <w:p w14:paraId="19C245F2" w14:textId="77777777" w:rsidR="00BD20A1" w:rsidRDefault="00BD20A1" w:rsidP="006F4C29">
            <w:pPr>
              <w:jc w:val="left"/>
              <w:rPr>
                <w:rFonts w:ascii="Arial" w:hAnsi="Arial" w:cs="Arial"/>
                <w:sz w:val="24"/>
                <w:szCs w:val="24"/>
              </w:rPr>
            </w:pPr>
            <w:r>
              <w:rPr>
                <w:rFonts w:ascii="Arial" w:hAnsi="Arial" w:cs="Arial" w:hint="eastAsia"/>
                <w:sz w:val="24"/>
                <w:szCs w:val="24"/>
              </w:rPr>
              <w:t>Z</w:t>
            </w:r>
            <w:r>
              <w:rPr>
                <w:rFonts w:ascii="Arial" w:hAnsi="Arial" w:cs="Arial"/>
                <w:sz w:val="24"/>
                <w:szCs w:val="24"/>
              </w:rPr>
              <w:t>SGB-BIO, Beijing, China</w:t>
            </w:r>
          </w:p>
        </w:tc>
        <w:tc>
          <w:tcPr>
            <w:tcW w:w="1559" w:type="dxa"/>
            <w:vAlign w:val="center"/>
          </w:tcPr>
          <w:p w14:paraId="4D020AB6" w14:textId="77777777" w:rsidR="00BD20A1" w:rsidRPr="00FA32CC" w:rsidRDefault="00BD20A1" w:rsidP="006F4C29">
            <w:pPr>
              <w:jc w:val="left"/>
              <w:rPr>
                <w:rFonts w:ascii="Arial" w:hAnsi="Arial" w:cs="Arial"/>
                <w:sz w:val="24"/>
                <w:szCs w:val="24"/>
              </w:rPr>
            </w:pPr>
            <w:r w:rsidRPr="00724DB8">
              <w:rPr>
                <w:rFonts w:ascii="Arial" w:hAnsi="Arial" w:cs="Arial"/>
                <w:sz w:val="24"/>
                <w:szCs w:val="24"/>
              </w:rPr>
              <w:t>ZM-0073</w:t>
            </w:r>
          </w:p>
        </w:tc>
      </w:tr>
      <w:tr w:rsidR="00BD20A1" w:rsidRPr="006D743D" w14:paraId="02C143D6" w14:textId="77777777" w:rsidTr="00AC27B0">
        <w:trPr>
          <w:trHeight w:hRule="exact" w:val="680"/>
          <w:jc w:val="center"/>
        </w:trPr>
        <w:tc>
          <w:tcPr>
            <w:tcW w:w="3411" w:type="dxa"/>
            <w:vAlign w:val="center"/>
          </w:tcPr>
          <w:p w14:paraId="5DC1CA00" w14:textId="77777777" w:rsidR="00BD20A1" w:rsidRPr="006D743D" w:rsidRDefault="00BD20A1" w:rsidP="006F4C29">
            <w:pPr>
              <w:jc w:val="left"/>
              <w:rPr>
                <w:rFonts w:ascii="Arial" w:hAnsi="Arial" w:cs="Arial"/>
                <w:sz w:val="24"/>
                <w:szCs w:val="24"/>
              </w:rPr>
            </w:pPr>
            <w:r>
              <w:rPr>
                <w:rFonts w:ascii="Arial" w:hAnsi="Arial" w:cs="Arial" w:hint="eastAsia"/>
                <w:sz w:val="24"/>
                <w:szCs w:val="24"/>
              </w:rPr>
              <w:t>F</w:t>
            </w:r>
            <w:r>
              <w:rPr>
                <w:rFonts w:ascii="Arial" w:hAnsi="Arial" w:cs="Arial"/>
                <w:sz w:val="24"/>
                <w:szCs w:val="24"/>
              </w:rPr>
              <w:t>ITC</w:t>
            </w:r>
            <w:r w:rsidRPr="0047576D">
              <w:rPr>
                <w:rFonts w:ascii="Arial" w:hAnsi="Arial" w:cs="Arial"/>
                <w:sz w:val="24"/>
                <w:szCs w:val="24"/>
              </w:rPr>
              <w:t xml:space="preserve">-conjugated secondary </w:t>
            </w:r>
            <w:r>
              <w:rPr>
                <w:rFonts w:ascii="Arial" w:hAnsi="Arial" w:cs="Arial"/>
                <w:sz w:val="24"/>
                <w:szCs w:val="24"/>
              </w:rPr>
              <w:t xml:space="preserve">antibody </w:t>
            </w:r>
            <w:r>
              <w:rPr>
                <w:rFonts w:ascii="Arial" w:hAnsi="Arial" w:cs="Arial" w:hint="eastAsia"/>
                <w:sz w:val="24"/>
                <w:szCs w:val="24"/>
              </w:rPr>
              <w:t>(</w:t>
            </w:r>
            <w:r>
              <w:rPr>
                <w:rFonts w:ascii="Arial" w:hAnsi="Arial" w:cs="Arial"/>
                <w:sz w:val="24"/>
                <w:szCs w:val="24"/>
              </w:rPr>
              <w:t>IF, 1:15</w:t>
            </w:r>
            <w:r w:rsidRPr="006D743D">
              <w:rPr>
                <w:rFonts w:ascii="Arial" w:hAnsi="Arial" w:cs="Arial"/>
                <w:sz w:val="24"/>
                <w:szCs w:val="24"/>
              </w:rPr>
              <w:t>0</w:t>
            </w:r>
            <w:r>
              <w:rPr>
                <w:rFonts w:ascii="Arial" w:hAnsi="Arial" w:cs="Arial"/>
                <w:sz w:val="24"/>
                <w:szCs w:val="24"/>
              </w:rPr>
              <w:t>)</w:t>
            </w:r>
          </w:p>
        </w:tc>
        <w:tc>
          <w:tcPr>
            <w:tcW w:w="3530" w:type="dxa"/>
            <w:vAlign w:val="center"/>
          </w:tcPr>
          <w:p w14:paraId="6E6F3BD6" w14:textId="77777777" w:rsidR="00BD20A1" w:rsidRPr="006D743D" w:rsidRDefault="00BD20A1" w:rsidP="006F4C29">
            <w:pPr>
              <w:jc w:val="left"/>
              <w:rPr>
                <w:rFonts w:ascii="Arial" w:hAnsi="Arial" w:cs="Arial"/>
                <w:sz w:val="24"/>
                <w:szCs w:val="24"/>
              </w:rPr>
            </w:pPr>
            <w:r w:rsidRPr="0047576D">
              <w:rPr>
                <w:rFonts w:ascii="Arial" w:hAnsi="Arial" w:cs="Arial"/>
                <w:sz w:val="24"/>
                <w:szCs w:val="24"/>
              </w:rPr>
              <w:t>Jackson ImmunoResearch</w:t>
            </w:r>
            <w:r>
              <w:rPr>
                <w:rFonts w:ascii="Arial" w:hAnsi="Arial" w:cs="Arial"/>
                <w:sz w:val="24"/>
                <w:szCs w:val="24"/>
              </w:rPr>
              <w:t xml:space="preserve">, </w:t>
            </w:r>
            <w:r w:rsidRPr="0047576D">
              <w:rPr>
                <w:rFonts w:ascii="Arial" w:hAnsi="Arial" w:cs="Arial"/>
                <w:sz w:val="24"/>
                <w:szCs w:val="24"/>
              </w:rPr>
              <w:t>Pennsylvania</w:t>
            </w:r>
            <w:r>
              <w:rPr>
                <w:rFonts w:ascii="Arial" w:hAnsi="Arial" w:cs="Arial"/>
                <w:sz w:val="24"/>
                <w:szCs w:val="24"/>
              </w:rPr>
              <w:t>, USA</w:t>
            </w:r>
          </w:p>
        </w:tc>
        <w:tc>
          <w:tcPr>
            <w:tcW w:w="1559" w:type="dxa"/>
            <w:vAlign w:val="center"/>
          </w:tcPr>
          <w:p w14:paraId="3C5778C7" w14:textId="77777777" w:rsidR="00BD20A1" w:rsidRPr="006D743D" w:rsidRDefault="00BD20A1" w:rsidP="006F4C29">
            <w:pPr>
              <w:jc w:val="left"/>
              <w:rPr>
                <w:rFonts w:ascii="Arial" w:hAnsi="Arial" w:cs="Arial"/>
                <w:sz w:val="24"/>
                <w:szCs w:val="24"/>
              </w:rPr>
            </w:pPr>
            <w:r w:rsidRPr="0047576D">
              <w:rPr>
                <w:rFonts w:ascii="Arial" w:hAnsi="Arial" w:cs="Arial"/>
                <w:sz w:val="24"/>
                <w:szCs w:val="24"/>
              </w:rPr>
              <w:t>#111-095-003</w:t>
            </w:r>
          </w:p>
        </w:tc>
      </w:tr>
      <w:tr w:rsidR="00BD20A1" w:rsidRPr="006D743D" w14:paraId="50B5B75A" w14:textId="77777777" w:rsidTr="00AC27B0">
        <w:trPr>
          <w:trHeight w:hRule="exact" w:val="680"/>
          <w:jc w:val="center"/>
        </w:trPr>
        <w:tc>
          <w:tcPr>
            <w:tcW w:w="3411" w:type="dxa"/>
            <w:vAlign w:val="center"/>
          </w:tcPr>
          <w:p w14:paraId="4B541E8A" w14:textId="77777777" w:rsidR="00BD20A1" w:rsidRDefault="00BD20A1" w:rsidP="006F4C29">
            <w:pPr>
              <w:jc w:val="left"/>
              <w:rPr>
                <w:rFonts w:ascii="Arial" w:hAnsi="Arial" w:cs="Arial"/>
                <w:sz w:val="24"/>
                <w:szCs w:val="24"/>
              </w:rPr>
            </w:pPr>
            <w:r>
              <w:rPr>
                <w:rFonts w:ascii="Arial" w:hAnsi="Arial" w:cs="Arial" w:hint="eastAsia"/>
                <w:sz w:val="24"/>
                <w:szCs w:val="24"/>
              </w:rPr>
              <w:t>Dylight</w:t>
            </w:r>
            <w:r>
              <w:rPr>
                <w:rFonts w:ascii="Arial" w:hAnsi="Arial" w:cs="Arial"/>
                <w:sz w:val="24"/>
                <w:szCs w:val="24"/>
              </w:rPr>
              <w:t>-</w:t>
            </w:r>
            <w:r w:rsidRPr="0047576D">
              <w:rPr>
                <w:rFonts w:ascii="Arial" w:hAnsi="Arial" w:cs="Arial" w:hint="eastAsia"/>
                <w:sz w:val="24"/>
                <w:szCs w:val="24"/>
              </w:rPr>
              <w:t>649</w:t>
            </w:r>
            <w:r>
              <w:rPr>
                <w:rFonts w:ascii="Arial" w:hAnsi="Arial" w:cs="Arial"/>
                <w:sz w:val="24"/>
                <w:szCs w:val="24"/>
              </w:rPr>
              <w:t>-conjugated secondary antibody (</w:t>
            </w:r>
            <w:r w:rsidRPr="006D743D">
              <w:rPr>
                <w:rFonts w:ascii="Arial" w:hAnsi="Arial" w:cs="Arial"/>
                <w:sz w:val="24"/>
                <w:szCs w:val="24"/>
              </w:rPr>
              <w:t>IF, 1:100</w:t>
            </w:r>
            <w:r>
              <w:rPr>
                <w:rFonts w:ascii="Arial" w:hAnsi="Arial" w:cs="Arial"/>
                <w:sz w:val="24"/>
                <w:szCs w:val="24"/>
              </w:rPr>
              <w:t>)</w:t>
            </w:r>
          </w:p>
        </w:tc>
        <w:tc>
          <w:tcPr>
            <w:tcW w:w="3530" w:type="dxa"/>
            <w:vAlign w:val="center"/>
          </w:tcPr>
          <w:p w14:paraId="75247E02" w14:textId="77777777" w:rsidR="00BD20A1" w:rsidRPr="0047576D" w:rsidRDefault="00BD20A1" w:rsidP="006F4C29">
            <w:pPr>
              <w:jc w:val="left"/>
              <w:rPr>
                <w:rFonts w:ascii="Arial" w:hAnsi="Arial" w:cs="Arial"/>
                <w:sz w:val="24"/>
                <w:szCs w:val="24"/>
              </w:rPr>
            </w:pPr>
            <w:r w:rsidRPr="0047576D">
              <w:rPr>
                <w:rFonts w:ascii="Arial" w:hAnsi="Arial" w:cs="Arial"/>
                <w:sz w:val="24"/>
                <w:szCs w:val="24"/>
              </w:rPr>
              <w:t>Jackson ImmunoResearch</w:t>
            </w:r>
            <w:r>
              <w:rPr>
                <w:rFonts w:ascii="Arial" w:hAnsi="Arial" w:cs="Arial"/>
                <w:sz w:val="24"/>
                <w:szCs w:val="24"/>
              </w:rPr>
              <w:t xml:space="preserve">, </w:t>
            </w:r>
            <w:r w:rsidRPr="0047576D">
              <w:rPr>
                <w:rFonts w:ascii="Arial" w:hAnsi="Arial" w:cs="Arial"/>
                <w:sz w:val="24"/>
                <w:szCs w:val="24"/>
              </w:rPr>
              <w:t>Pennsylvania</w:t>
            </w:r>
            <w:r>
              <w:rPr>
                <w:rFonts w:ascii="Arial" w:hAnsi="Arial" w:cs="Arial"/>
                <w:sz w:val="24"/>
                <w:szCs w:val="24"/>
              </w:rPr>
              <w:t>, USA</w:t>
            </w:r>
          </w:p>
        </w:tc>
        <w:tc>
          <w:tcPr>
            <w:tcW w:w="1559" w:type="dxa"/>
            <w:vAlign w:val="center"/>
          </w:tcPr>
          <w:p w14:paraId="1402F676" w14:textId="77777777" w:rsidR="00BD20A1" w:rsidRPr="0047576D" w:rsidRDefault="00BD20A1" w:rsidP="006F4C29">
            <w:pPr>
              <w:jc w:val="left"/>
              <w:rPr>
                <w:rFonts w:ascii="Arial" w:hAnsi="Arial" w:cs="Arial"/>
                <w:sz w:val="24"/>
                <w:szCs w:val="24"/>
              </w:rPr>
            </w:pPr>
            <w:r w:rsidRPr="0047576D">
              <w:rPr>
                <w:rFonts w:ascii="Arial" w:hAnsi="Arial" w:cs="Arial" w:hint="eastAsia"/>
                <w:sz w:val="24"/>
                <w:szCs w:val="24"/>
              </w:rPr>
              <w:t>#115-135-164</w:t>
            </w:r>
          </w:p>
        </w:tc>
      </w:tr>
      <w:tr w:rsidR="00BD20A1" w:rsidRPr="006D743D" w14:paraId="00B4CA44" w14:textId="77777777" w:rsidTr="00AC27B0">
        <w:trPr>
          <w:trHeight w:hRule="exact" w:val="680"/>
          <w:jc w:val="center"/>
        </w:trPr>
        <w:tc>
          <w:tcPr>
            <w:tcW w:w="3411" w:type="dxa"/>
            <w:vAlign w:val="center"/>
          </w:tcPr>
          <w:p w14:paraId="6647D128" w14:textId="77777777" w:rsidR="00BD20A1" w:rsidRPr="006D743D" w:rsidRDefault="00BD20A1" w:rsidP="006F4C29">
            <w:pPr>
              <w:jc w:val="left"/>
              <w:rPr>
                <w:rFonts w:ascii="Arial" w:hAnsi="Arial" w:cs="Arial"/>
                <w:sz w:val="24"/>
                <w:szCs w:val="24"/>
              </w:rPr>
            </w:pPr>
            <w:r>
              <w:rPr>
                <w:rFonts w:ascii="Arial" w:hAnsi="Arial" w:cs="Arial"/>
                <w:bCs/>
                <w:sz w:val="24"/>
                <w:szCs w:val="24"/>
              </w:rPr>
              <w:t xml:space="preserve">HRP-labeled secondary </w:t>
            </w:r>
            <w:r w:rsidRPr="006D743D">
              <w:rPr>
                <w:rFonts w:ascii="Arial" w:hAnsi="Arial" w:cs="Arial"/>
                <w:bCs/>
                <w:sz w:val="24"/>
                <w:szCs w:val="24"/>
              </w:rPr>
              <w:t>antibodies (WB, 1:1000)</w:t>
            </w:r>
          </w:p>
        </w:tc>
        <w:tc>
          <w:tcPr>
            <w:tcW w:w="3530" w:type="dxa"/>
            <w:vAlign w:val="center"/>
          </w:tcPr>
          <w:p w14:paraId="6C2FE716"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Beyotime Biotechnology, Shanghai</w:t>
            </w:r>
            <w:r>
              <w:rPr>
                <w:rFonts w:ascii="Arial" w:hAnsi="Arial" w:cs="Arial"/>
                <w:sz w:val="24"/>
                <w:szCs w:val="24"/>
              </w:rPr>
              <w:t>, China</w:t>
            </w:r>
          </w:p>
        </w:tc>
        <w:tc>
          <w:tcPr>
            <w:tcW w:w="1559" w:type="dxa"/>
            <w:vAlign w:val="center"/>
          </w:tcPr>
          <w:p w14:paraId="04C124FE"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A0208</w:t>
            </w:r>
          </w:p>
        </w:tc>
      </w:tr>
    </w:tbl>
    <w:p w14:paraId="15D83E4F" w14:textId="77777777" w:rsidR="00BD20A1" w:rsidRDefault="00BD20A1" w:rsidP="006F4C29">
      <w:pPr>
        <w:spacing w:line="480" w:lineRule="auto"/>
        <w:jc w:val="left"/>
        <w:rPr>
          <w:rFonts w:ascii="Arial" w:hAnsi="Arial" w:cs="Arial"/>
          <w:sz w:val="24"/>
          <w:szCs w:val="24"/>
        </w:rPr>
      </w:pPr>
    </w:p>
    <w:p w14:paraId="23DB195B" w14:textId="786A2C94" w:rsidR="00BD20A1" w:rsidRPr="006D743D" w:rsidRDefault="00BD20A1" w:rsidP="006F4C29">
      <w:pPr>
        <w:spacing w:line="480" w:lineRule="auto"/>
        <w:jc w:val="left"/>
        <w:rPr>
          <w:rFonts w:ascii="Arial" w:hAnsi="Arial" w:cs="Arial"/>
          <w:sz w:val="24"/>
          <w:szCs w:val="24"/>
        </w:rPr>
      </w:pPr>
      <w:r w:rsidRPr="00CC44F4">
        <w:rPr>
          <w:rFonts w:ascii="Arial" w:hAnsi="Arial" w:cs="Arial"/>
          <w:sz w:val="24"/>
          <w:szCs w:val="24"/>
        </w:rPr>
        <w:lastRenderedPageBreak/>
        <w:t>Supplemental table 2</w:t>
      </w:r>
      <w:r w:rsidR="00AC27B0">
        <w:rPr>
          <w:rFonts w:ascii="Arial" w:hAnsi="Arial" w:cs="Arial"/>
          <w:sz w:val="24"/>
          <w:szCs w:val="24"/>
        </w:rPr>
        <w:t xml:space="preserve"> </w:t>
      </w:r>
      <w:r w:rsidR="00AC27B0" w:rsidRPr="00AC27B0">
        <w:rPr>
          <w:rFonts w:ascii="Arial" w:hAnsi="Arial" w:cs="Arial"/>
          <w:sz w:val="24"/>
          <w:szCs w:val="24"/>
        </w:rPr>
        <w:t>The Details of Chemicals and standards used in the study</w:t>
      </w:r>
    </w:p>
    <w:tbl>
      <w:tblPr>
        <w:tblStyle w:val="a5"/>
        <w:tblW w:w="0" w:type="auto"/>
        <w:jc w:val="center"/>
        <w:tblLook w:val="04A0" w:firstRow="1" w:lastRow="0" w:firstColumn="1" w:lastColumn="0" w:noHBand="0" w:noVBand="1"/>
      </w:tblPr>
      <w:tblGrid>
        <w:gridCol w:w="2972"/>
        <w:gridCol w:w="3827"/>
        <w:gridCol w:w="1497"/>
      </w:tblGrid>
      <w:tr w:rsidR="00BD20A1" w:rsidRPr="006D743D" w14:paraId="09C5AD41" w14:textId="77777777" w:rsidTr="00AC27B0">
        <w:trPr>
          <w:trHeight w:hRule="exact" w:val="680"/>
          <w:jc w:val="center"/>
        </w:trPr>
        <w:tc>
          <w:tcPr>
            <w:tcW w:w="2972" w:type="dxa"/>
            <w:shd w:val="clear" w:color="auto" w:fill="D9D9D9" w:themeFill="background1" w:themeFillShade="D9"/>
            <w:vAlign w:val="center"/>
          </w:tcPr>
          <w:p w14:paraId="2768802E"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Chemicals and standards</w:t>
            </w:r>
          </w:p>
        </w:tc>
        <w:tc>
          <w:tcPr>
            <w:tcW w:w="3827" w:type="dxa"/>
            <w:shd w:val="clear" w:color="auto" w:fill="D9D9D9" w:themeFill="background1" w:themeFillShade="D9"/>
            <w:vAlign w:val="center"/>
          </w:tcPr>
          <w:p w14:paraId="6F0A24CF"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Source</w:t>
            </w:r>
          </w:p>
        </w:tc>
        <w:tc>
          <w:tcPr>
            <w:tcW w:w="1497" w:type="dxa"/>
            <w:shd w:val="clear" w:color="auto" w:fill="D9D9D9" w:themeFill="background1" w:themeFillShade="D9"/>
            <w:vAlign w:val="center"/>
          </w:tcPr>
          <w:p w14:paraId="73331551"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Catalog no.</w:t>
            </w:r>
          </w:p>
        </w:tc>
      </w:tr>
      <w:tr w:rsidR="00BD20A1" w:rsidRPr="006D743D" w14:paraId="18D23209" w14:textId="77777777" w:rsidTr="00AC27B0">
        <w:trPr>
          <w:trHeight w:hRule="exact" w:val="680"/>
          <w:jc w:val="center"/>
        </w:trPr>
        <w:tc>
          <w:tcPr>
            <w:tcW w:w="2972" w:type="dxa"/>
            <w:vAlign w:val="center"/>
          </w:tcPr>
          <w:p w14:paraId="7F944E95"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Methanol</w:t>
            </w:r>
          </w:p>
        </w:tc>
        <w:tc>
          <w:tcPr>
            <w:tcW w:w="3827" w:type="dxa"/>
            <w:vAlign w:val="center"/>
          </w:tcPr>
          <w:p w14:paraId="77979E44"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Sigma-Aldrich, Missouri</w:t>
            </w:r>
            <w:r>
              <w:rPr>
                <w:rFonts w:ascii="Arial" w:hAnsi="Arial" w:cs="Arial"/>
                <w:sz w:val="24"/>
                <w:szCs w:val="24"/>
              </w:rPr>
              <w:t>, USA</w:t>
            </w:r>
          </w:p>
        </w:tc>
        <w:tc>
          <w:tcPr>
            <w:tcW w:w="1497" w:type="dxa"/>
            <w:vAlign w:val="center"/>
          </w:tcPr>
          <w:p w14:paraId="0E9F8587"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34860</w:t>
            </w:r>
          </w:p>
        </w:tc>
      </w:tr>
      <w:tr w:rsidR="00BD20A1" w:rsidRPr="006D743D" w14:paraId="7D913EDB" w14:textId="77777777" w:rsidTr="00AC27B0">
        <w:trPr>
          <w:trHeight w:hRule="exact" w:val="680"/>
          <w:jc w:val="center"/>
        </w:trPr>
        <w:tc>
          <w:tcPr>
            <w:tcW w:w="2972" w:type="dxa"/>
            <w:vAlign w:val="center"/>
          </w:tcPr>
          <w:p w14:paraId="52D63A44"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Chloroform</w:t>
            </w:r>
          </w:p>
        </w:tc>
        <w:tc>
          <w:tcPr>
            <w:tcW w:w="3827" w:type="dxa"/>
            <w:vAlign w:val="center"/>
          </w:tcPr>
          <w:p w14:paraId="7F8628FA"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Sigma-Aldrich, Missouri</w:t>
            </w:r>
            <w:r>
              <w:rPr>
                <w:rFonts w:ascii="Arial" w:hAnsi="Arial" w:cs="Arial"/>
                <w:sz w:val="24"/>
                <w:szCs w:val="24"/>
              </w:rPr>
              <w:t>, USA</w:t>
            </w:r>
          </w:p>
        </w:tc>
        <w:tc>
          <w:tcPr>
            <w:tcW w:w="1497" w:type="dxa"/>
            <w:vAlign w:val="center"/>
          </w:tcPr>
          <w:p w14:paraId="58DEFCB3"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288306</w:t>
            </w:r>
          </w:p>
        </w:tc>
      </w:tr>
      <w:tr w:rsidR="00BD20A1" w:rsidRPr="006D743D" w14:paraId="5B552F3D" w14:textId="77777777" w:rsidTr="00AC27B0">
        <w:trPr>
          <w:trHeight w:hRule="exact" w:val="680"/>
          <w:jc w:val="center"/>
        </w:trPr>
        <w:tc>
          <w:tcPr>
            <w:tcW w:w="2972" w:type="dxa"/>
            <w:vAlign w:val="center"/>
          </w:tcPr>
          <w:p w14:paraId="482563F9"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Acetonitrile</w:t>
            </w:r>
          </w:p>
        </w:tc>
        <w:tc>
          <w:tcPr>
            <w:tcW w:w="3827" w:type="dxa"/>
            <w:vAlign w:val="center"/>
          </w:tcPr>
          <w:p w14:paraId="5D793094"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Sigma-Aldrich, Missouri</w:t>
            </w:r>
            <w:r>
              <w:rPr>
                <w:rFonts w:ascii="Arial" w:hAnsi="Arial" w:cs="Arial"/>
                <w:sz w:val="24"/>
                <w:szCs w:val="24"/>
              </w:rPr>
              <w:t>, USA</w:t>
            </w:r>
          </w:p>
        </w:tc>
        <w:tc>
          <w:tcPr>
            <w:tcW w:w="1497" w:type="dxa"/>
            <w:vAlign w:val="center"/>
          </w:tcPr>
          <w:p w14:paraId="0D4997E7"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34851</w:t>
            </w:r>
          </w:p>
        </w:tc>
      </w:tr>
      <w:tr w:rsidR="00BD20A1" w:rsidRPr="006D743D" w14:paraId="28BD080D" w14:textId="77777777" w:rsidTr="00AC27B0">
        <w:trPr>
          <w:trHeight w:hRule="exact" w:val="680"/>
          <w:jc w:val="center"/>
        </w:trPr>
        <w:tc>
          <w:tcPr>
            <w:tcW w:w="2972" w:type="dxa"/>
            <w:vAlign w:val="center"/>
          </w:tcPr>
          <w:p w14:paraId="6E022B72"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Formic acid</w:t>
            </w:r>
          </w:p>
        </w:tc>
        <w:tc>
          <w:tcPr>
            <w:tcW w:w="3827" w:type="dxa"/>
            <w:vAlign w:val="center"/>
          </w:tcPr>
          <w:p w14:paraId="6449B105"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Sigma-Aldrich, Missouri</w:t>
            </w:r>
            <w:r>
              <w:rPr>
                <w:rFonts w:ascii="Arial" w:hAnsi="Arial" w:cs="Arial"/>
                <w:sz w:val="24"/>
                <w:szCs w:val="24"/>
              </w:rPr>
              <w:t>, USA</w:t>
            </w:r>
          </w:p>
        </w:tc>
        <w:tc>
          <w:tcPr>
            <w:tcW w:w="1497" w:type="dxa"/>
            <w:vAlign w:val="center"/>
          </w:tcPr>
          <w:p w14:paraId="7A18E95A"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5438040</w:t>
            </w:r>
          </w:p>
        </w:tc>
      </w:tr>
      <w:tr w:rsidR="00BD20A1" w:rsidRPr="006D743D" w14:paraId="52FCA750" w14:textId="77777777" w:rsidTr="00AC27B0">
        <w:trPr>
          <w:trHeight w:hRule="exact" w:val="680"/>
          <w:jc w:val="center"/>
        </w:trPr>
        <w:tc>
          <w:tcPr>
            <w:tcW w:w="2972" w:type="dxa"/>
            <w:vAlign w:val="center"/>
          </w:tcPr>
          <w:p w14:paraId="76EA92FE"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Ammonium formate</w:t>
            </w:r>
          </w:p>
        </w:tc>
        <w:tc>
          <w:tcPr>
            <w:tcW w:w="3827" w:type="dxa"/>
            <w:vAlign w:val="center"/>
          </w:tcPr>
          <w:p w14:paraId="201603ED"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Sigma-Aldrich, Missouri</w:t>
            </w:r>
            <w:r>
              <w:rPr>
                <w:rFonts w:ascii="Arial" w:hAnsi="Arial" w:cs="Arial"/>
                <w:sz w:val="24"/>
                <w:szCs w:val="24"/>
              </w:rPr>
              <w:t>, USA</w:t>
            </w:r>
          </w:p>
        </w:tc>
        <w:tc>
          <w:tcPr>
            <w:tcW w:w="1497" w:type="dxa"/>
            <w:vAlign w:val="center"/>
          </w:tcPr>
          <w:p w14:paraId="07A15313"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70221</w:t>
            </w:r>
          </w:p>
        </w:tc>
      </w:tr>
      <w:tr w:rsidR="00BD20A1" w:rsidRPr="006D743D" w14:paraId="1647558F" w14:textId="77777777" w:rsidTr="00AC27B0">
        <w:trPr>
          <w:trHeight w:hRule="exact" w:val="680"/>
          <w:jc w:val="center"/>
        </w:trPr>
        <w:tc>
          <w:tcPr>
            <w:tcW w:w="2972" w:type="dxa"/>
            <w:vAlign w:val="center"/>
          </w:tcPr>
          <w:p w14:paraId="41AB96BB"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Ethanol</w:t>
            </w:r>
          </w:p>
        </w:tc>
        <w:tc>
          <w:tcPr>
            <w:tcW w:w="3827" w:type="dxa"/>
            <w:vAlign w:val="center"/>
          </w:tcPr>
          <w:p w14:paraId="6EC268A2"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Sigma-Aldrich, Missouri</w:t>
            </w:r>
            <w:r>
              <w:rPr>
                <w:rFonts w:ascii="Arial" w:hAnsi="Arial" w:cs="Arial"/>
                <w:sz w:val="24"/>
                <w:szCs w:val="24"/>
              </w:rPr>
              <w:t>, USA</w:t>
            </w:r>
          </w:p>
        </w:tc>
        <w:tc>
          <w:tcPr>
            <w:tcW w:w="1497" w:type="dxa"/>
            <w:vAlign w:val="center"/>
          </w:tcPr>
          <w:p w14:paraId="333513DA"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459836</w:t>
            </w:r>
          </w:p>
        </w:tc>
      </w:tr>
      <w:tr w:rsidR="00BD20A1" w:rsidRPr="006D743D" w14:paraId="263EBE59" w14:textId="77777777" w:rsidTr="00AC27B0">
        <w:trPr>
          <w:trHeight w:hRule="exact" w:val="680"/>
          <w:jc w:val="center"/>
        </w:trPr>
        <w:tc>
          <w:tcPr>
            <w:tcW w:w="2972" w:type="dxa"/>
            <w:vAlign w:val="center"/>
          </w:tcPr>
          <w:p w14:paraId="49AA0DBD"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Isopropanol</w:t>
            </w:r>
          </w:p>
        </w:tc>
        <w:tc>
          <w:tcPr>
            <w:tcW w:w="3827" w:type="dxa"/>
            <w:vAlign w:val="center"/>
          </w:tcPr>
          <w:p w14:paraId="1BDDEDBE"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Sigma-Aldrich, Missouri</w:t>
            </w:r>
            <w:r>
              <w:rPr>
                <w:rFonts w:ascii="Arial" w:hAnsi="Arial" w:cs="Arial"/>
                <w:sz w:val="24"/>
                <w:szCs w:val="24"/>
              </w:rPr>
              <w:t>, USA</w:t>
            </w:r>
          </w:p>
        </w:tc>
        <w:tc>
          <w:tcPr>
            <w:tcW w:w="1497" w:type="dxa"/>
            <w:vAlign w:val="center"/>
          </w:tcPr>
          <w:p w14:paraId="2BF662F3"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34863</w:t>
            </w:r>
          </w:p>
        </w:tc>
      </w:tr>
      <w:tr w:rsidR="00BD20A1" w:rsidRPr="006D743D" w14:paraId="4D6102BC" w14:textId="77777777" w:rsidTr="00AC27B0">
        <w:trPr>
          <w:trHeight w:hRule="exact" w:val="680"/>
          <w:jc w:val="center"/>
        </w:trPr>
        <w:tc>
          <w:tcPr>
            <w:tcW w:w="2972" w:type="dxa"/>
            <w:vAlign w:val="center"/>
          </w:tcPr>
          <w:p w14:paraId="50192D67"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C18 Ceramide (d18:1/18:0)</w:t>
            </w:r>
          </w:p>
        </w:tc>
        <w:tc>
          <w:tcPr>
            <w:tcW w:w="3827" w:type="dxa"/>
            <w:vAlign w:val="center"/>
          </w:tcPr>
          <w:p w14:paraId="70EFB6C9"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Avanti polar lipids, Alabama</w:t>
            </w:r>
            <w:r>
              <w:rPr>
                <w:rFonts w:ascii="Arial" w:hAnsi="Arial" w:cs="Arial"/>
                <w:sz w:val="24"/>
                <w:szCs w:val="24"/>
              </w:rPr>
              <w:t>, USA</w:t>
            </w:r>
          </w:p>
        </w:tc>
        <w:tc>
          <w:tcPr>
            <w:tcW w:w="1497" w:type="dxa"/>
            <w:vAlign w:val="center"/>
          </w:tcPr>
          <w:p w14:paraId="37442C37"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860518P</w:t>
            </w:r>
          </w:p>
        </w:tc>
      </w:tr>
      <w:tr w:rsidR="00BD20A1" w:rsidRPr="006D743D" w14:paraId="078F2B04" w14:textId="77777777" w:rsidTr="00AC27B0">
        <w:trPr>
          <w:trHeight w:hRule="exact" w:val="680"/>
          <w:jc w:val="center"/>
        </w:trPr>
        <w:tc>
          <w:tcPr>
            <w:tcW w:w="2972" w:type="dxa"/>
            <w:vAlign w:val="center"/>
          </w:tcPr>
          <w:p w14:paraId="1DB2CE73"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C18 Glucosylceramide (d18:1/18:0)</w:t>
            </w:r>
          </w:p>
        </w:tc>
        <w:tc>
          <w:tcPr>
            <w:tcW w:w="3827" w:type="dxa"/>
            <w:vAlign w:val="center"/>
          </w:tcPr>
          <w:p w14:paraId="6FA6D7AF"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Avanti polar lipids, Alabama</w:t>
            </w:r>
            <w:r>
              <w:rPr>
                <w:rFonts w:ascii="Arial" w:hAnsi="Arial" w:cs="Arial"/>
                <w:sz w:val="24"/>
                <w:szCs w:val="24"/>
              </w:rPr>
              <w:t>, USA</w:t>
            </w:r>
          </w:p>
        </w:tc>
        <w:tc>
          <w:tcPr>
            <w:tcW w:w="1497" w:type="dxa"/>
            <w:vAlign w:val="center"/>
          </w:tcPr>
          <w:p w14:paraId="6EAD4078"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860547P</w:t>
            </w:r>
          </w:p>
        </w:tc>
      </w:tr>
    </w:tbl>
    <w:p w14:paraId="1A71EFD4" w14:textId="77777777" w:rsidR="00BD20A1" w:rsidRDefault="00BD20A1" w:rsidP="006F4C29">
      <w:pPr>
        <w:spacing w:line="480" w:lineRule="auto"/>
        <w:jc w:val="left"/>
        <w:rPr>
          <w:rFonts w:ascii="Arial" w:hAnsi="Arial" w:cs="Arial"/>
          <w:sz w:val="24"/>
          <w:szCs w:val="24"/>
        </w:rPr>
      </w:pPr>
    </w:p>
    <w:p w14:paraId="200A5469" w14:textId="77777777" w:rsidR="00BD20A1" w:rsidRDefault="00BD20A1" w:rsidP="006F4C29">
      <w:pPr>
        <w:widowControl/>
        <w:jc w:val="left"/>
        <w:rPr>
          <w:rFonts w:ascii="Arial" w:hAnsi="Arial" w:cs="Arial"/>
          <w:sz w:val="24"/>
          <w:szCs w:val="24"/>
        </w:rPr>
      </w:pPr>
      <w:r>
        <w:rPr>
          <w:rFonts w:ascii="Arial" w:hAnsi="Arial" w:cs="Arial"/>
          <w:sz w:val="24"/>
          <w:szCs w:val="24"/>
        </w:rPr>
        <w:br w:type="page"/>
      </w:r>
    </w:p>
    <w:p w14:paraId="4755030E" w14:textId="0734C10F" w:rsidR="00BD20A1" w:rsidRPr="006D743D" w:rsidRDefault="00BD20A1" w:rsidP="006F4C29">
      <w:pPr>
        <w:spacing w:line="480" w:lineRule="auto"/>
        <w:jc w:val="left"/>
        <w:rPr>
          <w:rFonts w:ascii="Arial" w:hAnsi="Arial" w:cs="Arial"/>
          <w:color w:val="FF0000"/>
          <w:sz w:val="24"/>
          <w:szCs w:val="24"/>
        </w:rPr>
      </w:pPr>
      <w:r w:rsidRPr="00CC44F4">
        <w:rPr>
          <w:rFonts w:ascii="Arial" w:hAnsi="Arial" w:cs="Arial"/>
          <w:sz w:val="24"/>
          <w:szCs w:val="24"/>
        </w:rPr>
        <w:lastRenderedPageBreak/>
        <w:t>Supplemental table 3</w:t>
      </w:r>
      <w:r w:rsidR="00AC27B0">
        <w:rPr>
          <w:rFonts w:ascii="Arial" w:hAnsi="Arial" w:cs="Arial"/>
          <w:sz w:val="24"/>
          <w:szCs w:val="24"/>
        </w:rPr>
        <w:t xml:space="preserve"> </w:t>
      </w:r>
      <w:r w:rsidR="00AC27B0" w:rsidRPr="00AC27B0">
        <w:rPr>
          <w:rFonts w:ascii="Arial" w:hAnsi="Arial" w:cs="Arial"/>
          <w:sz w:val="24"/>
          <w:szCs w:val="24"/>
        </w:rPr>
        <w:t>The Details of Gene used in the study</w:t>
      </w:r>
    </w:p>
    <w:tbl>
      <w:tblPr>
        <w:tblStyle w:val="a5"/>
        <w:tblW w:w="8359" w:type="dxa"/>
        <w:jc w:val="center"/>
        <w:tblLook w:val="04A0" w:firstRow="1" w:lastRow="0" w:firstColumn="1" w:lastColumn="0" w:noHBand="0" w:noVBand="1"/>
      </w:tblPr>
      <w:tblGrid>
        <w:gridCol w:w="2466"/>
        <w:gridCol w:w="3341"/>
        <w:gridCol w:w="2552"/>
      </w:tblGrid>
      <w:tr w:rsidR="00BD20A1" w:rsidRPr="006D743D" w14:paraId="0B817A86" w14:textId="77777777" w:rsidTr="00AC27B0">
        <w:trPr>
          <w:trHeight w:hRule="exact" w:val="680"/>
          <w:jc w:val="center"/>
        </w:trPr>
        <w:tc>
          <w:tcPr>
            <w:tcW w:w="2466" w:type="dxa"/>
            <w:shd w:val="clear" w:color="auto" w:fill="D9D9D9" w:themeFill="background1" w:themeFillShade="D9"/>
            <w:vAlign w:val="center"/>
          </w:tcPr>
          <w:p w14:paraId="236311CB"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Gene name</w:t>
            </w:r>
          </w:p>
        </w:tc>
        <w:tc>
          <w:tcPr>
            <w:tcW w:w="3341" w:type="dxa"/>
            <w:shd w:val="clear" w:color="auto" w:fill="D9D9D9" w:themeFill="background1" w:themeFillShade="D9"/>
            <w:vAlign w:val="center"/>
          </w:tcPr>
          <w:p w14:paraId="2AAE6D31"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Primers sequence</w:t>
            </w:r>
          </w:p>
        </w:tc>
        <w:tc>
          <w:tcPr>
            <w:tcW w:w="2552" w:type="dxa"/>
            <w:shd w:val="clear" w:color="auto" w:fill="D9D9D9" w:themeFill="background1" w:themeFillShade="D9"/>
            <w:vAlign w:val="center"/>
          </w:tcPr>
          <w:p w14:paraId="009FBF7B"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Source</w:t>
            </w:r>
          </w:p>
        </w:tc>
      </w:tr>
      <w:tr w:rsidR="00BD20A1" w:rsidRPr="006D743D" w14:paraId="25469791" w14:textId="77777777" w:rsidTr="00AC27B0">
        <w:trPr>
          <w:trHeight w:hRule="exact" w:val="680"/>
          <w:jc w:val="center"/>
        </w:trPr>
        <w:tc>
          <w:tcPr>
            <w:tcW w:w="2466" w:type="dxa"/>
            <w:vAlign w:val="center"/>
          </w:tcPr>
          <w:p w14:paraId="014619F0"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Mouse UGCG siRNA (forward)</w:t>
            </w:r>
          </w:p>
        </w:tc>
        <w:tc>
          <w:tcPr>
            <w:tcW w:w="3341" w:type="dxa"/>
            <w:vAlign w:val="center"/>
          </w:tcPr>
          <w:p w14:paraId="795DAE17"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5'-CCC GGU UAC ACC UCA ACA ATT-3'</w:t>
            </w:r>
          </w:p>
        </w:tc>
        <w:tc>
          <w:tcPr>
            <w:tcW w:w="2552" w:type="dxa"/>
            <w:vAlign w:val="center"/>
          </w:tcPr>
          <w:p w14:paraId="19EC9CC3"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GenePharma</w:t>
            </w:r>
            <w:r>
              <w:rPr>
                <w:rFonts w:ascii="Arial" w:hAnsi="Arial" w:cs="Arial" w:hint="eastAsia"/>
                <w:sz w:val="24"/>
                <w:szCs w:val="24"/>
              </w:rPr>
              <w:t>,</w:t>
            </w:r>
            <w:r>
              <w:rPr>
                <w:rFonts w:ascii="Arial" w:hAnsi="Arial" w:cs="Arial"/>
                <w:sz w:val="24"/>
                <w:szCs w:val="24"/>
              </w:rPr>
              <w:t xml:space="preserve"> Shanghai</w:t>
            </w:r>
          </w:p>
        </w:tc>
      </w:tr>
      <w:tr w:rsidR="00BD20A1" w:rsidRPr="006D743D" w14:paraId="7E96D622" w14:textId="77777777" w:rsidTr="00AC27B0">
        <w:trPr>
          <w:trHeight w:hRule="exact" w:val="680"/>
          <w:jc w:val="center"/>
        </w:trPr>
        <w:tc>
          <w:tcPr>
            <w:tcW w:w="2466" w:type="dxa"/>
            <w:vAlign w:val="center"/>
          </w:tcPr>
          <w:p w14:paraId="20316E65"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Mouse UGCG siRNA (reverse)</w:t>
            </w:r>
          </w:p>
        </w:tc>
        <w:tc>
          <w:tcPr>
            <w:tcW w:w="3341" w:type="dxa"/>
            <w:vAlign w:val="center"/>
          </w:tcPr>
          <w:p w14:paraId="2364CE91"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5'-UUG UUG AGG UGU AAC CGG GTT-3'</w:t>
            </w:r>
          </w:p>
        </w:tc>
        <w:tc>
          <w:tcPr>
            <w:tcW w:w="2552" w:type="dxa"/>
            <w:vAlign w:val="center"/>
          </w:tcPr>
          <w:p w14:paraId="6D555B27"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GenePharma</w:t>
            </w:r>
            <w:r>
              <w:rPr>
                <w:rFonts w:ascii="Arial" w:hAnsi="Arial" w:cs="Arial"/>
                <w:sz w:val="24"/>
                <w:szCs w:val="24"/>
              </w:rPr>
              <w:t>, Shanghai</w:t>
            </w:r>
          </w:p>
        </w:tc>
      </w:tr>
      <w:tr w:rsidR="00BD20A1" w:rsidRPr="006D743D" w14:paraId="3112875A" w14:textId="77777777" w:rsidTr="00AC27B0">
        <w:trPr>
          <w:trHeight w:hRule="exact" w:val="680"/>
          <w:jc w:val="center"/>
        </w:trPr>
        <w:tc>
          <w:tcPr>
            <w:tcW w:w="2466" w:type="dxa"/>
            <w:vAlign w:val="center"/>
          </w:tcPr>
          <w:p w14:paraId="7BA1D700"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Mouse GAPDH</w:t>
            </w:r>
            <w:r>
              <w:rPr>
                <w:rFonts w:ascii="Arial" w:hAnsi="Arial" w:cs="Arial"/>
                <w:sz w:val="24"/>
                <w:szCs w:val="24"/>
              </w:rPr>
              <w:t xml:space="preserve"> </w:t>
            </w:r>
            <w:r w:rsidRPr="006D743D">
              <w:rPr>
                <w:rFonts w:ascii="Arial" w:hAnsi="Arial" w:cs="Arial"/>
                <w:sz w:val="24"/>
                <w:szCs w:val="24"/>
              </w:rPr>
              <w:t>(forward)</w:t>
            </w:r>
          </w:p>
        </w:tc>
        <w:tc>
          <w:tcPr>
            <w:tcW w:w="3341" w:type="dxa"/>
            <w:vAlign w:val="center"/>
          </w:tcPr>
          <w:p w14:paraId="0AC2168F"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5'-TGT GTC CGT CGT GGA TCT GA-3'</w:t>
            </w:r>
          </w:p>
        </w:tc>
        <w:tc>
          <w:tcPr>
            <w:tcW w:w="2552" w:type="dxa"/>
            <w:vAlign w:val="center"/>
          </w:tcPr>
          <w:p w14:paraId="52E833A8"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Takara</w:t>
            </w:r>
            <w:r>
              <w:rPr>
                <w:rFonts w:ascii="Arial" w:hAnsi="Arial" w:cs="Arial"/>
                <w:sz w:val="24"/>
                <w:szCs w:val="24"/>
              </w:rPr>
              <w:t>, Japan</w:t>
            </w:r>
          </w:p>
        </w:tc>
      </w:tr>
      <w:tr w:rsidR="00BD20A1" w:rsidRPr="006D743D" w14:paraId="7A45A9A7" w14:textId="77777777" w:rsidTr="00AC27B0">
        <w:trPr>
          <w:trHeight w:hRule="exact" w:val="680"/>
          <w:jc w:val="center"/>
        </w:trPr>
        <w:tc>
          <w:tcPr>
            <w:tcW w:w="2466" w:type="dxa"/>
            <w:vAlign w:val="center"/>
          </w:tcPr>
          <w:p w14:paraId="2EDF60F0"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 xml:space="preserve">Mouse </w:t>
            </w:r>
            <w:r>
              <w:rPr>
                <w:rFonts w:ascii="Arial" w:hAnsi="Arial" w:cs="Arial"/>
                <w:sz w:val="24"/>
                <w:szCs w:val="24"/>
              </w:rPr>
              <w:t xml:space="preserve">GAPDH </w:t>
            </w:r>
            <w:r w:rsidRPr="006D743D">
              <w:rPr>
                <w:rFonts w:ascii="Arial" w:hAnsi="Arial" w:cs="Arial"/>
                <w:sz w:val="24"/>
                <w:szCs w:val="24"/>
              </w:rPr>
              <w:t>(reverse)</w:t>
            </w:r>
          </w:p>
        </w:tc>
        <w:tc>
          <w:tcPr>
            <w:tcW w:w="3341" w:type="dxa"/>
            <w:vAlign w:val="center"/>
          </w:tcPr>
          <w:p w14:paraId="4A96977A"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5'-TTG CTG TTG AAG TCG CAG GAG-3'</w:t>
            </w:r>
          </w:p>
        </w:tc>
        <w:tc>
          <w:tcPr>
            <w:tcW w:w="2552" w:type="dxa"/>
            <w:vAlign w:val="center"/>
          </w:tcPr>
          <w:p w14:paraId="0E3DF751"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Takara</w:t>
            </w:r>
            <w:r>
              <w:rPr>
                <w:rFonts w:ascii="Arial" w:hAnsi="Arial" w:cs="Arial"/>
                <w:sz w:val="24"/>
                <w:szCs w:val="24"/>
              </w:rPr>
              <w:t>, Japan</w:t>
            </w:r>
          </w:p>
        </w:tc>
      </w:tr>
      <w:tr w:rsidR="00BD20A1" w:rsidRPr="006D743D" w14:paraId="6CA57726" w14:textId="77777777" w:rsidTr="00AC27B0">
        <w:trPr>
          <w:trHeight w:hRule="exact" w:val="680"/>
          <w:jc w:val="center"/>
        </w:trPr>
        <w:tc>
          <w:tcPr>
            <w:tcW w:w="2466" w:type="dxa"/>
            <w:vAlign w:val="center"/>
          </w:tcPr>
          <w:p w14:paraId="5D8A5398"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Mouse UGCG(forward)</w:t>
            </w:r>
          </w:p>
        </w:tc>
        <w:tc>
          <w:tcPr>
            <w:tcW w:w="3341" w:type="dxa"/>
            <w:vAlign w:val="center"/>
          </w:tcPr>
          <w:p w14:paraId="1EB5C5AA"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5'-TTC GAG GGC GTG TTA TCC ATC-3'</w:t>
            </w:r>
          </w:p>
        </w:tc>
        <w:tc>
          <w:tcPr>
            <w:tcW w:w="2552" w:type="dxa"/>
            <w:vAlign w:val="center"/>
          </w:tcPr>
          <w:p w14:paraId="3E6CBD43"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Takara</w:t>
            </w:r>
            <w:r>
              <w:rPr>
                <w:rFonts w:ascii="Arial" w:hAnsi="Arial" w:cs="Arial"/>
                <w:sz w:val="24"/>
                <w:szCs w:val="24"/>
              </w:rPr>
              <w:t>, Japan</w:t>
            </w:r>
          </w:p>
        </w:tc>
      </w:tr>
      <w:tr w:rsidR="00BD20A1" w:rsidRPr="006D743D" w14:paraId="5F52BCEB" w14:textId="77777777" w:rsidTr="00AC27B0">
        <w:trPr>
          <w:trHeight w:hRule="exact" w:val="680"/>
          <w:jc w:val="center"/>
        </w:trPr>
        <w:tc>
          <w:tcPr>
            <w:tcW w:w="2466" w:type="dxa"/>
            <w:vAlign w:val="center"/>
          </w:tcPr>
          <w:p w14:paraId="22D8D568"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Mouse</w:t>
            </w:r>
            <w:r>
              <w:rPr>
                <w:rFonts w:ascii="Arial" w:hAnsi="Arial" w:cs="Arial"/>
                <w:sz w:val="24"/>
                <w:szCs w:val="24"/>
              </w:rPr>
              <w:t xml:space="preserve"> UGCG</w:t>
            </w:r>
            <w:r w:rsidRPr="006D743D">
              <w:rPr>
                <w:rFonts w:ascii="Arial" w:hAnsi="Arial" w:cs="Arial"/>
                <w:sz w:val="24"/>
                <w:szCs w:val="24"/>
              </w:rPr>
              <w:t xml:space="preserve"> (reverse)</w:t>
            </w:r>
          </w:p>
        </w:tc>
        <w:tc>
          <w:tcPr>
            <w:tcW w:w="3341" w:type="dxa"/>
            <w:vAlign w:val="center"/>
          </w:tcPr>
          <w:p w14:paraId="737FC022"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5'-CAA ATG GGC TGG CTC AGT AAG A-3'</w:t>
            </w:r>
          </w:p>
        </w:tc>
        <w:tc>
          <w:tcPr>
            <w:tcW w:w="2552" w:type="dxa"/>
            <w:vAlign w:val="center"/>
          </w:tcPr>
          <w:p w14:paraId="06FAD1E4"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Takara</w:t>
            </w:r>
            <w:r>
              <w:rPr>
                <w:rFonts w:ascii="Arial" w:hAnsi="Arial" w:cs="Arial"/>
                <w:sz w:val="24"/>
                <w:szCs w:val="24"/>
              </w:rPr>
              <w:t>, Japan</w:t>
            </w:r>
          </w:p>
        </w:tc>
      </w:tr>
      <w:tr w:rsidR="00BD20A1" w:rsidRPr="006D743D" w14:paraId="2AD72488" w14:textId="77777777" w:rsidTr="00AC27B0">
        <w:trPr>
          <w:trHeight w:hRule="exact" w:val="680"/>
          <w:jc w:val="center"/>
        </w:trPr>
        <w:tc>
          <w:tcPr>
            <w:tcW w:w="2466" w:type="dxa"/>
            <w:vAlign w:val="center"/>
          </w:tcPr>
          <w:p w14:paraId="042659D8"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 xml:space="preserve">Mouse </w:t>
            </w:r>
            <w:r>
              <w:rPr>
                <w:rFonts w:ascii="Arial" w:hAnsi="Arial" w:cs="Arial"/>
                <w:sz w:val="24"/>
                <w:szCs w:val="24"/>
              </w:rPr>
              <w:t xml:space="preserve">IL-4 </w:t>
            </w:r>
            <w:r w:rsidRPr="006D743D">
              <w:rPr>
                <w:rFonts w:ascii="Arial" w:hAnsi="Arial" w:cs="Arial"/>
                <w:sz w:val="24"/>
                <w:szCs w:val="24"/>
              </w:rPr>
              <w:t>(forward)</w:t>
            </w:r>
          </w:p>
        </w:tc>
        <w:tc>
          <w:tcPr>
            <w:tcW w:w="3341" w:type="dxa"/>
            <w:vAlign w:val="center"/>
          </w:tcPr>
          <w:p w14:paraId="4E51581C" w14:textId="77777777" w:rsidR="00BD20A1" w:rsidRPr="006D743D" w:rsidRDefault="00BD20A1" w:rsidP="006F4C29">
            <w:pPr>
              <w:jc w:val="left"/>
              <w:rPr>
                <w:rFonts w:ascii="Arial" w:hAnsi="Arial" w:cs="Arial"/>
                <w:sz w:val="24"/>
                <w:szCs w:val="24"/>
              </w:rPr>
            </w:pPr>
            <w:r w:rsidRPr="009B3E58">
              <w:rPr>
                <w:rFonts w:ascii="Arial" w:hAnsi="Arial" w:cs="Arial"/>
                <w:sz w:val="24"/>
                <w:szCs w:val="24"/>
              </w:rPr>
              <w:t>5'-ACG GAG ATG GAT GTG CCA AAC-3'</w:t>
            </w:r>
          </w:p>
        </w:tc>
        <w:tc>
          <w:tcPr>
            <w:tcW w:w="2552" w:type="dxa"/>
            <w:vAlign w:val="center"/>
          </w:tcPr>
          <w:p w14:paraId="21ADFD32"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Takara</w:t>
            </w:r>
            <w:r>
              <w:rPr>
                <w:rFonts w:ascii="Arial" w:hAnsi="Arial" w:cs="Arial"/>
                <w:sz w:val="24"/>
                <w:szCs w:val="24"/>
              </w:rPr>
              <w:t>, Japan</w:t>
            </w:r>
          </w:p>
        </w:tc>
      </w:tr>
      <w:tr w:rsidR="00BD20A1" w:rsidRPr="006D743D" w14:paraId="1718174C" w14:textId="77777777" w:rsidTr="00AC27B0">
        <w:trPr>
          <w:trHeight w:hRule="exact" w:val="680"/>
          <w:jc w:val="center"/>
        </w:trPr>
        <w:tc>
          <w:tcPr>
            <w:tcW w:w="2466" w:type="dxa"/>
            <w:vAlign w:val="center"/>
          </w:tcPr>
          <w:p w14:paraId="1AA1462E"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 xml:space="preserve">Mouse </w:t>
            </w:r>
            <w:r>
              <w:rPr>
                <w:rFonts w:ascii="Arial" w:hAnsi="Arial" w:cs="Arial"/>
                <w:sz w:val="24"/>
                <w:szCs w:val="24"/>
              </w:rPr>
              <w:t xml:space="preserve">IL-4 </w:t>
            </w:r>
            <w:r w:rsidRPr="006D743D">
              <w:rPr>
                <w:rFonts w:ascii="Arial" w:hAnsi="Arial" w:cs="Arial"/>
                <w:sz w:val="24"/>
                <w:szCs w:val="24"/>
              </w:rPr>
              <w:t>(reverse)</w:t>
            </w:r>
          </w:p>
        </w:tc>
        <w:tc>
          <w:tcPr>
            <w:tcW w:w="3341" w:type="dxa"/>
            <w:vAlign w:val="center"/>
          </w:tcPr>
          <w:p w14:paraId="380E2535" w14:textId="77777777" w:rsidR="00BD20A1" w:rsidRPr="006D743D" w:rsidRDefault="00BD20A1" w:rsidP="006F4C29">
            <w:pPr>
              <w:jc w:val="left"/>
              <w:rPr>
                <w:rFonts w:ascii="Arial" w:hAnsi="Arial" w:cs="Arial"/>
                <w:sz w:val="24"/>
                <w:szCs w:val="24"/>
              </w:rPr>
            </w:pPr>
            <w:r w:rsidRPr="009B3E58">
              <w:rPr>
                <w:rFonts w:ascii="Arial" w:hAnsi="Arial" w:cs="Arial"/>
                <w:sz w:val="24"/>
                <w:szCs w:val="24"/>
              </w:rPr>
              <w:t>5'-AGC ACC TTG GAA GCC CTA CAG A-3'</w:t>
            </w:r>
          </w:p>
        </w:tc>
        <w:tc>
          <w:tcPr>
            <w:tcW w:w="2552" w:type="dxa"/>
            <w:vAlign w:val="center"/>
          </w:tcPr>
          <w:p w14:paraId="11B63B92"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Takara</w:t>
            </w:r>
            <w:r>
              <w:rPr>
                <w:rFonts w:ascii="Arial" w:hAnsi="Arial" w:cs="Arial"/>
                <w:sz w:val="24"/>
                <w:szCs w:val="24"/>
              </w:rPr>
              <w:t>, Japan</w:t>
            </w:r>
          </w:p>
        </w:tc>
      </w:tr>
      <w:tr w:rsidR="00BD20A1" w:rsidRPr="006D743D" w14:paraId="0CB762E2" w14:textId="77777777" w:rsidTr="00AC27B0">
        <w:trPr>
          <w:trHeight w:hRule="exact" w:val="680"/>
          <w:jc w:val="center"/>
        </w:trPr>
        <w:tc>
          <w:tcPr>
            <w:tcW w:w="2466" w:type="dxa"/>
            <w:vAlign w:val="center"/>
          </w:tcPr>
          <w:p w14:paraId="12428E7C"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 xml:space="preserve">Mouse </w:t>
            </w:r>
            <w:r>
              <w:rPr>
                <w:rFonts w:ascii="Arial" w:hAnsi="Arial" w:cs="Arial"/>
                <w:sz w:val="24"/>
                <w:szCs w:val="24"/>
              </w:rPr>
              <w:t xml:space="preserve">IFN-γ </w:t>
            </w:r>
            <w:r w:rsidRPr="006D743D">
              <w:rPr>
                <w:rFonts w:ascii="Arial" w:hAnsi="Arial" w:cs="Arial"/>
                <w:sz w:val="24"/>
                <w:szCs w:val="24"/>
              </w:rPr>
              <w:t>(forward)</w:t>
            </w:r>
          </w:p>
        </w:tc>
        <w:tc>
          <w:tcPr>
            <w:tcW w:w="3341" w:type="dxa"/>
            <w:vAlign w:val="center"/>
          </w:tcPr>
          <w:p w14:paraId="1E60F6A7" w14:textId="77777777" w:rsidR="00BD20A1" w:rsidRPr="006D743D" w:rsidRDefault="00BD20A1" w:rsidP="006F4C29">
            <w:pPr>
              <w:jc w:val="left"/>
              <w:rPr>
                <w:rFonts w:ascii="Arial" w:hAnsi="Arial" w:cs="Arial"/>
                <w:sz w:val="24"/>
                <w:szCs w:val="24"/>
              </w:rPr>
            </w:pPr>
            <w:r w:rsidRPr="009B3E58">
              <w:rPr>
                <w:rFonts w:ascii="Arial" w:hAnsi="Arial" w:cs="Arial"/>
                <w:sz w:val="24"/>
                <w:szCs w:val="24"/>
              </w:rPr>
              <w:t>5'-CGG CAC AGT CAT TGA AAG CCT A-3'</w:t>
            </w:r>
          </w:p>
        </w:tc>
        <w:tc>
          <w:tcPr>
            <w:tcW w:w="2552" w:type="dxa"/>
            <w:vAlign w:val="center"/>
          </w:tcPr>
          <w:p w14:paraId="08E322B6"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Takara</w:t>
            </w:r>
            <w:r>
              <w:rPr>
                <w:rFonts w:ascii="Arial" w:hAnsi="Arial" w:cs="Arial"/>
                <w:sz w:val="24"/>
                <w:szCs w:val="24"/>
              </w:rPr>
              <w:t>, Japan</w:t>
            </w:r>
          </w:p>
        </w:tc>
      </w:tr>
      <w:tr w:rsidR="00BD20A1" w:rsidRPr="006D743D" w14:paraId="0BD034F1" w14:textId="77777777" w:rsidTr="00AC27B0">
        <w:trPr>
          <w:trHeight w:hRule="exact" w:val="680"/>
          <w:jc w:val="center"/>
        </w:trPr>
        <w:tc>
          <w:tcPr>
            <w:tcW w:w="2466" w:type="dxa"/>
            <w:vAlign w:val="center"/>
          </w:tcPr>
          <w:p w14:paraId="72592581"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 xml:space="preserve">Mouse </w:t>
            </w:r>
            <w:r>
              <w:rPr>
                <w:rFonts w:ascii="Arial" w:hAnsi="Arial" w:cs="Arial"/>
                <w:sz w:val="24"/>
                <w:szCs w:val="24"/>
              </w:rPr>
              <w:t xml:space="preserve">IFN-γ </w:t>
            </w:r>
            <w:r w:rsidRPr="006D743D">
              <w:rPr>
                <w:rFonts w:ascii="Arial" w:hAnsi="Arial" w:cs="Arial"/>
                <w:sz w:val="24"/>
                <w:szCs w:val="24"/>
              </w:rPr>
              <w:t>(reverse)</w:t>
            </w:r>
          </w:p>
        </w:tc>
        <w:tc>
          <w:tcPr>
            <w:tcW w:w="3341" w:type="dxa"/>
            <w:vAlign w:val="center"/>
          </w:tcPr>
          <w:p w14:paraId="6100C8E9" w14:textId="77777777" w:rsidR="00BD20A1" w:rsidRPr="006D743D" w:rsidRDefault="00BD20A1" w:rsidP="006F4C29">
            <w:pPr>
              <w:jc w:val="left"/>
              <w:rPr>
                <w:rFonts w:ascii="Arial" w:hAnsi="Arial" w:cs="Arial"/>
                <w:sz w:val="24"/>
                <w:szCs w:val="24"/>
              </w:rPr>
            </w:pPr>
            <w:r w:rsidRPr="009B3E58">
              <w:rPr>
                <w:rFonts w:ascii="Arial" w:hAnsi="Arial" w:cs="Arial"/>
                <w:sz w:val="24"/>
                <w:szCs w:val="24"/>
              </w:rPr>
              <w:t>5'-GTT GCT GAT GGC CTG ATT GTC-3'</w:t>
            </w:r>
          </w:p>
        </w:tc>
        <w:tc>
          <w:tcPr>
            <w:tcW w:w="2552" w:type="dxa"/>
            <w:vAlign w:val="center"/>
          </w:tcPr>
          <w:p w14:paraId="76288701"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Takara</w:t>
            </w:r>
            <w:r>
              <w:rPr>
                <w:rFonts w:ascii="Arial" w:hAnsi="Arial" w:cs="Arial"/>
                <w:sz w:val="24"/>
                <w:szCs w:val="24"/>
              </w:rPr>
              <w:t>, Japan</w:t>
            </w:r>
          </w:p>
        </w:tc>
      </w:tr>
      <w:tr w:rsidR="00BD20A1" w:rsidRPr="006D743D" w14:paraId="4623F8AE" w14:textId="77777777" w:rsidTr="00AC27B0">
        <w:trPr>
          <w:trHeight w:hRule="exact" w:val="680"/>
          <w:jc w:val="center"/>
        </w:trPr>
        <w:tc>
          <w:tcPr>
            <w:tcW w:w="2466" w:type="dxa"/>
            <w:vAlign w:val="center"/>
          </w:tcPr>
          <w:p w14:paraId="4D8BB387"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 xml:space="preserve">Mouse </w:t>
            </w:r>
            <w:r>
              <w:rPr>
                <w:rFonts w:ascii="Arial" w:hAnsi="Arial" w:cs="Arial"/>
                <w:sz w:val="24"/>
                <w:szCs w:val="24"/>
              </w:rPr>
              <w:t>TNF</w:t>
            </w:r>
            <w:r>
              <w:rPr>
                <w:rFonts w:ascii="Arial" w:hAnsi="Arial" w:cs="Arial" w:hint="eastAsia"/>
                <w:sz w:val="24"/>
                <w:szCs w:val="24"/>
              </w:rPr>
              <w:t>-</w:t>
            </w:r>
            <w:r>
              <w:rPr>
                <w:rFonts w:ascii="Arial" w:hAnsi="Arial" w:cs="Arial"/>
                <w:sz w:val="24"/>
                <w:szCs w:val="24"/>
              </w:rPr>
              <w:t xml:space="preserve">α </w:t>
            </w:r>
            <w:r w:rsidRPr="006D743D">
              <w:rPr>
                <w:rFonts w:ascii="Arial" w:hAnsi="Arial" w:cs="Arial"/>
                <w:sz w:val="24"/>
                <w:szCs w:val="24"/>
              </w:rPr>
              <w:t>(forward)</w:t>
            </w:r>
          </w:p>
        </w:tc>
        <w:tc>
          <w:tcPr>
            <w:tcW w:w="3341" w:type="dxa"/>
            <w:vAlign w:val="center"/>
          </w:tcPr>
          <w:p w14:paraId="037321CE" w14:textId="77777777" w:rsidR="00BD20A1" w:rsidRPr="006D743D" w:rsidRDefault="00BD20A1" w:rsidP="006F4C29">
            <w:pPr>
              <w:jc w:val="left"/>
              <w:rPr>
                <w:rFonts w:ascii="Arial" w:hAnsi="Arial" w:cs="Arial"/>
                <w:sz w:val="24"/>
                <w:szCs w:val="24"/>
              </w:rPr>
            </w:pPr>
            <w:r w:rsidRPr="009B3E58">
              <w:rPr>
                <w:rFonts w:ascii="Arial" w:hAnsi="Arial" w:cs="Arial"/>
                <w:sz w:val="24"/>
                <w:szCs w:val="24"/>
              </w:rPr>
              <w:t>5'-ACT CCA GGC GGT GCC TAT GT-3'</w:t>
            </w:r>
          </w:p>
        </w:tc>
        <w:tc>
          <w:tcPr>
            <w:tcW w:w="2552" w:type="dxa"/>
            <w:vAlign w:val="center"/>
          </w:tcPr>
          <w:p w14:paraId="72E4948E"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Takara</w:t>
            </w:r>
            <w:r>
              <w:rPr>
                <w:rFonts w:ascii="Arial" w:hAnsi="Arial" w:cs="Arial"/>
                <w:sz w:val="24"/>
                <w:szCs w:val="24"/>
              </w:rPr>
              <w:t>, Japan</w:t>
            </w:r>
          </w:p>
        </w:tc>
      </w:tr>
      <w:tr w:rsidR="00BD20A1" w:rsidRPr="006D743D" w14:paraId="188F6D43" w14:textId="77777777" w:rsidTr="00AC27B0">
        <w:trPr>
          <w:trHeight w:hRule="exact" w:val="680"/>
          <w:jc w:val="center"/>
        </w:trPr>
        <w:tc>
          <w:tcPr>
            <w:tcW w:w="2466" w:type="dxa"/>
            <w:vAlign w:val="center"/>
          </w:tcPr>
          <w:p w14:paraId="6D081708"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 xml:space="preserve">Mouse </w:t>
            </w:r>
            <w:r>
              <w:rPr>
                <w:rFonts w:ascii="Arial" w:hAnsi="Arial" w:cs="Arial"/>
                <w:sz w:val="24"/>
                <w:szCs w:val="24"/>
              </w:rPr>
              <w:t>TNF</w:t>
            </w:r>
            <w:r>
              <w:rPr>
                <w:rFonts w:ascii="Arial" w:hAnsi="Arial" w:cs="Arial" w:hint="eastAsia"/>
                <w:sz w:val="24"/>
                <w:szCs w:val="24"/>
              </w:rPr>
              <w:t>-</w:t>
            </w:r>
            <w:r>
              <w:rPr>
                <w:rFonts w:ascii="Arial" w:hAnsi="Arial" w:cs="Arial"/>
                <w:sz w:val="24"/>
                <w:szCs w:val="24"/>
              </w:rPr>
              <w:t xml:space="preserve">α </w:t>
            </w:r>
            <w:r w:rsidRPr="006D743D">
              <w:rPr>
                <w:rFonts w:ascii="Arial" w:hAnsi="Arial" w:cs="Arial"/>
                <w:sz w:val="24"/>
                <w:szCs w:val="24"/>
              </w:rPr>
              <w:t>(reverse)</w:t>
            </w:r>
          </w:p>
        </w:tc>
        <w:tc>
          <w:tcPr>
            <w:tcW w:w="3341" w:type="dxa"/>
            <w:vAlign w:val="center"/>
          </w:tcPr>
          <w:p w14:paraId="6A68765B" w14:textId="77777777" w:rsidR="00BD20A1" w:rsidRPr="006D743D" w:rsidRDefault="00BD20A1" w:rsidP="006F4C29">
            <w:pPr>
              <w:jc w:val="left"/>
              <w:rPr>
                <w:rFonts w:ascii="Arial" w:hAnsi="Arial" w:cs="Arial"/>
                <w:sz w:val="24"/>
                <w:szCs w:val="24"/>
              </w:rPr>
            </w:pPr>
            <w:r w:rsidRPr="009B3E58">
              <w:rPr>
                <w:rFonts w:ascii="Arial" w:hAnsi="Arial" w:cs="Arial"/>
                <w:sz w:val="24"/>
                <w:szCs w:val="24"/>
              </w:rPr>
              <w:t>5'-GTG AGG GTC TGG GCC ATA GAA-3'</w:t>
            </w:r>
          </w:p>
        </w:tc>
        <w:tc>
          <w:tcPr>
            <w:tcW w:w="2552" w:type="dxa"/>
            <w:vAlign w:val="center"/>
          </w:tcPr>
          <w:p w14:paraId="449162FD"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Takara</w:t>
            </w:r>
            <w:r>
              <w:rPr>
                <w:rFonts w:ascii="Arial" w:hAnsi="Arial" w:cs="Arial"/>
                <w:sz w:val="24"/>
                <w:szCs w:val="24"/>
              </w:rPr>
              <w:t>, Japan</w:t>
            </w:r>
          </w:p>
        </w:tc>
      </w:tr>
      <w:tr w:rsidR="00BD20A1" w:rsidRPr="006D743D" w14:paraId="50263DD4" w14:textId="77777777" w:rsidTr="00AC27B0">
        <w:trPr>
          <w:trHeight w:hRule="exact" w:val="680"/>
          <w:jc w:val="center"/>
        </w:trPr>
        <w:tc>
          <w:tcPr>
            <w:tcW w:w="2466" w:type="dxa"/>
            <w:vAlign w:val="center"/>
          </w:tcPr>
          <w:p w14:paraId="515F65A7"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 xml:space="preserve">Mouse </w:t>
            </w:r>
            <w:r>
              <w:rPr>
                <w:rFonts w:ascii="Arial" w:hAnsi="Arial" w:cs="Arial"/>
                <w:sz w:val="24"/>
                <w:szCs w:val="24"/>
              </w:rPr>
              <w:t xml:space="preserve">GRP78 </w:t>
            </w:r>
            <w:r w:rsidRPr="006D743D">
              <w:rPr>
                <w:rFonts w:ascii="Arial" w:hAnsi="Arial" w:cs="Arial"/>
                <w:sz w:val="24"/>
                <w:szCs w:val="24"/>
              </w:rPr>
              <w:t>(forward)</w:t>
            </w:r>
          </w:p>
        </w:tc>
        <w:tc>
          <w:tcPr>
            <w:tcW w:w="3341" w:type="dxa"/>
            <w:vAlign w:val="center"/>
          </w:tcPr>
          <w:p w14:paraId="53CB87FD" w14:textId="77777777" w:rsidR="00BD20A1" w:rsidRPr="006D743D" w:rsidRDefault="00BD20A1" w:rsidP="006F4C29">
            <w:pPr>
              <w:jc w:val="left"/>
              <w:rPr>
                <w:rFonts w:ascii="Arial" w:hAnsi="Arial" w:cs="Arial"/>
                <w:sz w:val="24"/>
                <w:szCs w:val="24"/>
              </w:rPr>
            </w:pPr>
            <w:r w:rsidRPr="00F71FEA">
              <w:rPr>
                <w:rFonts w:ascii="Arial" w:hAnsi="Arial" w:cs="Arial"/>
                <w:sz w:val="24"/>
                <w:szCs w:val="24"/>
              </w:rPr>
              <w:t>5'-ACT TGG GGA CCA CCT ATT CCT-3'</w:t>
            </w:r>
          </w:p>
        </w:tc>
        <w:tc>
          <w:tcPr>
            <w:tcW w:w="2552" w:type="dxa"/>
            <w:vAlign w:val="center"/>
          </w:tcPr>
          <w:p w14:paraId="422CEA53"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Takara</w:t>
            </w:r>
            <w:r>
              <w:rPr>
                <w:rFonts w:ascii="Arial" w:hAnsi="Arial" w:cs="Arial"/>
                <w:sz w:val="24"/>
                <w:szCs w:val="24"/>
              </w:rPr>
              <w:t>, Japan</w:t>
            </w:r>
          </w:p>
        </w:tc>
      </w:tr>
      <w:tr w:rsidR="00BD20A1" w:rsidRPr="006D743D" w14:paraId="622C8A53" w14:textId="77777777" w:rsidTr="00AC27B0">
        <w:trPr>
          <w:trHeight w:hRule="exact" w:val="680"/>
          <w:jc w:val="center"/>
        </w:trPr>
        <w:tc>
          <w:tcPr>
            <w:tcW w:w="2466" w:type="dxa"/>
            <w:vAlign w:val="center"/>
          </w:tcPr>
          <w:p w14:paraId="661ED963"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 xml:space="preserve">Mouse </w:t>
            </w:r>
            <w:r>
              <w:rPr>
                <w:rFonts w:ascii="Arial" w:hAnsi="Arial" w:cs="Arial"/>
                <w:sz w:val="24"/>
                <w:szCs w:val="24"/>
              </w:rPr>
              <w:t xml:space="preserve">GRP78 </w:t>
            </w:r>
            <w:r w:rsidRPr="006D743D">
              <w:rPr>
                <w:rFonts w:ascii="Arial" w:hAnsi="Arial" w:cs="Arial"/>
                <w:sz w:val="24"/>
                <w:szCs w:val="24"/>
              </w:rPr>
              <w:t>(reverse)</w:t>
            </w:r>
          </w:p>
        </w:tc>
        <w:tc>
          <w:tcPr>
            <w:tcW w:w="3341" w:type="dxa"/>
            <w:vAlign w:val="center"/>
          </w:tcPr>
          <w:p w14:paraId="48868FF8" w14:textId="77777777" w:rsidR="00BD20A1" w:rsidRPr="006D743D" w:rsidRDefault="00BD20A1" w:rsidP="006F4C29">
            <w:pPr>
              <w:jc w:val="left"/>
              <w:rPr>
                <w:rFonts w:ascii="Arial" w:hAnsi="Arial" w:cs="Arial"/>
                <w:sz w:val="24"/>
                <w:szCs w:val="24"/>
              </w:rPr>
            </w:pPr>
            <w:r w:rsidRPr="00F71FEA">
              <w:rPr>
                <w:rFonts w:ascii="Arial" w:hAnsi="Arial" w:cs="Arial"/>
                <w:sz w:val="24"/>
                <w:szCs w:val="24"/>
              </w:rPr>
              <w:t>5'-GTT GCC CTG ATC GTT GGC TA-3'</w:t>
            </w:r>
          </w:p>
        </w:tc>
        <w:tc>
          <w:tcPr>
            <w:tcW w:w="2552" w:type="dxa"/>
            <w:vAlign w:val="center"/>
          </w:tcPr>
          <w:p w14:paraId="6D4DF13C"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synthesized by Takara</w:t>
            </w:r>
            <w:r>
              <w:rPr>
                <w:rFonts w:ascii="Arial" w:hAnsi="Arial" w:cs="Arial"/>
                <w:sz w:val="24"/>
                <w:szCs w:val="24"/>
              </w:rPr>
              <w:t>, Japan</w:t>
            </w:r>
          </w:p>
        </w:tc>
      </w:tr>
    </w:tbl>
    <w:p w14:paraId="61C371FC" w14:textId="77777777" w:rsidR="00BD20A1" w:rsidRDefault="00BD20A1" w:rsidP="006F4C29">
      <w:pPr>
        <w:spacing w:line="480" w:lineRule="auto"/>
        <w:jc w:val="left"/>
        <w:rPr>
          <w:rFonts w:ascii="Arial" w:hAnsi="Arial" w:cs="Arial"/>
          <w:sz w:val="24"/>
          <w:szCs w:val="24"/>
        </w:rPr>
      </w:pPr>
    </w:p>
    <w:p w14:paraId="21F8B69A" w14:textId="77777777" w:rsidR="00BD20A1" w:rsidRPr="00F819C6" w:rsidRDefault="00BD20A1" w:rsidP="006F4C29">
      <w:pPr>
        <w:widowControl/>
        <w:jc w:val="left"/>
        <w:rPr>
          <w:rFonts w:ascii="Arial" w:hAnsi="Arial" w:cs="Arial"/>
          <w:sz w:val="24"/>
          <w:szCs w:val="24"/>
        </w:rPr>
      </w:pPr>
      <w:r>
        <w:rPr>
          <w:rFonts w:ascii="Arial" w:hAnsi="Arial" w:cs="Arial"/>
          <w:sz w:val="24"/>
          <w:szCs w:val="24"/>
        </w:rPr>
        <w:br w:type="page"/>
      </w:r>
    </w:p>
    <w:p w14:paraId="5D81F48E" w14:textId="77777777" w:rsidR="00BD20A1" w:rsidRPr="00B940D8" w:rsidRDefault="00BD20A1" w:rsidP="006F4C29">
      <w:pPr>
        <w:spacing w:line="480" w:lineRule="auto"/>
        <w:jc w:val="left"/>
        <w:rPr>
          <w:rFonts w:ascii="Arial" w:hAnsi="Arial" w:cs="Arial"/>
          <w:b/>
          <w:sz w:val="24"/>
          <w:szCs w:val="24"/>
        </w:rPr>
      </w:pPr>
      <w:r w:rsidRPr="00B940D8">
        <w:rPr>
          <w:rFonts w:ascii="Arial" w:hAnsi="Arial" w:cs="Arial"/>
          <w:b/>
          <w:i/>
          <w:sz w:val="24"/>
          <w:szCs w:val="24"/>
        </w:rPr>
        <w:lastRenderedPageBreak/>
        <w:t>In vitro</w:t>
      </w:r>
      <w:r w:rsidRPr="00B940D8">
        <w:rPr>
          <w:rFonts w:ascii="Arial" w:hAnsi="Arial" w:cs="Arial"/>
          <w:b/>
          <w:sz w:val="24"/>
          <w:szCs w:val="24"/>
        </w:rPr>
        <w:t xml:space="preserve"> study</w:t>
      </w:r>
    </w:p>
    <w:p w14:paraId="5D8FD7C8" w14:textId="24102CB3" w:rsidR="00BD20A1" w:rsidRPr="006D743D" w:rsidRDefault="00BD20A1" w:rsidP="006F4C29">
      <w:pPr>
        <w:spacing w:line="480" w:lineRule="auto"/>
        <w:jc w:val="left"/>
        <w:rPr>
          <w:rFonts w:ascii="Arial" w:hAnsi="Arial" w:cs="Arial"/>
          <w:sz w:val="24"/>
          <w:szCs w:val="24"/>
        </w:rPr>
      </w:pPr>
      <w:r w:rsidRPr="008B2450">
        <w:rPr>
          <w:rFonts w:ascii="Arial" w:hAnsi="Arial" w:cs="Arial"/>
          <w:sz w:val="24"/>
          <w:szCs w:val="24"/>
        </w:rPr>
        <w:t>Tissue Processing</w:t>
      </w:r>
      <w:r>
        <w:rPr>
          <w:rFonts w:ascii="Arial" w:hAnsi="Arial" w:cs="Arial"/>
          <w:sz w:val="24"/>
          <w:szCs w:val="24"/>
        </w:rPr>
        <w:t xml:space="preserve"> </w:t>
      </w:r>
      <w:bookmarkStart w:id="0" w:name="_GoBack"/>
      <w:r w:rsidR="00EB62DB" w:rsidRPr="00EB62DB">
        <w:rPr>
          <w:rFonts w:ascii="Arial" w:hAnsi="Arial" w:cs="Arial"/>
          <w:noProof/>
          <w:sz w:val="24"/>
          <w:szCs w:val="24"/>
          <w:vertAlign w:val="superscript"/>
        </w:rPr>
        <w:t>1</w:t>
      </w:r>
      <w:bookmarkEnd w:id="0"/>
      <w:r>
        <w:rPr>
          <w:rFonts w:ascii="Arial" w:hAnsi="Arial" w:cs="Arial"/>
          <w:sz w:val="24"/>
          <w:szCs w:val="24"/>
        </w:rPr>
        <w:t>:</w:t>
      </w:r>
      <w:r w:rsidRPr="008B2450">
        <w:rPr>
          <w:rFonts w:ascii="Arial" w:hAnsi="Arial" w:cs="Arial"/>
          <w:sz w:val="24"/>
          <w:szCs w:val="24"/>
        </w:rPr>
        <w:t xml:space="preserve"> </w:t>
      </w:r>
      <w:r w:rsidRPr="006D743D">
        <w:rPr>
          <w:rFonts w:ascii="Arial" w:hAnsi="Arial" w:cs="Arial"/>
          <w:sz w:val="24"/>
          <w:szCs w:val="24"/>
        </w:rPr>
        <w:t>Fully anesthetized mice cervical dislocation was used for euthanizing, and soak in 75% alcohol for 15 min. Then, fix mouse on the dissecting board, cut the skin along the abdominal midline and expose the liver, inferior vena cava and hepatic portal vein with sterile surgical instruments. When the infusion needle is inserted into the inferior vena cava, the return of blood can be seen, and then the infusion needle is bound with the suture. Slowly inject 15 ml of 4</w:t>
      </w:r>
      <w:r w:rsidRPr="006D743D">
        <w:rPr>
          <w:rFonts w:ascii="微软雅黑" w:eastAsia="微软雅黑" w:hAnsi="微软雅黑" w:cs="微软雅黑" w:hint="eastAsia"/>
          <w:sz w:val="24"/>
          <w:szCs w:val="24"/>
        </w:rPr>
        <w:t>℃</w:t>
      </w:r>
      <w:r w:rsidRPr="006D743D">
        <w:rPr>
          <w:rFonts w:ascii="Arial" w:hAnsi="Arial" w:cs="Arial"/>
          <w:sz w:val="24"/>
          <w:szCs w:val="24"/>
        </w:rPr>
        <w:t xml:space="preserve"> D-Hanks by perfusion to eliminate blood, and the liver can be seen immediately bulging. Then perfuse the liver with 37°C collagenase solution, clamp the hepatic portal vein at the same time, and digest the liver for about 30 min. Under the action of collagenase, the parenchymal part of the liver will be digested and the structure will be lost, leaving only the fibrous tissue and liver envelope. Tease out the liver completely with sterile forceps and scissors, second, place it in a culture dish containing RPMI-1640 medium, tear the liver envelope and remove the undigested fibrous tissue. If incompletely digested liver tissue remains, place it in a 70μm cell sieve and grind it with a 1ml syringe plunger, it can be seen that these liver tissues shatter when touched. Suspension was repeatedly filtered through a 70μm cell sieve, and the filtrate was collected in a 50ml centrifuge tube. After placing the centrifuge tube at 4°C for 15 min, obvious stratification is formed, and the upper suspension is rich in LMNCs.</w:t>
      </w:r>
    </w:p>
    <w:p w14:paraId="7255F895" w14:textId="77777777" w:rsidR="00BD20A1" w:rsidRDefault="00BD20A1" w:rsidP="006F4C29">
      <w:pPr>
        <w:spacing w:line="480" w:lineRule="auto"/>
        <w:jc w:val="left"/>
        <w:rPr>
          <w:rFonts w:ascii="Arial" w:hAnsi="Arial" w:cs="Arial"/>
          <w:sz w:val="24"/>
          <w:szCs w:val="24"/>
        </w:rPr>
      </w:pPr>
    </w:p>
    <w:p w14:paraId="672E5FAB" w14:textId="6F5D1F88" w:rsidR="00BD20A1" w:rsidRDefault="00BD20A1" w:rsidP="006F4C29">
      <w:pPr>
        <w:spacing w:line="480" w:lineRule="auto"/>
        <w:jc w:val="left"/>
        <w:rPr>
          <w:rFonts w:ascii="Arial" w:hAnsi="Arial" w:cs="Arial"/>
          <w:sz w:val="24"/>
          <w:szCs w:val="24"/>
        </w:rPr>
      </w:pPr>
      <w:r w:rsidRPr="006D743D">
        <w:rPr>
          <w:rFonts w:ascii="Arial" w:hAnsi="Arial" w:cs="Arial"/>
          <w:sz w:val="24"/>
          <w:szCs w:val="24"/>
        </w:rPr>
        <w:lastRenderedPageBreak/>
        <w:t>Modified protocol for primary iNKT cells isolation</w:t>
      </w:r>
      <w:r>
        <w:rPr>
          <w:rFonts w:ascii="Arial" w:hAnsi="Arial" w:cs="Arial"/>
          <w:sz w:val="24"/>
          <w:szCs w:val="24"/>
        </w:rPr>
        <w:t xml:space="preserve"> </w:t>
      </w:r>
      <w:r w:rsidR="00EB62DB" w:rsidRPr="00EB62DB">
        <w:rPr>
          <w:rFonts w:ascii="Arial" w:hAnsi="Arial" w:cs="Arial"/>
          <w:noProof/>
          <w:sz w:val="24"/>
          <w:szCs w:val="24"/>
          <w:vertAlign w:val="superscript"/>
        </w:rPr>
        <w:t>2</w:t>
      </w:r>
      <w:r w:rsidRPr="006D743D">
        <w:rPr>
          <w:rFonts w:ascii="Arial" w:hAnsi="Arial" w:cs="Arial"/>
          <w:sz w:val="24"/>
          <w:szCs w:val="24"/>
        </w:rPr>
        <w:t>: the upper suspension was repeatedly filtered through a 40μm cell sieve and transferred to another 50</w:t>
      </w:r>
      <w:r>
        <w:rPr>
          <w:rFonts w:ascii="Arial" w:hAnsi="Arial" w:cs="Arial"/>
          <w:sz w:val="24"/>
          <w:szCs w:val="24"/>
        </w:rPr>
        <w:t xml:space="preserve"> </w:t>
      </w:r>
      <w:r w:rsidRPr="006D743D">
        <w:rPr>
          <w:rFonts w:ascii="Arial" w:hAnsi="Arial" w:cs="Arial"/>
          <w:sz w:val="24"/>
          <w:szCs w:val="24"/>
        </w:rPr>
        <w:t>ml centrifuge tube, centrifuged at 250×g for 5 min at 4°C, the supernatant was discarded and the pellet was washed twice with phosphate buffer solution (PBS). Resuspend the pellet with 4 ml 33%-percoll solution and transfer it to a 15ml centrifuge tube, centrifuge</w:t>
      </w:r>
      <w:r>
        <w:rPr>
          <w:rFonts w:ascii="Arial" w:hAnsi="Arial" w:cs="Arial" w:hint="eastAsia"/>
          <w:sz w:val="24"/>
          <w:szCs w:val="24"/>
        </w:rPr>
        <w:t>d</w:t>
      </w:r>
      <w:r w:rsidRPr="006D743D">
        <w:rPr>
          <w:rFonts w:ascii="Arial" w:hAnsi="Arial" w:cs="Arial"/>
          <w:sz w:val="24"/>
          <w:szCs w:val="24"/>
        </w:rPr>
        <w:t xml:space="preserve"> at 700×g for 25 min at room temperature. After removing the supernatant, add 5ml of erythrocyte lysate for 10min at 4°C, centrifuged at 250×g for 5min, discard the supernatant, and wash twice with PBS to obtain a white precipitate (If there are still red blood cells remaining, it can be lysed again according to the above method until the precipitate is white). Resuspend in PBS and count the cell number, and adjust to a cell concentration to 1×10</w:t>
      </w:r>
      <w:r w:rsidRPr="006D743D">
        <w:rPr>
          <w:rFonts w:ascii="Arial" w:hAnsi="Arial" w:cs="Arial"/>
          <w:sz w:val="24"/>
          <w:szCs w:val="24"/>
          <w:vertAlign w:val="superscript"/>
        </w:rPr>
        <w:t>7</w:t>
      </w:r>
      <w:r w:rsidRPr="006D743D">
        <w:rPr>
          <w:rFonts w:ascii="Arial" w:hAnsi="Arial" w:cs="Arial"/>
          <w:sz w:val="24"/>
          <w:szCs w:val="24"/>
        </w:rPr>
        <w:t xml:space="preserve"> cells/ml. Take 1×10</w:t>
      </w:r>
      <w:r w:rsidRPr="006D743D">
        <w:rPr>
          <w:rFonts w:ascii="Arial" w:hAnsi="Arial" w:cs="Arial"/>
          <w:sz w:val="24"/>
          <w:szCs w:val="24"/>
          <w:vertAlign w:val="superscript"/>
        </w:rPr>
        <w:t>6</w:t>
      </w:r>
      <w:r w:rsidRPr="006D743D">
        <w:rPr>
          <w:rFonts w:ascii="Arial" w:hAnsi="Arial" w:cs="Arial"/>
          <w:sz w:val="24"/>
          <w:szCs w:val="24"/>
        </w:rPr>
        <w:t xml:space="preserve"> cells into the flow cytometry tube, and add the corresponding antibodies according to the FACS sorting requirements. Mix well and incubate for 20~30 min in dark at room temperature. Add 1ml of PBS to each tube, centrifuge at 250×g for 5 minutes, and discard the supernatant to wash away unbound antibodies. Add 400ul PBS to each tube to resuspend the cells and detection</w:t>
      </w:r>
      <w:r>
        <w:rPr>
          <w:rFonts w:ascii="Arial" w:hAnsi="Arial" w:cs="Arial"/>
          <w:sz w:val="24"/>
          <w:szCs w:val="24"/>
        </w:rPr>
        <w:t xml:space="preserve">. </w:t>
      </w:r>
      <w:r w:rsidRPr="006D743D">
        <w:rPr>
          <w:rFonts w:ascii="Arial" w:hAnsi="Arial" w:cs="Arial"/>
          <w:sz w:val="24"/>
          <w:szCs w:val="24"/>
        </w:rPr>
        <w:t xml:space="preserve">The main steps of primary </w:t>
      </w:r>
      <w:r>
        <w:rPr>
          <w:rFonts w:ascii="Arial" w:hAnsi="Arial" w:cs="Arial"/>
          <w:sz w:val="24"/>
          <w:szCs w:val="24"/>
        </w:rPr>
        <w:t xml:space="preserve">iNKT </w:t>
      </w:r>
      <w:r w:rsidRPr="006D743D">
        <w:rPr>
          <w:rFonts w:ascii="Arial" w:hAnsi="Arial" w:cs="Arial"/>
          <w:sz w:val="24"/>
          <w:szCs w:val="24"/>
        </w:rPr>
        <w:t>cell</w:t>
      </w:r>
      <w:r>
        <w:rPr>
          <w:rFonts w:ascii="Arial" w:hAnsi="Arial" w:cs="Arial"/>
          <w:sz w:val="24"/>
          <w:szCs w:val="24"/>
        </w:rPr>
        <w:t>s</w:t>
      </w:r>
      <w:r w:rsidRPr="006D743D">
        <w:rPr>
          <w:rFonts w:ascii="Arial" w:hAnsi="Arial" w:cs="Arial"/>
          <w:sz w:val="24"/>
          <w:szCs w:val="24"/>
        </w:rPr>
        <w:t xml:space="preserve"> isolation are summarized </w:t>
      </w:r>
      <w:r w:rsidRPr="0037324C">
        <w:rPr>
          <w:rFonts w:ascii="Arial" w:hAnsi="Arial" w:cs="Arial"/>
          <w:sz w:val="24"/>
          <w:szCs w:val="24"/>
        </w:rPr>
        <w:t>as Supplemental figure 4.</w:t>
      </w:r>
    </w:p>
    <w:p w14:paraId="7919008E" w14:textId="77777777" w:rsidR="00BD20A1" w:rsidRDefault="00BD20A1" w:rsidP="006F4C29">
      <w:pPr>
        <w:spacing w:line="480" w:lineRule="auto"/>
        <w:jc w:val="left"/>
        <w:rPr>
          <w:rFonts w:ascii="Arial" w:hAnsi="Arial" w:cs="Arial"/>
          <w:sz w:val="24"/>
          <w:szCs w:val="24"/>
        </w:rPr>
      </w:pPr>
    </w:p>
    <w:p w14:paraId="4F3734D5" w14:textId="6A988910" w:rsidR="00BD20A1" w:rsidRDefault="00BD20A1" w:rsidP="006F4C29">
      <w:pPr>
        <w:spacing w:line="480" w:lineRule="auto"/>
        <w:jc w:val="left"/>
        <w:rPr>
          <w:rFonts w:ascii="Arial" w:hAnsi="Arial" w:cs="Arial"/>
          <w:sz w:val="24"/>
          <w:szCs w:val="24"/>
        </w:rPr>
      </w:pPr>
      <w:r w:rsidRPr="006D743D">
        <w:rPr>
          <w:rFonts w:ascii="Arial" w:hAnsi="Arial" w:cs="Arial"/>
          <w:sz w:val="24"/>
          <w:szCs w:val="24"/>
        </w:rPr>
        <w:t>FACS sorting strategy</w:t>
      </w:r>
      <w:r>
        <w:rPr>
          <w:rFonts w:ascii="Arial" w:hAnsi="Arial" w:cs="Arial"/>
          <w:sz w:val="24"/>
          <w:szCs w:val="24"/>
        </w:rPr>
        <w:t xml:space="preserve"> </w:t>
      </w:r>
      <w:r w:rsidR="00EB62DB" w:rsidRPr="00EB62DB">
        <w:rPr>
          <w:rFonts w:ascii="Arial" w:hAnsi="Arial" w:cs="Arial"/>
          <w:noProof/>
          <w:sz w:val="24"/>
          <w:szCs w:val="24"/>
          <w:vertAlign w:val="superscript"/>
        </w:rPr>
        <w:t>3</w:t>
      </w:r>
      <w:r w:rsidRPr="006D743D">
        <w:rPr>
          <w:rFonts w:ascii="Arial" w:hAnsi="Arial" w:cs="Arial"/>
          <w:sz w:val="24"/>
          <w:szCs w:val="24"/>
        </w:rPr>
        <w:t xml:space="preserve">: First, find out the lymphocyte population and exclude dead cells by PerCP 7-AAD, then identify FITC CD3 and PE-cy7 CD161 double positive cell population, and finally set the gate to include only the </w:t>
      </w:r>
      <w:r w:rsidRPr="006D743D">
        <w:rPr>
          <w:rFonts w:ascii="Arial" w:eastAsia="宋体" w:hAnsi="Arial" w:cs="Arial"/>
          <w:sz w:val="24"/>
          <w:szCs w:val="24"/>
        </w:rPr>
        <w:t xml:space="preserve">APC </w:t>
      </w:r>
      <w:r w:rsidRPr="006D743D">
        <w:rPr>
          <w:rFonts w:ascii="Arial" w:eastAsia="宋体" w:hAnsi="Arial" w:cs="Arial"/>
          <w:sz w:val="24"/>
          <w:szCs w:val="24"/>
        </w:rPr>
        <w:lastRenderedPageBreak/>
        <w:t>TCR-β</w:t>
      </w:r>
      <w:r w:rsidRPr="006D743D">
        <w:rPr>
          <w:rFonts w:ascii="Arial" w:eastAsia="宋体" w:hAnsi="Arial" w:cs="Arial"/>
          <w:sz w:val="24"/>
          <w:szCs w:val="24"/>
          <w:vertAlign w:val="superscript"/>
        </w:rPr>
        <w:t>+</w:t>
      </w:r>
      <w:r w:rsidRPr="006D743D">
        <w:rPr>
          <w:rFonts w:ascii="Arial" w:eastAsia="宋体" w:hAnsi="Arial" w:cs="Arial"/>
          <w:sz w:val="24"/>
          <w:szCs w:val="24"/>
        </w:rPr>
        <w:t xml:space="preserve"> and T-select PE CD1d tetramer</w:t>
      </w:r>
      <w:r w:rsidRPr="006D743D">
        <w:rPr>
          <w:rFonts w:ascii="Arial" w:eastAsia="宋体" w:hAnsi="Arial" w:cs="Arial"/>
          <w:sz w:val="24"/>
          <w:szCs w:val="24"/>
          <w:vertAlign w:val="superscript"/>
        </w:rPr>
        <w:t>+</w:t>
      </w:r>
      <w:r w:rsidRPr="006D743D">
        <w:rPr>
          <w:rFonts w:ascii="Arial" w:hAnsi="Arial" w:cs="Arial"/>
          <w:sz w:val="24"/>
          <w:szCs w:val="24"/>
        </w:rPr>
        <w:t xml:space="preserve"> cell population</w:t>
      </w:r>
      <w:r>
        <w:rPr>
          <w:rFonts w:ascii="Arial" w:hAnsi="Arial" w:cs="Arial"/>
          <w:sz w:val="24"/>
          <w:szCs w:val="24"/>
        </w:rPr>
        <w:t xml:space="preserve"> </w:t>
      </w:r>
      <w:r w:rsidRPr="006A5C26">
        <w:rPr>
          <w:rFonts w:ascii="Arial" w:hAnsi="Arial" w:cs="Arial"/>
          <w:sz w:val="24"/>
          <w:szCs w:val="24"/>
        </w:rPr>
        <w:t>(Supplemental figure 5).</w:t>
      </w:r>
      <w:r>
        <w:rPr>
          <w:rFonts w:ascii="Arial" w:hAnsi="Arial" w:cs="Arial"/>
          <w:sz w:val="24"/>
          <w:szCs w:val="24"/>
        </w:rPr>
        <w:t xml:space="preserve"> </w:t>
      </w:r>
      <w:r w:rsidRPr="006D743D">
        <w:rPr>
          <w:rFonts w:ascii="Arial" w:hAnsi="Arial" w:cs="Arial"/>
          <w:sz w:val="24"/>
          <w:szCs w:val="24"/>
        </w:rPr>
        <w:t xml:space="preserve">The appropriate separation speed for BD FACSAria III is about </w:t>
      </w:r>
      <w:r>
        <w:rPr>
          <w:rFonts w:ascii="Arial" w:hAnsi="Arial" w:cs="Arial"/>
          <w:sz w:val="24"/>
          <w:szCs w:val="24"/>
        </w:rPr>
        <w:t>1</w:t>
      </w:r>
      <w:r w:rsidRPr="006D743D">
        <w:rPr>
          <w:rFonts w:ascii="Arial" w:hAnsi="Arial" w:cs="Arial"/>
          <w:sz w:val="24"/>
          <w:szCs w:val="24"/>
        </w:rPr>
        <w:t>~</w:t>
      </w:r>
      <w:r>
        <w:rPr>
          <w:rFonts w:ascii="Arial" w:hAnsi="Arial" w:cs="Arial"/>
          <w:sz w:val="24"/>
          <w:szCs w:val="24"/>
        </w:rPr>
        <w:t>2</w:t>
      </w:r>
      <w:r w:rsidRPr="006D743D">
        <w:rPr>
          <w:rFonts w:ascii="Arial" w:hAnsi="Arial" w:cs="Arial"/>
          <w:sz w:val="24"/>
          <w:szCs w:val="24"/>
        </w:rPr>
        <w:t>×10</w:t>
      </w:r>
      <w:r w:rsidRPr="006D743D">
        <w:rPr>
          <w:rFonts w:ascii="Arial" w:hAnsi="Arial" w:cs="Arial"/>
          <w:sz w:val="24"/>
          <w:szCs w:val="24"/>
          <w:vertAlign w:val="superscript"/>
        </w:rPr>
        <w:t>6</w:t>
      </w:r>
      <w:r w:rsidRPr="006D743D">
        <w:rPr>
          <w:rFonts w:ascii="Arial" w:hAnsi="Arial" w:cs="Arial"/>
          <w:sz w:val="24"/>
          <w:szCs w:val="24"/>
        </w:rPr>
        <w:t>cells per hour.</w:t>
      </w:r>
    </w:p>
    <w:p w14:paraId="13F2A2ED" w14:textId="77777777" w:rsidR="00BD20A1" w:rsidRDefault="00BD20A1" w:rsidP="006F4C29">
      <w:pPr>
        <w:spacing w:line="480" w:lineRule="auto"/>
        <w:jc w:val="left"/>
        <w:rPr>
          <w:rFonts w:ascii="Arial" w:hAnsi="Arial" w:cs="Arial"/>
          <w:sz w:val="24"/>
          <w:szCs w:val="24"/>
        </w:rPr>
      </w:pPr>
    </w:p>
    <w:p w14:paraId="5E6125E1" w14:textId="77777777" w:rsidR="00BD20A1" w:rsidRDefault="00BD20A1" w:rsidP="006F4C29">
      <w:pPr>
        <w:spacing w:line="480" w:lineRule="auto"/>
        <w:jc w:val="left"/>
        <w:rPr>
          <w:rFonts w:ascii="Arial" w:hAnsi="Arial" w:cs="Arial"/>
          <w:sz w:val="24"/>
          <w:szCs w:val="24"/>
        </w:rPr>
      </w:pPr>
      <w:r w:rsidRPr="006D743D">
        <w:rPr>
          <w:rFonts w:ascii="Arial" w:hAnsi="Arial" w:cs="Arial"/>
          <w:sz w:val="24"/>
          <w:szCs w:val="24"/>
        </w:rPr>
        <w:t>Modified protocol for primary hepatocytes isolation: the lower pellet contained hepatocytes with some other cells mixed in. Resuspend hepatocytes with an appropriate amount of DMEM, centrifuge at 50×g for 2 min and discard the supernatant. Then, hepatocytes were washed twice by gradient centrifugation at 90×g for 5 minutes at 4°C. Hepatocytes were resuspended in PBS, and the cell viability measured by trypan blue was about 97%. Hepatocytes were cultured in complete culture medium (DMEM: FBS=9: 1, vol/vol) contain recombinant human hepatocyte growth factor (rhHGF, 1 ng/ml), penicillin (100 µg/ml), streptomycin (100 U/ml), and dexamethasone (0.5 µg/ml) using 6-well plates precoated with rat tail tendon collagen type I (2.5 µg/cm</w:t>
      </w:r>
      <w:r w:rsidRPr="006D743D">
        <w:rPr>
          <w:rFonts w:ascii="Arial" w:hAnsi="Arial" w:cs="Arial"/>
          <w:sz w:val="24"/>
          <w:szCs w:val="24"/>
          <w:vertAlign w:val="superscript"/>
        </w:rPr>
        <w:t>2</w:t>
      </w:r>
      <w:r w:rsidRPr="006D743D">
        <w:rPr>
          <w:rFonts w:ascii="Arial" w:hAnsi="Arial" w:cs="Arial"/>
          <w:sz w:val="24"/>
          <w:szCs w:val="24"/>
        </w:rPr>
        <w:t>). After hepatocytes adhered, the complete culture medium was poured off, and the 6-well plates were rinsed twice with PBS to remove non-adherent and poorly adherent cells. Then add an appropriate amount of complete culture medium to the plates.</w:t>
      </w:r>
    </w:p>
    <w:p w14:paraId="4FF70307" w14:textId="77777777" w:rsidR="00BD20A1" w:rsidRDefault="00BD20A1" w:rsidP="006F4C29">
      <w:pPr>
        <w:spacing w:line="480" w:lineRule="auto"/>
        <w:jc w:val="left"/>
        <w:rPr>
          <w:rFonts w:ascii="Arial" w:hAnsi="Arial" w:cs="Arial"/>
          <w:sz w:val="24"/>
          <w:szCs w:val="24"/>
        </w:rPr>
      </w:pPr>
    </w:p>
    <w:p w14:paraId="523BF8A9" w14:textId="77777777" w:rsidR="00BD20A1" w:rsidRDefault="00BD20A1" w:rsidP="006F4C29">
      <w:pPr>
        <w:spacing w:line="480" w:lineRule="auto"/>
        <w:jc w:val="left"/>
        <w:rPr>
          <w:rFonts w:ascii="Arial" w:hAnsi="Arial" w:cs="Arial"/>
          <w:sz w:val="24"/>
          <w:szCs w:val="24"/>
        </w:rPr>
      </w:pPr>
      <w:r w:rsidRPr="006D743D">
        <w:rPr>
          <w:rFonts w:ascii="Arial" w:hAnsi="Arial" w:cs="Arial"/>
          <w:sz w:val="24"/>
          <w:szCs w:val="24"/>
        </w:rPr>
        <w:t xml:space="preserve">To identify whether these cells in the plates are hepatocytes, we performed the following experiments. Glycogen staining showed that the cell cytoplasm was purple-red; immunofluorescence shows that these cells express </w:t>
      </w:r>
      <w:r w:rsidRPr="006D743D">
        <w:rPr>
          <w:rFonts w:ascii="Arial" w:hAnsi="Arial" w:cs="Arial"/>
          <w:sz w:val="24"/>
          <w:szCs w:val="24"/>
        </w:rPr>
        <w:lastRenderedPageBreak/>
        <w:t>cytokeratin 18; transmission electron microscopy revealed the presence of numerous organelles such as mitochondria, endoplasmic reticulum, lysosomes, Golgi apparatus and glycogen, and tight junctions can be seen between</w:t>
      </w:r>
      <w:r w:rsidRPr="006A5C26">
        <w:rPr>
          <w:rFonts w:ascii="Arial" w:hAnsi="Arial" w:cs="Arial"/>
          <w:sz w:val="24"/>
          <w:szCs w:val="24"/>
        </w:rPr>
        <w:t xml:space="preserve"> cells (Supplemental figure </w:t>
      </w:r>
      <w:r w:rsidRPr="006A5C26">
        <w:rPr>
          <w:rFonts w:ascii="Arial" w:hAnsi="Arial" w:cs="Arial" w:hint="eastAsia"/>
          <w:sz w:val="24"/>
          <w:szCs w:val="24"/>
        </w:rPr>
        <w:t>6</w:t>
      </w:r>
      <w:r w:rsidRPr="006A5C26">
        <w:rPr>
          <w:rFonts w:ascii="Arial" w:hAnsi="Arial" w:cs="Arial"/>
          <w:sz w:val="24"/>
          <w:szCs w:val="24"/>
        </w:rPr>
        <w:t>).</w:t>
      </w:r>
    </w:p>
    <w:p w14:paraId="61BF526B" w14:textId="77777777" w:rsidR="00BD20A1" w:rsidRDefault="00BD20A1" w:rsidP="006F4C29">
      <w:pPr>
        <w:spacing w:line="480" w:lineRule="auto"/>
        <w:jc w:val="left"/>
        <w:rPr>
          <w:rFonts w:ascii="Arial" w:hAnsi="Arial" w:cs="Arial"/>
          <w:sz w:val="24"/>
          <w:szCs w:val="24"/>
        </w:rPr>
      </w:pPr>
    </w:p>
    <w:p w14:paraId="03C9C9B6" w14:textId="237D757D" w:rsidR="00BD20A1" w:rsidRPr="005E05D1" w:rsidRDefault="00BD20A1" w:rsidP="006F4C29">
      <w:pPr>
        <w:spacing w:line="480" w:lineRule="auto"/>
        <w:jc w:val="left"/>
        <w:rPr>
          <w:rFonts w:ascii="Arial" w:hAnsi="Arial" w:cs="Arial"/>
          <w:sz w:val="24"/>
          <w:szCs w:val="24"/>
        </w:rPr>
      </w:pPr>
      <w:r w:rsidRPr="006D743D">
        <w:rPr>
          <w:rFonts w:ascii="Arial" w:hAnsi="Arial" w:cs="Arial"/>
          <w:sz w:val="24"/>
          <w:szCs w:val="24"/>
        </w:rPr>
        <w:t>Modified culture of mouse iNKT cells</w:t>
      </w:r>
      <w:r w:rsidR="00EB62DB">
        <w:rPr>
          <w:rFonts w:ascii="Arial" w:hAnsi="Arial" w:cs="Arial"/>
          <w:sz w:val="24"/>
          <w:szCs w:val="24"/>
        </w:rPr>
        <w:t xml:space="preserve"> </w:t>
      </w:r>
      <w:r w:rsidR="00EB62DB" w:rsidRPr="00A24BFF">
        <w:rPr>
          <w:rFonts w:ascii="Arial" w:hAnsi="Arial" w:cs="Arial"/>
          <w:noProof/>
          <w:sz w:val="24"/>
          <w:szCs w:val="24"/>
          <w:vertAlign w:val="superscript"/>
        </w:rPr>
        <w:t>2, 4</w:t>
      </w:r>
      <w:r>
        <w:rPr>
          <w:rFonts w:ascii="Arial" w:hAnsi="Arial" w:cs="Arial"/>
          <w:sz w:val="24"/>
          <w:szCs w:val="24"/>
        </w:rPr>
        <w:t xml:space="preserve">: </w:t>
      </w:r>
      <w:r w:rsidRPr="006D743D">
        <w:rPr>
          <w:rFonts w:ascii="Arial" w:hAnsi="Arial" w:cs="Arial"/>
          <w:sz w:val="24"/>
          <w:szCs w:val="24"/>
        </w:rPr>
        <w:t>Preparation of complete RPMI-1640 medium: RPMI-1640 medium, FBS, penicillin-streptomycin are 89:10:1 (vol/vol), 10 mM HEPES buffer, 5.5 mM β-mercaptoethanol, 1 mM sodium pyruvate and 0.1 mM MEM nonessential amino acids. The FACS sorted primary iNKT cells were resuspended in complete RPMI-1640 medium and added with mouse recombinant IL-2 (10 ng/ml), mouse recombinant IL-12 (1 ng/ml) and anti-mouse CD28 antibody (1 µg/ml). The appropriate cell concentration is 1×10</w:t>
      </w:r>
      <w:r w:rsidRPr="006D743D">
        <w:rPr>
          <w:rFonts w:ascii="Arial" w:hAnsi="Arial" w:cs="Arial"/>
          <w:sz w:val="24"/>
          <w:szCs w:val="24"/>
          <w:vertAlign w:val="superscript"/>
        </w:rPr>
        <w:t>6</w:t>
      </w:r>
      <w:r w:rsidRPr="006D743D">
        <w:rPr>
          <w:rFonts w:ascii="Arial" w:hAnsi="Arial" w:cs="Arial"/>
          <w:sz w:val="24"/>
          <w:szCs w:val="24"/>
        </w:rPr>
        <w:t xml:space="preserve"> cells/ml. Preparation of antibody-coated 24-well plate: Dilute the anti-CD3ε antibody to 3 μg/ml with RPMI-1640 medium, add 250µl of the diluted antibody to a flat-bottomed 24-well plate, incubate at room temperature for at least 1h, rinse the well and wash several times with RPMI-1640 medium before use. Transfer an appropriate amount of cell suspension to a flat-bottomed 24-well plate coated with anti-CD3ε antibody, and incubate at 37°C with 5%CO</w:t>
      </w:r>
      <w:r w:rsidRPr="00C1474D">
        <w:rPr>
          <w:rFonts w:ascii="Arial" w:hAnsi="Arial" w:cs="Arial"/>
          <w:sz w:val="24"/>
          <w:szCs w:val="24"/>
          <w:vertAlign w:val="subscript"/>
        </w:rPr>
        <w:t>2</w:t>
      </w:r>
      <w:r w:rsidRPr="006D743D">
        <w:rPr>
          <w:rFonts w:ascii="Arial" w:hAnsi="Arial" w:cs="Arial"/>
          <w:sz w:val="24"/>
          <w:szCs w:val="24"/>
        </w:rPr>
        <w:t xml:space="preserve"> for 2 days (equivalent to the 1st and 2nd day of the culture cycle). On the third day, transfer the cells to some new wells that not coated with anti-CD3ε antibody, add complete RPMI-1640 medium and continue to culture in incubator for 2 days (equivalent to the 3rd and 4th day of </w:t>
      </w:r>
      <w:r w:rsidRPr="006D743D">
        <w:rPr>
          <w:rFonts w:ascii="Arial" w:hAnsi="Arial" w:cs="Arial"/>
          <w:sz w:val="24"/>
          <w:szCs w:val="24"/>
        </w:rPr>
        <w:lastRenderedPageBreak/>
        <w:t>the culture cycle). Collect the cell suspension and centrifuge, discard the supernatant, resuspend the cells in complete RPMI-1640 medium, add mouse recombinant IL-7 (2 U/ml), and continue to culture for 4 days (equivalent to the 5th, 6th, 7th and 8th day of the culture cycle). Collect the cell suspension and centrifuge, discard the supernatant, resuspend the cells in complete RPMI-1640 medium, transfer to anti-CD3ε antibody-coated flat-bottomed well plate, and incubate at 37°C, 5%CO2 for 3 days (equivalent to the 9th, 10th and 11th day of the culture cycle). Repeat this process (day 5th to day 8th, equivalent to the 12th, 13th, 14th and 15th day of the culture cycle). Repeat this process (day 9th to day 11th, equivalent to the 16th, 17th and 18th day of the culture cycle). Collect the cell suspension and centrifuge, discard the supernatant, resuspend the cells complete RPMI-1640 medium for an aimed analysis. If need to expand mouse iNKT cells, please continue with the protocol.</w:t>
      </w:r>
      <w:r>
        <w:rPr>
          <w:rFonts w:ascii="Arial" w:hAnsi="Arial" w:cs="Arial"/>
          <w:sz w:val="24"/>
          <w:szCs w:val="24"/>
        </w:rPr>
        <w:t xml:space="preserve"> </w:t>
      </w:r>
      <w:r>
        <w:rPr>
          <w:rFonts w:ascii="Arial" w:hAnsi="Arial" w:cs="Arial" w:hint="eastAsia"/>
          <w:sz w:val="24"/>
          <w:szCs w:val="24"/>
        </w:rPr>
        <w:t>The</w:t>
      </w:r>
      <w:r>
        <w:rPr>
          <w:rFonts w:ascii="Arial" w:hAnsi="Arial" w:cs="Arial"/>
          <w:sz w:val="24"/>
          <w:szCs w:val="24"/>
        </w:rPr>
        <w:t xml:space="preserve"> reagents</w:t>
      </w:r>
      <w:r w:rsidRPr="006D743D">
        <w:rPr>
          <w:rFonts w:ascii="Arial" w:hAnsi="Arial" w:cs="Arial"/>
          <w:sz w:val="24"/>
          <w:szCs w:val="24"/>
        </w:rPr>
        <w:t xml:space="preserve"> used in this section</w:t>
      </w:r>
      <w:r>
        <w:rPr>
          <w:rFonts w:ascii="Arial" w:hAnsi="Arial" w:cs="Arial"/>
          <w:sz w:val="24"/>
          <w:szCs w:val="24"/>
        </w:rPr>
        <w:t xml:space="preserve"> </w:t>
      </w:r>
      <w:r>
        <w:rPr>
          <w:rFonts w:ascii="Arial" w:hAnsi="Arial" w:cs="Arial" w:hint="eastAsia"/>
          <w:sz w:val="24"/>
          <w:szCs w:val="24"/>
        </w:rPr>
        <w:t>(</w:t>
      </w:r>
      <w:r w:rsidRPr="00B940D8">
        <w:rPr>
          <w:rFonts w:ascii="Arial" w:hAnsi="Arial" w:cs="Arial"/>
          <w:b/>
          <w:i/>
          <w:sz w:val="24"/>
          <w:szCs w:val="24"/>
        </w:rPr>
        <w:t>In vitro</w:t>
      </w:r>
      <w:r w:rsidRPr="00B940D8">
        <w:rPr>
          <w:rFonts w:ascii="Arial" w:hAnsi="Arial" w:cs="Arial"/>
          <w:b/>
          <w:sz w:val="24"/>
          <w:szCs w:val="24"/>
        </w:rPr>
        <w:t xml:space="preserve"> study</w:t>
      </w:r>
      <w:r>
        <w:rPr>
          <w:rFonts w:ascii="Arial" w:hAnsi="Arial" w:cs="Arial"/>
          <w:sz w:val="24"/>
          <w:szCs w:val="24"/>
        </w:rPr>
        <w:t>)</w:t>
      </w:r>
      <w:r w:rsidRPr="006D743D">
        <w:rPr>
          <w:rFonts w:ascii="Arial" w:hAnsi="Arial" w:cs="Arial"/>
          <w:sz w:val="24"/>
          <w:szCs w:val="24"/>
        </w:rPr>
        <w:t xml:space="preserve"> are detailed </w:t>
      </w:r>
      <w:r>
        <w:rPr>
          <w:rFonts w:ascii="Arial" w:hAnsi="Arial" w:cs="Arial" w:hint="eastAsia"/>
          <w:sz w:val="24"/>
          <w:szCs w:val="24"/>
        </w:rPr>
        <w:t>below.</w:t>
      </w:r>
    </w:p>
    <w:p w14:paraId="6F4C01BD" w14:textId="77777777" w:rsidR="00BD20A1" w:rsidRDefault="00BD20A1" w:rsidP="006F4C29">
      <w:pPr>
        <w:spacing w:line="480" w:lineRule="auto"/>
        <w:jc w:val="left"/>
        <w:rPr>
          <w:rFonts w:ascii="Arial" w:hAnsi="Arial" w:cs="Arial"/>
          <w:color w:val="FF0000"/>
          <w:sz w:val="24"/>
          <w:szCs w:val="24"/>
        </w:rPr>
      </w:pPr>
    </w:p>
    <w:p w14:paraId="12F6C8F6" w14:textId="77777777" w:rsidR="00AC27B0" w:rsidRDefault="00AC27B0">
      <w:pPr>
        <w:widowControl/>
        <w:jc w:val="left"/>
        <w:rPr>
          <w:rFonts w:ascii="Arial" w:hAnsi="Arial" w:cs="Arial"/>
          <w:sz w:val="24"/>
          <w:szCs w:val="24"/>
        </w:rPr>
      </w:pPr>
      <w:r>
        <w:rPr>
          <w:rFonts w:ascii="Arial" w:hAnsi="Arial" w:cs="Arial"/>
          <w:sz w:val="24"/>
          <w:szCs w:val="24"/>
        </w:rPr>
        <w:br w:type="page"/>
      </w:r>
    </w:p>
    <w:p w14:paraId="51EB9975" w14:textId="5EC5A99E" w:rsidR="00BD20A1" w:rsidRPr="006A5C26" w:rsidRDefault="00BD20A1" w:rsidP="006F4C29">
      <w:pPr>
        <w:spacing w:line="480" w:lineRule="auto"/>
        <w:jc w:val="left"/>
        <w:rPr>
          <w:rFonts w:ascii="Arial" w:hAnsi="Arial" w:cs="Arial"/>
          <w:sz w:val="24"/>
          <w:szCs w:val="24"/>
        </w:rPr>
      </w:pPr>
      <w:r w:rsidRPr="006A5C26">
        <w:rPr>
          <w:rFonts w:ascii="Arial" w:hAnsi="Arial" w:cs="Arial"/>
          <w:sz w:val="24"/>
          <w:szCs w:val="24"/>
        </w:rPr>
        <w:lastRenderedPageBreak/>
        <w:t>Supplemental table 4</w:t>
      </w:r>
      <w:r w:rsidR="00066898">
        <w:rPr>
          <w:rFonts w:ascii="Arial" w:hAnsi="Arial" w:cs="Arial"/>
          <w:sz w:val="24"/>
          <w:szCs w:val="24"/>
        </w:rPr>
        <w:t xml:space="preserve"> </w:t>
      </w:r>
      <w:r w:rsidR="00066898" w:rsidRPr="00066898">
        <w:rPr>
          <w:rFonts w:ascii="Arial" w:hAnsi="Arial" w:cs="Arial"/>
          <w:sz w:val="24"/>
          <w:szCs w:val="24"/>
        </w:rPr>
        <w:t>Reagents for FACS sorting and culture of iNKT cells</w:t>
      </w:r>
    </w:p>
    <w:tbl>
      <w:tblPr>
        <w:tblStyle w:val="a5"/>
        <w:tblW w:w="8364" w:type="dxa"/>
        <w:jc w:val="center"/>
        <w:tblLook w:val="04A0" w:firstRow="1" w:lastRow="0" w:firstColumn="1" w:lastColumn="0" w:noHBand="0" w:noVBand="1"/>
      </w:tblPr>
      <w:tblGrid>
        <w:gridCol w:w="3124"/>
        <w:gridCol w:w="3685"/>
        <w:gridCol w:w="1555"/>
      </w:tblGrid>
      <w:tr w:rsidR="00BD20A1" w:rsidRPr="006D743D" w14:paraId="39C541CB" w14:textId="77777777" w:rsidTr="00F37369">
        <w:trPr>
          <w:trHeight w:hRule="exact" w:val="680"/>
          <w:jc w:val="center"/>
        </w:trPr>
        <w:tc>
          <w:tcPr>
            <w:tcW w:w="3124" w:type="dxa"/>
            <w:shd w:val="clear" w:color="auto" w:fill="D9D9D9" w:themeFill="background1" w:themeFillShade="D9"/>
            <w:vAlign w:val="center"/>
          </w:tcPr>
          <w:p w14:paraId="566B09A0"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Name</w:t>
            </w:r>
          </w:p>
        </w:tc>
        <w:tc>
          <w:tcPr>
            <w:tcW w:w="3685" w:type="dxa"/>
            <w:shd w:val="clear" w:color="auto" w:fill="D9D9D9" w:themeFill="background1" w:themeFillShade="D9"/>
            <w:vAlign w:val="center"/>
          </w:tcPr>
          <w:p w14:paraId="635D1D15"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Source</w:t>
            </w:r>
          </w:p>
        </w:tc>
        <w:tc>
          <w:tcPr>
            <w:tcW w:w="1555" w:type="dxa"/>
            <w:shd w:val="clear" w:color="auto" w:fill="D9D9D9" w:themeFill="background1" w:themeFillShade="D9"/>
            <w:vAlign w:val="center"/>
          </w:tcPr>
          <w:p w14:paraId="0631A64B"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Catalog no.</w:t>
            </w:r>
          </w:p>
        </w:tc>
      </w:tr>
      <w:tr w:rsidR="00BD20A1" w:rsidRPr="006D743D" w14:paraId="41FB70DD" w14:textId="77777777" w:rsidTr="00F37369">
        <w:trPr>
          <w:trHeight w:hRule="exact" w:val="680"/>
          <w:jc w:val="center"/>
        </w:trPr>
        <w:tc>
          <w:tcPr>
            <w:tcW w:w="3124" w:type="dxa"/>
            <w:vAlign w:val="center"/>
          </w:tcPr>
          <w:p w14:paraId="5F79EB93"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PerCP 7-AAD (FACS)</w:t>
            </w:r>
          </w:p>
        </w:tc>
        <w:tc>
          <w:tcPr>
            <w:tcW w:w="3685" w:type="dxa"/>
            <w:vAlign w:val="center"/>
          </w:tcPr>
          <w:p w14:paraId="634F56A5"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Multi Sciences Biotech, Hangzhou</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75BBD586"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AP104</w:t>
            </w:r>
          </w:p>
        </w:tc>
      </w:tr>
      <w:tr w:rsidR="00BD20A1" w:rsidRPr="006D743D" w14:paraId="4C351C7C" w14:textId="77777777" w:rsidTr="00F37369">
        <w:trPr>
          <w:trHeight w:hRule="exact" w:val="680"/>
          <w:jc w:val="center"/>
        </w:trPr>
        <w:tc>
          <w:tcPr>
            <w:tcW w:w="3124" w:type="dxa"/>
            <w:vAlign w:val="center"/>
          </w:tcPr>
          <w:p w14:paraId="66259970"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PE-cy7 CD161 (FACS)</w:t>
            </w:r>
          </w:p>
        </w:tc>
        <w:tc>
          <w:tcPr>
            <w:tcW w:w="3685" w:type="dxa"/>
            <w:vAlign w:val="center"/>
          </w:tcPr>
          <w:p w14:paraId="4B7C3EA5"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Multi Sciences Biotech, Hangzhou</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787C1B6D"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AM16101</w:t>
            </w:r>
          </w:p>
        </w:tc>
      </w:tr>
      <w:tr w:rsidR="00BD20A1" w:rsidRPr="006D743D" w14:paraId="11E8731B" w14:textId="77777777" w:rsidTr="00F37369">
        <w:trPr>
          <w:trHeight w:hRule="exact" w:val="680"/>
          <w:jc w:val="center"/>
        </w:trPr>
        <w:tc>
          <w:tcPr>
            <w:tcW w:w="3124" w:type="dxa"/>
            <w:vAlign w:val="center"/>
          </w:tcPr>
          <w:p w14:paraId="2C928C80"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FITC CD3 (FACS)</w:t>
            </w:r>
          </w:p>
        </w:tc>
        <w:tc>
          <w:tcPr>
            <w:tcW w:w="3685" w:type="dxa"/>
            <w:vAlign w:val="center"/>
          </w:tcPr>
          <w:p w14:paraId="0D24E0F8"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Biolegend, California</w:t>
            </w:r>
            <w:r>
              <w:rPr>
                <w:rFonts w:ascii="Arial" w:eastAsia="宋体" w:hAnsi="Arial" w:cs="Arial"/>
                <w:sz w:val="24"/>
                <w:szCs w:val="24"/>
              </w:rPr>
              <w:t>, USA</w:t>
            </w:r>
          </w:p>
        </w:tc>
        <w:tc>
          <w:tcPr>
            <w:tcW w:w="1555" w:type="dxa"/>
            <w:vAlign w:val="center"/>
          </w:tcPr>
          <w:p w14:paraId="5AD75518"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152304</w:t>
            </w:r>
          </w:p>
        </w:tc>
      </w:tr>
      <w:tr w:rsidR="00BD20A1" w:rsidRPr="006D743D" w14:paraId="40813DCB" w14:textId="77777777" w:rsidTr="00F37369">
        <w:trPr>
          <w:trHeight w:hRule="exact" w:val="680"/>
          <w:jc w:val="center"/>
        </w:trPr>
        <w:tc>
          <w:tcPr>
            <w:tcW w:w="3124" w:type="dxa"/>
            <w:vAlign w:val="center"/>
          </w:tcPr>
          <w:p w14:paraId="1D94902D"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APC-cy7 CD4 (FACS)</w:t>
            </w:r>
          </w:p>
        </w:tc>
        <w:tc>
          <w:tcPr>
            <w:tcW w:w="3685" w:type="dxa"/>
            <w:vAlign w:val="center"/>
          </w:tcPr>
          <w:p w14:paraId="676BDF1E"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Biolegend, California</w:t>
            </w:r>
            <w:r>
              <w:rPr>
                <w:rFonts w:ascii="Arial" w:eastAsia="宋体" w:hAnsi="Arial" w:cs="Arial"/>
                <w:sz w:val="24"/>
                <w:szCs w:val="24"/>
              </w:rPr>
              <w:t>, USA</w:t>
            </w:r>
          </w:p>
        </w:tc>
        <w:tc>
          <w:tcPr>
            <w:tcW w:w="1555" w:type="dxa"/>
            <w:vAlign w:val="center"/>
          </w:tcPr>
          <w:p w14:paraId="305B7AC2"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100414</w:t>
            </w:r>
          </w:p>
        </w:tc>
      </w:tr>
      <w:tr w:rsidR="00BD20A1" w:rsidRPr="006D743D" w14:paraId="2624E252" w14:textId="77777777" w:rsidTr="00F37369">
        <w:trPr>
          <w:trHeight w:hRule="exact" w:val="680"/>
          <w:jc w:val="center"/>
        </w:trPr>
        <w:tc>
          <w:tcPr>
            <w:tcW w:w="3124" w:type="dxa"/>
            <w:vAlign w:val="center"/>
          </w:tcPr>
          <w:p w14:paraId="392C5C01"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Pacific Blue CD69 (FACS)</w:t>
            </w:r>
          </w:p>
        </w:tc>
        <w:tc>
          <w:tcPr>
            <w:tcW w:w="3685" w:type="dxa"/>
            <w:vAlign w:val="center"/>
          </w:tcPr>
          <w:p w14:paraId="75D2623C"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Biolegend, California</w:t>
            </w:r>
            <w:r>
              <w:rPr>
                <w:rFonts w:ascii="Arial" w:eastAsia="宋体" w:hAnsi="Arial" w:cs="Arial"/>
                <w:sz w:val="24"/>
                <w:szCs w:val="24"/>
              </w:rPr>
              <w:t>, USA</w:t>
            </w:r>
          </w:p>
        </w:tc>
        <w:tc>
          <w:tcPr>
            <w:tcW w:w="1555" w:type="dxa"/>
            <w:vAlign w:val="center"/>
          </w:tcPr>
          <w:p w14:paraId="230F89C4"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104524</w:t>
            </w:r>
          </w:p>
        </w:tc>
      </w:tr>
      <w:tr w:rsidR="00BD20A1" w:rsidRPr="006D743D" w14:paraId="6129BC18" w14:textId="77777777" w:rsidTr="00F37369">
        <w:trPr>
          <w:trHeight w:hRule="exact" w:val="680"/>
          <w:jc w:val="center"/>
        </w:trPr>
        <w:tc>
          <w:tcPr>
            <w:tcW w:w="3124" w:type="dxa"/>
            <w:vAlign w:val="center"/>
          </w:tcPr>
          <w:p w14:paraId="700B2D84"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APC TCR-β (FACS)</w:t>
            </w:r>
          </w:p>
        </w:tc>
        <w:tc>
          <w:tcPr>
            <w:tcW w:w="3685" w:type="dxa"/>
            <w:vAlign w:val="center"/>
          </w:tcPr>
          <w:p w14:paraId="77DE16F6"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Biolegend, California</w:t>
            </w:r>
            <w:r>
              <w:rPr>
                <w:rFonts w:ascii="Arial" w:eastAsia="宋体" w:hAnsi="Arial" w:cs="Arial"/>
                <w:sz w:val="24"/>
                <w:szCs w:val="24"/>
              </w:rPr>
              <w:t>, USA</w:t>
            </w:r>
          </w:p>
        </w:tc>
        <w:tc>
          <w:tcPr>
            <w:tcW w:w="1555" w:type="dxa"/>
            <w:vAlign w:val="center"/>
          </w:tcPr>
          <w:p w14:paraId="1E23DEDE"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109212</w:t>
            </w:r>
          </w:p>
        </w:tc>
      </w:tr>
      <w:tr w:rsidR="00BD20A1" w:rsidRPr="006D743D" w14:paraId="613DCA6B" w14:textId="77777777" w:rsidTr="00F37369">
        <w:trPr>
          <w:trHeight w:hRule="exact" w:val="680"/>
          <w:jc w:val="center"/>
        </w:trPr>
        <w:tc>
          <w:tcPr>
            <w:tcW w:w="3124" w:type="dxa"/>
            <w:vAlign w:val="center"/>
          </w:tcPr>
          <w:p w14:paraId="1921CF92"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T-select PE CD1d tetramer (FACS)</w:t>
            </w:r>
          </w:p>
        </w:tc>
        <w:tc>
          <w:tcPr>
            <w:tcW w:w="3685" w:type="dxa"/>
            <w:vAlign w:val="center"/>
          </w:tcPr>
          <w:p w14:paraId="4124C844"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 xml:space="preserve">MBL, </w:t>
            </w:r>
            <w:r w:rsidRPr="001F2A64">
              <w:rPr>
                <w:rFonts w:ascii="Arial" w:eastAsia="宋体" w:hAnsi="Arial" w:cs="Arial"/>
                <w:sz w:val="24"/>
                <w:szCs w:val="24"/>
              </w:rPr>
              <w:t>Tokyo</w:t>
            </w:r>
            <w:r>
              <w:rPr>
                <w:rFonts w:ascii="Arial" w:eastAsia="宋体" w:hAnsi="Arial" w:cs="Arial"/>
                <w:sz w:val="24"/>
                <w:szCs w:val="24"/>
              </w:rPr>
              <w:t>,</w:t>
            </w:r>
            <w:r w:rsidRPr="001F2A64">
              <w:rPr>
                <w:rFonts w:ascii="Arial" w:eastAsia="宋体" w:hAnsi="Arial" w:cs="Arial"/>
                <w:sz w:val="24"/>
                <w:szCs w:val="24"/>
              </w:rPr>
              <w:t xml:space="preserve"> </w:t>
            </w:r>
            <w:r w:rsidRPr="006D743D">
              <w:rPr>
                <w:rFonts w:ascii="Arial" w:eastAsia="宋体" w:hAnsi="Arial" w:cs="Arial"/>
                <w:sz w:val="24"/>
                <w:szCs w:val="24"/>
              </w:rPr>
              <w:t>Japan</w:t>
            </w:r>
          </w:p>
        </w:tc>
        <w:tc>
          <w:tcPr>
            <w:tcW w:w="1555" w:type="dxa"/>
            <w:vAlign w:val="center"/>
          </w:tcPr>
          <w:p w14:paraId="3B23A355"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TS-MCD-2</w:t>
            </w:r>
          </w:p>
        </w:tc>
      </w:tr>
      <w:tr w:rsidR="00BD20A1" w:rsidRPr="006D743D" w14:paraId="10E945AF" w14:textId="77777777" w:rsidTr="00F37369">
        <w:trPr>
          <w:trHeight w:hRule="exact" w:val="680"/>
          <w:jc w:val="center"/>
        </w:trPr>
        <w:tc>
          <w:tcPr>
            <w:tcW w:w="3124" w:type="dxa"/>
            <w:vAlign w:val="center"/>
          </w:tcPr>
          <w:p w14:paraId="1A8B6335"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Percoll</w:t>
            </w:r>
          </w:p>
        </w:tc>
        <w:tc>
          <w:tcPr>
            <w:tcW w:w="3685" w:type="dxa"/>
            <w:vAlign w:val="center"/>
          </w:tcPr>
          <w:p w14:paraId="7069B727"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Solarbio Life Science, Beijing</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22A43746"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P8370</w:t>
            </w:r>
          </w:p>
        </w:tc>
      </w:tr>
      <w:tr w:rsidR="00BD20A1" w:rsidRPr="006D743D" w14:paraId="587CE60A" w14:textId="77777777" w:rsidTr="00F37369">
        <w:trPr>
          <w:trHeight w:hRule="exact" w:val="680"/>
          <w:jc w:val="center"/>
        </w:trPr>
        <w:tc>
          <w:tcPr>
            <w:tcW w:w="3124" w:type="dxa"/>
            <w:vAlign w:val="center"/>
          </w:tcPr>
          <w:p w14:paraId="60230877"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D-Hanks</w:t>
            </w:r>
          </w:p>
        </w:tc>
        <w:tc>
          <w:tcPr>
            <w:tcW w:w="3685" w:type="dxa"/>
            <w:vAlign w:val="center"/>
          </w:tcPr>
          <w:p w14:paraId="3B08986B"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Solarbio Life Science, Beijing</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53CC1CE2"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H1045</w:t>
            </w:r>
          </w:p>
        </w:tc>
      </w:tr>
      <w:tr w:rsidR="00BD20A1" w:rsidRPr="006D743D" w14:paraId="6637EBC8" w14:textId="77777777" w:rsidTr="00F37369">
        <w:trPr>
          <w:trHeight w:hRule="exact" w:val="680"/>
          <w:jc w:val="center"/>
        </w:trPr>
        <w:tc>
          <w:tcPr>
            <w:tcW w:w="3124" w:type="dxa"/>
            <w:vAlign w:val="center"/>
          </w:tcPr>
          <w:p w14:paraId="4A91E29A"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 xml:space="preserve">Collagenase </w:t>
            </w:r>
            <w:r w:rsidRPr="006D743D">
              <w:rPr>
                <w:rFonts w:ascii="微软雅黑" w:eastAsia="微软雅黑" w:hAnsi="微软雅黑" w:cs="微软雅黑" w:hint="eastAsia"/>
                <w:sz w:val="24"/>
                <w:szCs w:val="24"/>
              </w:rPr>
              <w:t>Ⅳ</w:t>
            </w:r>
          </w:p>
        </w:tc>
        <w:tc>
          <w:tcPr>
            <w:tcW w:w="3685" w:type="dxa"/>
            <w:vAlign w:val="center"/>
          </w:tcPr>
          <w:p w14:paraId="59AF0709"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Solarbio Life Science, Beijing</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2AADBCFC"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C8160</w:t>
            </w:r>
          </w:p>
        </w:tc>
      </w:tr>
      <w:tr w:rsidR="00BD20A1" w:rsidRPr="006D743D" w14:paraId="0CDB9955" w14:textId="77777777" w:rsidTr="00F37369">
        <w:trPr>
          <w:trHeight w:hRule="exact" w:val="680"/>
          <w:jc w:val="center"/>
        </w:trPr>
        <w:tc>
          <w:tcPr>
            <w:tcW w:w="3124" w:type="dxa"/>
            <w:vAlign w:val="center"/>
          </w:tcPr>
          <w:p w14:paraId="0A5D4880"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erythrocyte lysate</w:t>
            </w:r>
          </w:p>
        </w:tc>
        <w:tc>
          <w:tcPr>
            <w:tcW w:w="3685" w:type="dxa"/>
            <w:vAlign w:val="center"/>
          </w:tcPr>
          <w:p w14:paraId="37B31F1B"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Solarbio Life Science, Beijing</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6DBD2905"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R1010</w:t>
            </w:r>
          </w:p>
        </w:tc>
      </w:tr>
      <w:tr w:rsidR="00BD20A1" w:rsidRPr="006D743D" w14:paraId="13741D6C" w14:textId="77777777" w:rsidTr="00F37369">
        <w:trPr>
          <w:trHeight w:hRule="exact" w:val="680"/>
          <w:jc w:val="center"/>
        </w:trPr>
        <w:tc>
          <w:tcPr>
            <w:tcW w:w="3124" w:type="dxa"/>
            <w:vAlign w:val="center"/>
          </w:tcPr>
          <w:p w14:paraId="5F9616BD"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sodium pyruvate</w:t>
            </w:r>
          </w:p>
        </w:tc>
        <w:tc>
          <w:tcPr>
            <w:tcW w:w="3685" w:type="dxa"/>
            <w:vAlign w:val="center"/>
          </w:tcPr>
          <w:p w14:paraId="1BF327BB"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Solarbio Life Science, Beijing</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5A47E6F5" w14:textId="77777777" w:rsidR="00BD20A1" w:rsidRPr="006D743D" w:rsidRDefault="00BD20A1" w:rsidP="006F4C29">
            <w:pPr>
              <w:jc w:val="left"/>
              <w:rPr>
                <w:rFonts w:ascii="Arial" w:eastAsia="宋体" w:hAnsi="Arial" w:cs="Arial"/>
                <w:sz w:val="24"/>
                <w:szCs w:val="24"/>
              </w:rPr>
            </w:pPr>
            <w:r w:rsidRPr="006D743D">
              <w:rPr>
                <w:rFonts w:ascii="Arial" w:eastAsia="宋体" w:hAnsi="Arial" w:cs="Arial"/>
                <w:sz w:val="24"/>
                <w:szCs w:val="24"/>
              </w:rPr>
              <w:t>SP0100</w:t>
            </w:r>
          </w:p>
        </w:tc>
      </w:tr>
      <w:tr w:rsidR="00BD20A1" w:rsidRPr="006D743D" w14:paraId="439A6908" w14:textId="77777777" w:rsidTr="00F37369">
        <w:trPr>
          <w:trHeight w:hRule="exact" w:val="680"/>
          <w:jc w:val="center"/>
        </w:trPr>
        <w:tc>
          <w:tcPr>
            <w:tcW w:w="3124" w:type="dxa"/>
            <w:vAlign w:val="center"/>
          </w:tcPr>
          <w:p w14:paraId="68997898"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β-mercaptoethanol</w:t>
            </w:r>
          </w:p>
        </w:tc>
        <w:tc>
          <w:tcPr>
            <w:tcW w:w="3685" w:type="dxa"/>
            <w:vAlign w:val="center"/>
          </w:tcPr>
          <w:p w14:paraId="62B4608B"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Solarbio Life Science, Beijing</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3CE8A1F8" w14:textId="77777777" w:rsidR="00BD20A1" w:rsidRPr="006D743D" w:rsidRDefault="00BD20A1" w:rsidP="006F4C29">
            <w:pPr>
              <w:jc w:val="left"/>
              <w:rPr>
                <w:rFonts w:ascii="Arial" w:eastAsia="宋体" w:hAnsi="Arial" w:cs="Arial"/>
                <w:sz w:val="24"/>
                <w:szCs w:val="24"/>
              </w:rPr>
            </w:pPr>
            <w:r w:rsidRPr="006D743D">
              <w:rPr>
                <w:rFonts w:ascii="Arial" w:eastAsia="宋体" w:hAnsi="Arial" w:cs="Arial"/>
                <w:sz w:val="24"/>
                <w:szCs w:val="24"/>
              </w:rPr>
              <w:t>M8211</w:t>
            </w:r>
          </w:p>
        </w:tc>
      </w:tr>
      <w:tr w:rsidR="00BD20A1" w:rsidRPr="006D743D" w14:paraId="364B5C2F" w14:textId="77777777" w:rsidTr="00F37369">
        <w:trPr>
          <w:trHeight w:hRule="exact" w:val="680"/>
          <w:jc w:val="center"/>
        </w:trPr>
        <w:tc>
          <w:tcPr>
            <w:tcW w:w="3124" w:type="dxa"/>
            <w:vAlign w:val="center"/>
          </w:tcPr>
          <w:p w14:paraId="15BC2BC1"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Rat tail tendon collagen type I</w:t>
            </w:r>
          </w:p>
        </w:tc>
        <w:tc>
          <w:tcPr>
            <w:tcW w:w="3685" w:type="dxa"/>
            <w:vAlign w:val="center"/>
          </w:tcPr>
          <w:p w14:paraId="6EE74867"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Solarbio Life Science, Beijing</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39D18796" w14:textId="77777777" w:rsidR="00BD20A1" w:rsidRPr="006D743D" w:rsidRDefault="00BD20A1" w:rsidP="006F4C29">
            <w:pPr>
              <w:jc w:val="left"/>
              <w:rPr>
                <w:rFonts w:ascii="Arial" w:eastAsia="宋体" w:hAnsi="Arial" w:cs="Arial"/>
                <w:sz w:val="24"/>
                <w:szCs w:val="24"/>
              </w:rPr>
            </w:pPr>
            <w:r w:rsidRPr="006D743D">
              <w:rPr>
                <w:rFonts w:ascii="Arial" w:eastAsia="宋体" w:hAnsi="Arial" w:cs="Arial"/>
                <w:sz w:val="24"/>
                <w:szCs w:val="24"/>
              </w:rPr>
              <w:t>C8062</w:t>
            </w:r>
          </w:p>
        </w:tc>
      </w:tr>
      <w:tr w:rsidR="00BD20A1" w:rsidRPr="006D743D" w14:paraId="3DF50098" w14:textId="77777777" w:rsidTr="00F37369">
        <w:trPr>
          <w:trHeight w:hRule="exact" w:val="680"/>
          <w:jc w:val="center"/>
        </w:trPr>
        <w:tc>
          <w:tcPr>
            <w:tcW w:w="3124" w:type="dxa"/>
            <w:vAlign w:val="center"/>
          </w:tcPr>
          <w:p w14:paraId="041C56FD"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Dexamethasone</w:t>
            </w:r>
          </w:p>
        </w:tc>
        <w:tc>
          <w:tcPr>
            <w:tcW w:w="3685" w:type="dxa"/>
            <w:vAlign w:val="center"/>
          </w:tcPr>
          <w:p w14:paraId="4E41C834"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Solarbio Life Science, Beijing</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4CAA57BE" w14:textId="77777777" w:rsidR="00BD20A1" w:rsidRPr="006D743D" w:rsidRDefault="00BD20A1" w:rsidP="006F4C29">
            <w:pPr>
              <w:jc w:val="left"/>
              <w:rPr>
                <w:rFonts w:ascii="Arial" w:eastAsia="宋体" w:hAnsi="Arial" w:cs="Arial"/>
                <w:sz w:val="24"/>
                <w:szCs w:val="24"/>
              </w:rPr>
            </w:pPr>
            <w:r w:rsidRPr="006D743D">
              <w:rPr>
                <w:rFonts w:ascii="Arial" w:eastAsia="宋体" w:hAnsi="Arial" w:cs="Arial"/>
                <w:sz w:val="24"/>
                <w:szCs w:val="24"/>
              </w:rPr>
              <w:t>D8040</w:t>
            </w:r>
          </w:p>
        </w:tc>
      </w:tr>
      <w:tr w:rsidR="00BD20A1" w:rsidRPr="006D743D" w14:paraId="1C339D3F" w14:textId="77777777" w:rsidTr="00F37369">
        <w:trPr>
          <w:trHeight w:hRule="exact" w:val="680"/>
          <w:jc w:val="center"/>
        </w:trPr>
        <w:tc>
          <w:tcPr>
            <w:tcW w:w="3124" w:type="dxa"/>
            <w:vAlign w:val="center"/>
          </w:tcPr>
          <w:p w14:paraId="7B24A89F"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Recombinant human hepatocyte growth factor (rhHGF)</w:t>
            </w:r>
          </w:p>
        </w:tc>
        <w:tc>
          <w:tcPr>
            <w:tcW w:w="3685" w:type="dxa"/>
            <w:vAlign w:val="center"/>
          </w:tcPr>
          <w:p w14:paraId="4865E10F"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Biorab Technology, Beijing</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0777DBB0" w14:textId="77777777" w:rsidR="00BD20A1" w:rsidRPr="006D743D" w:rsidRDefault="00BD20A1" w:rsidP="006F4C29">
            <w:pPr>
              <w:jc w:val="left"/>
              <w:rPr>
                <w:rFonts w:ascii="Arial" w:eastAsia="宋体" w:hAnsi="Arial" w:cs="Arial"/>
                <w:sz w:val="24"/>
                <w:szCs w:val="24"/>
              </w:rPr>
            </w:pPr>
            <w:r w:rsidRPr="006D743D">
              <w:rPr>
                <w:rFonts w:ascii="Arial" w:eastAsia="宋体" w:hAnsi="Arial" w:cs="Arial"/>
                <w:sz w:val="24"/>
                <w:szCs w:val="24"/>
              </w:rPr>
              <w:t>JN0266</w:t>
            </w:r>
          </w:p>
        </w:tc>
      </w:tr>
      <w:tr w:rsidR="00BD20A1" w:rsidRPr="006D743D" w14:paraId="15BA97C8" w14:textId="77777777" w:rsidTr="00F37369">
        <w:trPr>
          <w:trHeight w:hRule="exact" w:val="680"/>
          <w:jc w:val="center"/>
        </w:trPr>
        <w:tc>
          <w:tcPr>
            <w:tcW w:w="3124" w:type="dxa"/>
            <w:vAlign w:val="center"/>
          </w:tcPr>
          <w:p w14:paraId="0324371B"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Fetal bovine serum (FBS)</w:t>
            </w:r>
          </w:p>
        </w:tc>
        <w:tc>
          <w:tcPr>
            <w:tcW w:w="3685" w:type="dxa"/>
            <w:vAlign w:val="center"/>
          </w:tcPr>
          <w:p w14:paraId="1F62C9A6"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Biological Industries, Israel</w:t>
            </w:r>
          </w:p>
        </w:tc>
        <w:tc>
          <w:tcPr>
            <w:tcW w:w="1555" w:type="dxa"/>
            <w:vAlign w:val="center"/>
          </w:tcPr>
          <w:p w14:paraId="2BDE99AF" w14:textId="77777777" w:rsidR="00BD20A1" w:rsidRPr="006D743D" w:rsidRDefault="00BD20A1" w:rsidP="006F4C29">
            <w:pPr>
              <w:jc w:val="left"/>
              <w:rPr>
                <w:rFonts w:ascii="Arial" w:eastAsia="宋体" w:hAnsi="Arial" w:cs="Arial"/>
                <w:sz w:val="24"/>
                <w:szCs w:val="24"/>
              </w:rPr>
            </w:pPr>
            <w:r w:rsidRPr="006D743D">
              <w:rPr>
                <w:rFonts w:ascii="Arial" w:eastAsia="宋体" w:hAnsi="Arial" w:cs="Arial"/>
                <w:sz w:val="24"/>
                <w:szCs w:val="24"/>
              </w:rPr>
              <w:t>04-001-1ACS</w:t>
            </w:r>
          </w:p>
        </w:tc>
      </w:tr>
      <w:tr w:rsidR="00BD20A1" w:rsidRPr="006D743D" w14:paraId="6A3FAF51" w14:textId="77777777" w:rsidTr="00F37369">
        <w:trPr>
          <w:trHeight w:hRule="exact" w:val="680"/>
          <w:jc w:val="center"/>
        </w:trPr>
        <w:tc>
          <w:tcPr>
            <w:tcW w:w="3124" w:type="dxa"/>
            <w:vAlign w:val="center"/>
          </w:tcPr>
          <w:p w14:paraId="325D98E4"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 xml:space="preserve">RPMI-1640 </w:t>
            </w:r>
            <w:r w:rsidRPr="006D743D">
              <w:rPr>
                <w:rFonts w:ascii="Arial" w:hAnsi="Arial" w:cs="Arial"/>
                <w:sz w:val="24"/>
                <w:szCs w:val="24"/>
              </w:rPr>
              <w:t>medium</w:t>
            </w:r>
          </w:p>
        </w:tc>
        <w:tc>
          <w:tcPr>
            <w:tcW w:w="3685" w:type="dxa"/>
            <w:vAlign w:val="center"/>
          </w:tcPr>
          <w:p w14:paraId="4BBF365F"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Biological Industries, Israel</w:t>
            </w:r>
          </w:p>
        </w:tc>
        <w:tc>
          <w:tcPr>
            <w:tcW w:w="1555" w:type="dxa"/>
            <w:vAlign w:val="center"/>
          </w:tcPr>
          <w:p w14:paraId="0195C8A9"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01-100-1ACS</w:t>
            </w:r>
          </w:p>
        </w:tc>
      </w:tr>
      <w:tr w:rsidR="00BD20A1" w:rsidRPr="006D743D" w14:paraId="40E8213E" w14:textId="77777777" w:rsidTr="00F37369">
        <w:trPr>
          <w:trHeight w:hRule="exact" w:val="680"/>
          <w:jc w:val="center"/>
        </w:trPr>
        <w:tc>
          <w:tcPr>
            <w:tcW w:w="3124" w:type="dxa"/>
            <w:vAlign w:val="center"/>
          </w:tcPr>
          <w:p w14:paraId="2835B1E9" w14:textId="77777777" w:rsidR="00BD20A1" w:rsidRPr="006D743D" w:rsidRDefault="00BD20A1" w:rsidP="006F4C29">
            <w:pPr>
              <w:jc w:val="left"/>
              <w:rPr>
                <w:rFonts w:ascii="Arial" w:eastAsia="宋体" w:hAnsi="Arial" w:cs="Arial"/>
                <w:sz w:val="24"/>
                <w:szCs w:val="24"/>
              </w:rPr>
            </w:pPr>
            <w:r w:rsidRPr="006D743D">
              <w:rPr>
                <w:rFonts w:ascii="Arial" w:eastAsia="宋体" w:hAnsi="Arial" w:cs="Arial"/>
                <w:sz w:val="24"/>
                <w:szCs w:val="24"/>
              </w:rPr>
              <w:lastRenderedPageBreak/>
              <w:t xml:space="preserve">DMEM </w:t>
            </w:r>
            <w:r w:rsidRPr="006D743D">
              <w:rPr>
                <w:rFonts w:ascii="Arial" w:hAnsi="Arial" w:cs="Arial"/>
                <w:sz w:val="24"/>
                <w:szCs w:val="24"/>
              </w:rPr>
              <w:t>medium</w:t>
            </w:r>
          </w:p>
        </w:tc>
        <w:tc>
          <w:tcPr>
            <w:tcW w:w="3685" w:type="dxa"/>
            <w:vAlign w:val="center"/>
          </w:tcPr>
          <w:p w14:paraId="2EF703C6"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Biological Industries, Israel</w:t>
            </w:r>
          </w:p>
        </w:tc>
        <w:tc>
          <w:tcPr>
            <w:tcW w:w="1555" w:type="dxa"/>
            <w:vAlign w:val="center"/>
          </w:tcPr>
          <w:p w14:paraId="55588B62" w14:textId="77777777" w:rsidR="00BD20A1" w:rsidRPr="006D743D" w:rsidRDefault="00BD20A1" w:rsidP="006F4C29">
            <w:pPr>
              <w:jc w:val="left"/>
              <w:rPr>
                <w:rFonts w:ascii="Arial" w:eastAsia="宋体" w:hAnsi="Arial" w:cs="Arial"/>
                <w:sz w:val="24"/>
                <w:szCs w:val="24"/>
              </w:rPr>
            </w:pPr>
            <w:r w:rsidRPr="006D743D">
              <w:rPr>
                <w:rFonts w:ascii="Arial" w:eastAsia="宋体" w:hAnsi="Arial" w:cs="Arial"/>
                <w:bCs/>
                <w:sz w:val="24"/>
                <w:szCs w:val="24"/>
              </w:rPr>
              <w:t>01-052-1ACS</w:t>
            </w:r>
          </w:p>
        </w:tc>
      </w:tr>
      <w:tr w:rsidR="00BD20A1" w:rsidRPr="006D743D" w14:paraId="69BF2116" w14:textId="77777777" w:rsidTr="00F37369">
        <w:trPr>
          <w:trHeight w:hRule="exact" w:val="680"/>
          <w:jc w:val="center"/>
        </w:trPr>
        <w:tc>
          <w:tcPr>
            <w:tcW w:w="3124" w:type="dxa"/>
            <w:vAlign w:val="center"/>
          </w:tcPr>
          <w:p w14:paraId="24501DEB" w14:textId="77777777" w:rsidR="00BD20A1" w:rsidRPr="006D743D" w:rsidRDefault="00BD20A1" w:rsidP="006F4C29">
            <w:pPr>
              <w:jc w:val="left"/>
              <w:rPr>
                <w:rFonts w:ascii="Arial" w:eastAsia="宋体" w:hAnsi="Arial" w:cs="Arial"/>
                <w:sz w:val="24"/>
                <w:szCs w:val="24"/>
              </w:rPr>
            </w:pPr>
            <w:r w:rsidRPr="006D743D">
              <w:rPr>
                <w:rFonts w:ascii="Arial" w:eastAsia="宋体" w:hAnsi="Arial" w:cs="Arial"/>
                <w:sz w:val="24"/>
                <w:szCs w:val="24"/>
              </w:rPr>
              <w:t>Trypsin EDTA solution</w:t>
            </w:r>
          </w:p>
        </w:tc>
        <w:tc>
          <w:tcPr>
            <w:tcW w:w="3685" w:type="dxa"/>
            <w:vAlign w:val="center"/>
          </w:tcPr>
          <w:p w14:paraId="30988468"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Biological Industries, Israel</w:t>
            </w:r>
          </w:p>
        </w:tc>
        <w:tc>
          <w:tcPr>
            <w:tcW w:w="1555" w:type="dxa"/>
            <w:vAlign w:val="center"/>
          </w:tcPr>
          <w:p w14:paraId="661C60EC" w14:textId="77777777" w:rsidR="00BD20A1" w:rsidRPr="006D743D" w:rsidRDefault="00BD20A1" w:rsidP="006F4C29">
            <w:pPr>
              <w:jc w:val="left"/>
              <w:rPr>
                <w:rFonts w:ascii="Arial" w:eastAsia="宋体" w:hAnsi="Arial" w:cs="Arial"/>
                <w:sz w:val="24"/>
                <w:szCs w:val="24"/>
              </w:rPr>
            </w:pPr>
            <w:r w:rsidRPr="006D743D">
              <w:rPr>
                <w:rFonts w:ascii="Arial" w:eastAsia="宋体" w:hAnsi="Arial" w:cs="Arial"/>
                <w:sz w:val="24"/>
                <w:szCs w:val="24"/>
              </w:rPr>
              <w:t>03-053-1B</w:t>
            </w:r>
          </w:p>
        </w:tc>
      </w:tr>
      <w:tr w:rsidR="00BD20A1" w:rsidRPr="006D743D" w14:paraId="257D8A93" w14:textId="77777777" w:rsidTr="00F37369">
        <w:trPr>
          <w:trHeight w:hRule="exact" w:val="680"/>
          <w:jc w:val="center"/>
        </w:trPr>
        <w:tc>
          <w:tcPr>
            <w:tcW w:w="3124" w:type="dxa"/>
            <w:vAlign w:val="center"/>
          </w:tcPr>
          <w:p w14:paraId="646543A6"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phosphate buffer solution (PBS)</w:t>
            </w:r>
          </w:p>
        </w:tc>
        <w:tc>
          <w:tcPr>
            <w:tcW w:w="3685" w:type="dxa"/>
            <w:vAlign w:val="center"/>
          </w:tcPr>
          <w:p w14:paraId="1BE11E69"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Biological Industries, Israel</w:t>
            </w:r>
          </w:p>
        </w:tc>
        <w:tc>
          <w:tcPr>
            <w:tcW w:w="1555" w:type="dxa"/>
            <w:vAlign w:val="center"/>
          </w:tcPr>
          <w:p w14:paraId="26585339"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02-024-1ACS</w:t>
            </w:r>
          </w:p>
        </w:tc>
      </w:tr>
      <w:tr w:rsidR="00BD20A1" w:rsidRPr="006D743D" w14:paraId="404DA033" w14:textId="77777777" w:rsidTr="00F37369">
        <w:trPr>
          <w:trHeight w:hRule="exact" w:val="680"/>
          <w:jc w:val="center"/>
        </w:trPr>
        <w:tc>
          <w:tcPr>
            <w:tcW w:w="3124" w:type="dxa"/>
            <w:vAlign w:val="center"/>
          </w:tcPr>
          <w:p w14:paraId="5C39ED36"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HEPES buffer</w:t>
            </w:r>
          </w:p>
        </w:tc>
        <w:tc>
          <w:tcPr>
            <w:tcW w:w="3685" w:type="dxa"/>
            <w:vAlign w:val="center"/>
          </w:tcPr>
          <w:p w14:paraId="354E1938"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Gibco, New York</w:t>
            </w:r>
            <w:r>
              <w:rPr>
                <w:rFonts w:ascii="Arial" w:eastAsia="宋体" w:hAnsi="Arial" w:cs="Arial"/>
                <w:sz w:val="24"/>
                <w:szCs w:val="24"/>
              </w:rPr>
              <w:t>, USA</w:t>
            </w:r>
          </w:p>
        </w:tc>
        <w:tc>
          <w:tcPr>
            <w:tcW w:w="1555" w:type="dxa"/>
            <w:vAlign w:val="center"/>
          </w:tcPr>
          <w:p w14:paraId="102A42B4"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15630080</w:t>
            </w:r>
          </w:p>
        </w:tc>
      </w:tr>
      <w:tr w:rsidR="00BD20A1" w:rsidRPr="006D743D" w14:paraId="2AB1FC1A" w14:textId="77777777" w:rsidTr="00F37369">
        <w:trPr>
          <w:trHeight w:hRule="exact" w:val="680"/>
          <w:jc w:val="center"/>
        </w:trPr>
        <w:tc>
          <w:tcPr>
            <w:tcW w:w="3124" w:type="dxa"/>
            <w:vAlign w:val="center"/>
          </w:tcPr>
          <w:p w14:paraId="7D078FD4"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MEM nonessential amino acids</w:t>
            </w:r>
          </w:p>
        </w:tc>
        <w:tc>
          <w:tcPr>
            <w:tcW w:w="3685" w:type="dxa"/>
            <w:vAlign w:val="center"/>
          </w:tcPr>
          <w:p w14:paraId="2625A6E9"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Gibco, New York</w:t>
            </w:r>
            <w:r>
              <w:rPr>
                <w:rFonts w:ascii="Arial" w:eastAsia="宋体" w:hAnsi="Arial" w:cs="Arial"/>
                <w:sz w:val="24"/>
                <w:szCs w:val="24"/>
              </w:rPr>
              <w:t>, USA</w:t>
            </w:r>
          </w:p>
        </w:tc>
        <w:tc>
          <w:tcPr>
            <w:tcW w:w="1555" w:type="dxa"/>
            <w:vAlign w:val="center"/>
          </w:tcPr>
          <w:p w14:paraId="0D810BE5"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11140050</w:t>
            </w:r>
          </w:p>
        </w:tc>
      </w:tr>
      <w:tr w:rsidR="00BD20A1" w:rsidRPr="006D743D" w14:paraId="508E2209" w14:textId="77777777" w:rsidTr="00F37369">
        <w:trPr>
          <w:trHeight w:hRule="exact" w:val="680"/>
          <w:jc w:val="center"/>
        </w:trPr>
        <w:tc>
          <w:tcPr>
            <w:tcW w:w="3124" w:type="dxa"/>
            <w:vAlign w:val="center"/>
          </w:tcPr>
          <w:p w14:paraId="092135DC"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penicillin–streptomycin</w:t>
            </w:r>
          </w:p>
        </w:tc>
        <w:tc>
          <w:tcPr>
            <w:tcW w:w="3685" w:type="dxa"/>
            <w:vAlign w:val="center"/>
          </w:tcPr>
          <w:p w14:paraId="5A1BE62D"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Gibco, New York</w:t>
            </w:r>
            <w:r>
              <w:rPr>
                <w:rFonts w:ascii="Arial" w:eastAsia="宋体" w:hAnsi="Arial" w:cs="Arial"/>
                <w:sz w:val="24"/>
                <w:szCs w:val="24"/>
              </w:rPr>
              <w:t>, USA</w:t>
            </w:r>
          </w:p>
        </w:tc>
        <w:tc>
          <w:tcPr>
            <w:tcW w:w="1555" w:type="dxa"/>
            <w:vAlign w:val="center"/>
          </w:tcPr>
          <w:p w14:paraId="7B5A4175"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15140122</w:t>
            </w:r>
          </w:p>
        </w:tc>
      </w:tr>
      <w:tr w:rsidR="00BD20A1" w:rsidRPr="006D743D" w14:paraId="60821188" w14:textId="77777777" w:rsidTr="00F37369">
        <w:trPr>
          <w:trHeight w:hRule="exact" w:val="680"/>
          <w:jc w:val="center"/>
        </w:trPr>
        <w:tc>
          <w:tcPr>
            <w:tcW w:w="3124" w:type="dxa"/>
            <w:vAlign w:val="center"/>
          </w:tcPr>
          <w:p w14:paraId="77BC88E9"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Anti-CD3ε</w:t>
            </w:r>
          </w:p>
        </w:tc>
        <w:tc>
          <w:tcPr>
            <w:tcW w:w="3685" w:type="dxa"/>
            <w:vAlign w:val="center"/>
          </w:tcPr>
          <w:p w14:paraId="16DD4417"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eBioscience, California</w:t>
            </w:r>
            <w:r>
              <w:rPr>
                <w:rFonts w:ascii="Arial" w:eastAsia="宋体" w:hAnsi="Arial" w:cs="Arial"/>
                <w:sz w:val="24"/>
                <w:szCs w:val="24"/>
              </w:rPr>
              <w:t>, USA</w:t>
            </w:r>
          </w:p>
        </w:tc>
        <w:tc>
          <w:tcPr>
            <w:tcW w:w="1555" w:type="dxa"/>
            <w:vAlign w:val="center"/>
          </w:tcPr>
          <w:p w14:paraId="4189DA22"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16-0031</w:t>
            </w:r>
          </w:p>
        </w:tc>
      </w:tr>
      <w:tr w:rsidR="00BD20A1" w:rsidRPr="006D743D" w14:paraId="0B5216D3" w14:textId="77777777" w:rsidTr="00F37369">
        <w:trPr>
          <w:trHeight w:hRule="exact" w:val="680"/>
          <w:jc w:val="center"/>
        </w:trPr>
        <w:tc>
          <w:tcPr>
            <w:tcW w:w="3124" w:type="dxa"/>
            <w:vAlign w:val="center"/>
          </w:tcPr>
          <w:p w14:paraId="78E77DAC"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Mouse recombinant IL-2</w:t>
            </w:r>
          </w:p>
        </w:tc>
        <w:tc>
          <w:tcPr>
            <w:tcW w:w="3685" w:type="dxa"/>
            <w:vAlign w:val="center"/>
          </w:tcPr>
          <w:p w14:paraId="63CD2592"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Novoprotein, Suzhou</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50273611"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CK24</w:t>
            </w:r>
          </w:p>
        </w:tc>
      </w:tr>
      <w:tr w:rsidR="00BD20A1" w:rsidRPr="006D743D" w14:paraId="401A5BA8" w14:textId="77777777" w:rsidTr="00F37369">
        <w:trPr>
          <w:trHeight w:hRule="exact" w:val="680"/>
          <w:jc w:val="center"/>
        </w:trPr>
        <w:tc>
          <w:tcPr>
            <w:tcW w:w="3124" w:type="dxa"/>
            <w:vAlign w:val="center"/>
          </w:tcPr>
          <w:p w14:paraId="67425EA9"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Mouse recombinant IL-12</w:t>
            </w:r>
          </w:p>
        </w:tc>
        <w:tc>
          <w:tcPr>
            <w:tcW w:w="3685" w:type="dxa"/>
            <w:vAlign w:val="center"/>
          </w:tcPr>
          <w:p w14:paraId="78367A91"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Novoprotein, Suzhou</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5D091292"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CM39</w:t>
            </w:r>
          </w:p>
        </w:tc>
      </w:tr>
      <w:tr w:rsidR="00BD20A1" w:rsidRPr="006D743D" w14:paraId="0B1CD191" w14:textId="77777777" w:rsidTr="00F37369">
        <w:trPr>
          <w:trHeight w:hRule="exact" w:val="680"/>
          <w:jc w:val="center"/>
        </w:trPr>
        <w:tc>
          <w:tcPr>
            <w:tcW w:w="3124" w:type="dxa"/>
            <w:vAlign w:val="center"/>
          </w:tcPr>
          <w:p w14:paraId="4E3B1618"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Anti-mouse CD28</w:t>
            </w:r>
          </w:p>
        </w:tc>
        <w:tc>
          <w:tcPr>
            <w:tcW w:w="3685" w:type="dxa"/>
            <w:vAlign w:val="center"/>
          </w:tcPr>
          <w:p w14:paraId="4BCB7D4C"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Novoprotein, Suzhou</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589299A2"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CI67</w:t>
            </w:r>
          </w:p>
        </w:tc>
      </w:tr>
      <w:tr w:rsidR="00BD20A1" w:rsidRPr="006D743D" w14:paraId="083AB058" w14:textId="77777777" w:rsidTr="00F37369">
        <w:trPr>
          <w:trHeight w:hRule="exact" w:val="680"/>
          <w:jc w:val="center"/>
        </w:trPr>
        <w:tc>
          <w:tcPr>
            <w:tcW w:w="3124" w:type="dxa"/>
            <w:vAlign w:val="center"/>
          </w:tcPr>
          <w:p w14:paraId="6BA068DC"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Mouse recombinant IL-7</w:t>
            </w:r>
          </w:p>
        </w:tc>
        <w:tc>
          <w:tcPr>
            <w:tcW w:w="3685" w:type="dxa"/>
            <w:vAlign w:val="center"/>
          </w:tcPr>
          <w:p w14:paraId="03E3C12D" w14:textId="77777777" w:rsidR="00BD20A1" w:rsidRPr="006D743D" w:rsidRDefault="00BD20A1" w:rsidP="006F4C29">
            <w:pPr>
              <w:jc w:val="left"/>
              <w:rPr>
                <w:rFonts w:ascii="Arial" w:hAnsi="Arial" w:cs="Arial"/>
                <w:sz w:val="24"/>
                <w:szCs w:val="24"/>
              </w:rPr>
            </w:pPr>
            <w:r w:rsidRPr="006D743D">
              <w:rPr>
                <w:rFonts w:ascii="Arial" w:hAnsi="Arial" w:cs="Arial"/>
                <w:sz w:val="24"/>
                <w:szCs w:val="24"/>
              </w:rPr>
              <w:t>Novoprotein, Suzhou</w:t>
            </w:r>
            <w:r>
              <w:rPr>
                <w:rFonts w:ascii="Arial" w:hAnsi="Arial" w:cs="Arial" w:hint="eastAsia"/>
                <w:sz w:val="24"/>
                <w:szCs w:val="24"/>
              </w:rPr>
              <w:t>,</w:t>
            </w:r>
            <w:r>
              <w:rPr>
                <w:rFonts w:ascii="Arial" w:hAnsi="Arial" w:cs="Arial"/>
                <w:sz w:val="24"/>
                <w:szCs w:val="24"/>
              </w:rPr>
              <w:t xml:space="preserve"> China</w:t>
            </w:r>
          </w:p>
        </w:tc>
        <w:tc>
          <w:tcPr>
            <w:tcW w:w="1555" w:type="dxa"/>
            <w:vAlign w:val="center"/>
          </w:tcPr>
          <w:p w14:paraId="53769B8F" w14:textId="77777777" w:rsidR="00BD20A1" w:rsidRPr="006D743D" w:rsidRDefault="00BD20A1" w:rsidP="006F4C29">
            <w:pPr>
              <w:jc w:val="left"/>
              <w:rPr>
                <w:rFonts w:ascii="Arial" w:hAnsi="Arial" w:cs="Arial"/>
                <w:sz w:val="24"/>
                <w:szCs w:val="24"/>
              </w:rPr>
            </w:pPr>
            <w:r w:rsidRPr="006D743D">
              <w:rPr>
                <w:rFonts w:ascii="Arial" w:eastAsia="宋体" w:hAnsi="Arial" w:cs="Arial"/>
                <w:sz w:val="24"/>
                <w:szCs w:val="24"/>
              </w:rPr>
              <w:t>CC73</w:t>
            </w:r>
          </w:p>
        </w:tc>
      </w:tr>
    </w:tbl>
    <w:p w14:paraId="4E8BC8F4" w14:textId="77777777" w:rsidR="00BD20A1" w:rsidRDefault="00BD20A1" w:rsidP="006F4C29">
      <w:pPr>
        <w:spacing w:line="480" w:lineRule="auto"/>
        <w:jc w:val="left"/>
        <w:rPr>
          <w:rFonts w:ascii="Arial" w:hAnsi="Arial" w:cs="Arial"/>
          <w:b/>
          <w:sz w:val="24"/>
          <w:szCs w:val="24"/>
        </w:rPr>
      </w:pPr>
    </w:p>
    <w:p w14:paraId="2AF6272F" w14:textId="77777777" w:rsidR="00AC27B0" w:rsidRDefault="00AC27B0">
      <w:pPr>
        <w:widowControl/>
        <w:jc w:val="left"/>
        <w:rPr>
          <w:rFonts w:ascii="Arial" w:hAnsi="Arial" w:cs="Arial"/>
          <w:b/>
          <w:sz w:val="24"/>
          <w:szCs w:val="24"/>
        </w:rPr>
      </w:pPr>
      <w:r>
        <w:rPr>
          <w:rFonts w:ascii="Arial" w:hAnsi="Arial" w:cs="Arial"/>
          <w:b/>
          <w:sz w:val="24"/>
          <w:szCs w:val="24"/>
        </w:rPr>
        <w:br w:type="page"/>
      </w:r>
    </w:p>
    <w:p w14:paraId="63A92031" w14:textId="03F00B82" w:rsidR="00BD20A1" w:rsidRPr="006B76DF" w:rsidRDefault="00BD20A1" w:rsidP="006F4C29">
      <w:pPr>
        <w:spacing w:line="480" w:lineRule="auto"/>
        <w:jc w:val="left"/>
        <w:rPr>
          <w:rFonts w:ascii="Arial" w:hAnsi="Arial" w:cs="Arial"/>
          <w:b/>
          <w:sz w:val="24"/>
          <w:szCs w:val="24"/>
        </w:rPr>
      </w:pPr>
      <w:r>
        <w:rPr>
          <w:rFonts w:ascii="Arial" w:hAnsi="Arial" w:cs="Arial"/>
          <w:b/>
          <w:sz w:val="24"/>
          <w:szCs w:val="24"/>
        </w:rPr>
        <w:lastRenderedPageBreak/>
        <w:t>A</w:t>
      </w:r>
      <w:r w:rsidRPr="006B76DF">
        <w:rPr>
          <w:rFonts w:ascii="Arial" w:hAnsi="Arial" w:cs="Arial"/>
          <w:b/>
          <w:sz w:val="24"/>
          <w:szCs w:val="24"/>
        </w:rPr>
        <w:t>nalytical methods for sphingolipidomics</w:t>
      </w:r>
    </w:p>
    <w:p w14:paraId="6A44D2B0" w14:textId="79A85460" w:rsidR="00BD20A1" w:rsidRDefault="00BD20A1" w:rsidP="006F4C29">
      <w:pPr>
        <w:spacing w:line="480" w:lineRule="auto"/>
        <w:jc w:val="left"/>
        <w:rPr>
          <w:rFonts w:ascii="Arial" w:hAnsi="Arial" w:cs="Arial"/>
          <w:sz w:val="24"/>
          <w:szCs w:val="24"/>
        </w:rPr>
      </w:pPr>
      <w:r w:rsidRPr="001D6796">
        <w:rPr>
          <w:rFonts w:ascii="Arial" w:hAnsi="Arial" w:cs="Arial"/>
          <w:sz w:val="24"/>
          <w:szCs w:val="24"/>
        </w:rPr>
        <w:t xml:space="preserve">Modified </w:t>
      </w:r>
      <w:r>
        <w:rPr>
          <w:rFonts w:ascii="Arial" w:hAnsi="Arial" w:cs="Arial"/>
          <w:sz w:val="24"/>
          <w:szCs w:val="24"/>
        </w:rPr>
        <w:t>approach to sphingolipid a</w:t>
      </w:r>
      <w:r w:rsidRPr="001D6796">
        <w:rPr>
          <w:rFonts w:ascii="Arial" w:hAnsi="Arial" w:cs="Arial"/>
          <w:sz w:val="24"/>
          <w:szCs w:val="24"/>
        </w:rPr>
        <w:t>nalysis</w:t>
      </w:r>
      <w:r w:rsidR="001D7A64">
        <w:rPr>
          <w:rFonts w:ascii="Arial" w:hAnsi="Arial" w:cs="Arial"/>
          <w:sz w:val="24"/>
          <w:szCs w:val="24"/>
        </w:rPr>
        <w:t xml:space="preserve"> </w:t>
      </w:r>
      <w:r w:rsidR="001D7A64" w:rsidRPr="00A24BFF">
        <w:rPr>
          <w:rFonts w:ascii="Arial" w:hAnsi="Arial" w:cs="Arial"/>
          <w:noProof/>
          <w:sz w:val="24"/>
          <w:szCs w:val="24"/>
          <w:vertAlign w:val="superscript"/>
        </w:rPr>
        <w:t>5, 6, 7</w:t>
      </w:r>
      <w:r>
        <w:rPr>
          <w:rFonts w:ascii="Arial" w:hAnsi="Arial" w:cs="Arial"/>
          <w:sz w:val="24"/>
          <w:szCs w:val="24"/>
        </w:rPr>
        <w:t>:</w:t>
      </w:r>
      <w:r w:rsidRPr="001D6796">
        <w:rPr>
          <w:rFonts w:ascii="Arial" w:hAnsi="Arial" w:cs="Arial"/>
          <w:sz w:val="24"/>
          <w:szCs w:val="24"/>
        </w:rPr>
        <w:t xml:space="preserve"> </w:t>
      </w:r>
      <w:r w:rsidRPr="006D743D">
        <w:rPr>
          <w:rFonts w:ascii="Arial" w:hAnsi="Arial" w:cs="Arial"/>
          <w:sz w:val="24"/>
          <w:szCs w:val="24"/>
        </w:rPr>
        <w:t>Add 750µl distilled water (Milli-Q, Millipore, Massachusetts) to 50mg liver tissue and homogenize mixture by using a mini homogenizer (Tissue-prp-01, Shanghai JingXin Industrial Development) following the manufacturer’s protocol. Add 1ml methanol and 0.5ml chloroform to each 350ul homogenate, sonicate for 20min. Centrifuge at 650×g for 15min at room temperature, collect the supernatant and add 350ul of distilled water and 1ml of chloroform: methanol (1:2, v/v). After thorough mixing, centrifuge again and collect the supernatant. First, pre-condition columns with 2ml of chloroform, then the supernatant was loaded onto sorbent solid phase extraction columns (Oasis MCX 3cc 60mg, Waters, Massachusetts). The columns were subsequently washed with 2ml of chloroform and sphingolipids (ceramide and glucosylceramide) eluted with 5ml of chloroform: methanol (1:2, v/v). The eluent was evaporated to dryness under nitrogen at 40</w:t>
      </w:r>
      <w:r w:rsidRPr="006D743D">
        <w:rPr>
          <w:rFonts w:ascii="微软雅黑" w:eastAsia="微软雅黑" w:hAnsi="微软雅黑" w:cs="微软雅黑" w:hint="eastAsia"/>
          <w:sz w:val="24"/>
          <w:szCs w:val="24"/>
        </w:rPr>
        <w:t>℃</w:t>
      </w:r>
      <w:r w:rsidRPr="006D743D">
        <w:rPr>
          <w:rFonts w:ascii="Arial" w:hAnsi="Arial" w:cs="Arial"/>
          <w:sz w:val="24"/>
          <w:szCs w:val="24"/>
        </w:rPr>
        <w:t xml:space="preserve"> and dissolved in 1ml methanol, and the solution was filtered with </w:t>
      </w:r>
      <w:r>
        <w:rPr>
          <w:rFonts w:ascii="Arial" w:hAnsi="Arial" w:cs="Arial"/>
          <w:sz w:val="24"/>
          <w:szCs w:val="24"/>
        </w:rPr>
        <w:t>0.22μm filter prior to testing.</w:t>
      </w:r>
    </w:p>
    <w:p w14:paraId="6D539070" w14:textId="77777777" w:rsidR="00BD20A1" w:rsidRDefault="00BD20A1" w:rsidP="006F4C29">
      <w:pPr>
        <w:spacing w:line="480" w:lineRule="auto"/>
        <w:jc w:val="left"/>
        <w:rPr>
          <w:rFonts w:ascii="Arial" w:hAnsi="Arial" w:cs="Arial"/>
          <w:sz w:val="24"/>
          <w:szCs w:val="24"/>
        </w:rPr>
      </w:pPr>
    </w:p>
    <w:p w14:paraId="5C60BFD2" w14:textId="77777777" w:rsidR="00DF630E" w:rsidRDefault="00BD20A1" w:rsidP="006F4C29">
      <w:pPr>
        <w:spacing w:line="480" w:lineRule="auto"/>
        <w:jc w:val="left"/>
        <w:rPr>
          <w:rFonts w:ascii="Arial" w:hAnsi="Arial" w:cs="Arial"/>
          <w:sz w:val="24"/>
          <w:szCs w:val="24"/>
        </w:rPr>
        <w:sectPr w:rsidR="00DF630E">
          <w:pgSz w:w="11906" w:h="16838"/>
          <w:pgMar w:top="1440" w:right="1800" w:bottom="1440" w:left="1800" w:header="851" w:footer="992" w:gutter="0"/>
          <w:cols w:space="425"/>
          <w:docGrid w:type="lines" w:linePitch="312"/>
        </w:sectPr>
      </w:pPr>
      <w:r w:rsidRPr="006D743D">
        <w:rPr>
          <w:rFonts w:ascii="Arial" w:hAnsi="Arial" w:cs="Arial"/>
          <w:sz w:val="24"/>
          <w:szCs w:val="24"/>
        </w:rPr>
        <w:t xml:space="preserve">Sphingolipids calibration standard concentrations ranged from 7.8125 ng/ml to 1000 ng/ml. The stock solution of internal standard (IS) was dissolved in 1ml methanol and diluted to the appropriate final concentration. The sphingolipids separation was performed using a HPLC system (LC-20A, Shimadzu, Kyoto) coupled to an AB Sciex 4500 linear ion trap quadrupole mass spectrometer </w:t>
      </w:r>
      <w:r w:rsidRPr="006D743D">
        <w:rPr>
          <w:rFonts w:ascii="Arial" w:hAnsi="Arial" w:cs="Arial"/>
          <w:sz w:val="24"/>
          <w:szCs w:val="24"/>
        </w:rPr>
        <w:lastRenderedPageBreak/>
        <w:t>(SCIEX, Massachusetts) in positive ion electrospray ionization (+ESI) mode. Chromatographic separations were carried out using a HPLC column (Agilent ZORBAX HILIC Plus, 3.5μm 4.6mm×100mm, Agilent Technologies, California) maintained at 40°C. Mobile phase A was water mobile phase B was acetonitrile and both of them contained 10mM ammonium formate and 0.2% formic acid. Sphingolipids were separated with a flow rate of 0.25 ml/min and the linear gradient elution was as follows: 94%B~98% (0~2 min), 98%B (2~8 min), 94%B (8~16min), the sample injection volume was 5.0μl. The Turbo V ion source settings: curtains gas setting 30 psi; ion spray voltage 5,500 V; vaporizer temperature 400°C; ion source gas 1 (nebulizer gas) 45psi; ion source gas 2 (heating gas) 50psi; de-clustering potential 45V; entry potential 10V. Analysis of target sphingolipids was performed in the multiple reaction monitoring (MRM) mode. The standard curve quantification was performed using Analyst and Data Processing Software (SCIEX MultiQuant, version 1.6.3), and normalize analytes based on the peak areas of the associated internal standard. Finally, calculating the content of sphingolipids based on the sample weight.</w:t>
      </w:r>
    </w:p>
    <w:p w14:paraId="06ABBBA7" w14:textId="77777777" w:rsidR="00DF630E" w:rsidRPr="006D1F66" w:rsidRDefault="00DF630E" w:rsidP="00DF630E">
      <w:pPr>
        <w:spacing w:line="480" w:lineRule="auto"/>
        <w:jc w:val="left"/>
        <w:rPr>
          <w:rFonts w:ascii="Arial" w:hAnsi="Arial" w:cs="Arial"/>
          <w:b/>
          <w:sz w:val="24"/>
          <w:szCs w:val="24"/>
        </w:rPr>
      </w:pPr>
      <w:r w:rsidRPr="006D1F66">
        <w:rPr>
          <w:rFonts w:ascii="Arial" w:hAnsi="Arial" w:cs="Arial"/>
          <w:b/>
          <w:sz w:val="24"/>
          <w:szCs w:val="24"/>
        </w:rPr>
        <w:lastRenderedPageBreak/>
        <w:t>References:</w:t>
      </w:r>
    </w:p>
    <w:p w14:paraId="054A996A" w14:textId="77777777" w:rsidR="00DF630E" w:rsidRPr="006D1F66" w:rsidRDefault="00DF630E" w:rsidP="00DF630E">
      <w:pPr>
        <w:pStyle w:val="EndNoteBibliography"/>
        <w:spacing w:line="480" w:lineRule="auto"/>
        <w:ind w:left="720" w:hanging="720"/>
        <w:rPr>
          <w:rFonts w:ascii="Arial" w:hAnsi="Arial" w:cs="Arial" w:hint="eastAsia"/>
          <w:sz w:val="24"/>
          <w:szCs w:val="24"/>
        </w:rPr>
      </w:pPr>
      <w:r w:rsidRPr="006D1F66">
        <w:rPr>
          <w:rFonts w:ascii="Arial" w:hAnsi="Arial" w:cs="Arial"/>
          <w:sz w:val="24"/>
          <w:szCs w:val="24"/>
        </w:rPr>
        <w:t>1.</w:t>
      </w:r>
      <w:r w:rsidRPr="006D1F66">
        <w:rPr>
          <w:rFonts w:ascii="Arial" w:hAnsi="Arial" w:cs="Arial"/>
          <w:sz w:val="24"/>
          <w:szCs w:val="24"/>
        </w:rPr>
        <w:tab/>
        <w:t xml:space="preserve">LaMarche NM, Kane H, Kohlgruber AC, Dong H, Lynch L, Brenner MB. Distinct iNKT Cell Populations Use IFNgamma or ER Stress-Induced IL-10 to Control Adipose Tissue Homeostasis. </w:t>
      </w:r>
      <w:r w:rsidRPr="006D1F66">
        <w:rPr>
          <w:rFonts w:ascii="Arial" w:hAnsi="Arial" w:cs="Arial"/>
          <w:i/>
          <w:sz w:val="24"/>
          <w:szCs w:val="24"/>
        </w:rPr>
        <w:t>Cell Metab</w:t>
      </w:r>
      <w:r>
        <w:rPr>
          <w:rFonts w:ascii="Arial" w:hAnsi="Arial" w:cs="Arial"/>
          <w:i/>
          <w:sz w:val="24"/>
          <w:szCs w:val="24"/>
        </w:rPr>
        <w:t>.</w:t>
      </w:r>
      <w:r w:rsidRPr="006D1F66">
        <w:rPr>
          <w:rFonts w:ascii="Arial" w:hAnsi="Arial" w:cs="Arial"/>
          <w:sz w:val="24"/>
          <w:szCs w:val="24"/>
        </w:rPr>
        <w:t xml:space="preserve"> </w:t>
      </w:r>
      <w:r w:rsidRPr="006D1F66">
        <w:rPr>
          <w:rFonts w:ascii="Arial" w:hAnsi="Arial" w:cs="Arial"/>
          <w:b/>
          <w:sz w:val="24"/>
          <w:szCs w:val="24"/>
        </w:rPr>
        <w:t>32</w:t>
      </w:r>
      <w:r w:rsidRPr="006D1F66">
        <w:rPr>
          <w:rFonts w:ascii="Arial" w:hAnsi="Arial" w:cs="Arial"/>
          <w:sz w:val="24"/>
          <w:szCs w:val="24"/>
        </w:rPr>
        <w:t>, 243-258 e246 (2020).</w:t>
      </w:r>
    </w:p>
    <w:p w14:paraId="19EC1D46" w14:textId="77777777" w:rsidR="00DF630E" w:rsidRPr="006D1F66" w:rsidRDefault="00DF630E" w:rsidP="00DF630E">
      <w:pPr>
        <w:pStyle w:val="EndNoteBibliography"/>
        <w:spacing w:line="480" w:lineRule="auto"/>
        <w:ind w:left="720" w:hanging="720"/>
        <w:rPr>
          <w:rFonts w:ascii="Arial" w:hAnsi="Arial" w:cs="Arial" w:hint="eastAsia"/>
          <w:sz w:val="24"/>
          <w:szCs w:val="24"/>
        </w:rPr>
      </w:pPr>
      <w:r w:rsidRPr="006D1F66">
        <w:rPr>
          <w:rFonts w:ascii="Arial" w:hAnsi="Arial" w:cs="Arial"/>
          <w:sz w:val="24"/>
          <w:szCs w:val="24"/>
        </w:rPr>
        <w:t>2.</w:t>
      </w:r>
      <w:r w:rsidRPr="006D1F66">
        <w:rPr>
          <w:rFonts w:ascii="Arial" w:hAnsi="Arial" w:cs="Arial"/>
          <w:sz w:val="24"/>
          <w:szCs w:val="24"/>
        </w:rPr>
        <w:tab/>
        <w:t>Sbihi Z</w:t>
      </w:r>
      <w:r w:rsidRPr="006D1F66">
        <w:rPr>
          <w:rFonts w:ascii="Arial" w:hAnsi="Arial" w:cs="Arial"/>
          <w:i/>
          <w:sz w:val="24"/>
          <w:szCs w:val="24"/>
        </w:rPr>
        <w:t>, et al.</w:t>
      </w:r>
      <w:r w:rsidRPr="006D1F66">
        <w:rPr>
          <w:rFonts w:ascii="Arial" w:hAnsi="Arial" w:cs="Arial"/>
          <w:sz w:val="24"/>
          <w:szCs w:val="24"/>
        </w:rPr>
        <w:t xml:space="preserve"> iNKT and memory B-cell alterations in HHV-8 multicentric Castleman disease. </w:t>
      </w:r>
      <w:r w:rsidRPr="006D1F66">
        <w:rPr>
          <w:rFonts w:ascii="Arial" w:hAnsi="Arial" w:cs="Arial"/>
          <w:i/>
          <w:sz w:val="24"/>
          <w:szCs w:val="24"/>
        </w:rPr>
        <w:t>Blood</w:t>
      </w:r>
      <w:r>
        <w:rPr>
          <w:rFonts w:ascii="Arial" w:hAnsi="Arial" w:cs="Arial"/>
          <w:i/>
          <w:sz w:val="24"/>
          <w:szCs w:val="24"/>
        </w:rPr>
        <w:t>.</w:t>
      </w:r>
      <w:r w:rsidRPr="006D1F66">
        <w:rPr>
          <w:rFonts w:ascii="Arial" w:hAnsi="Arial" w:cs="Arial"/>
          <w:sz w:val="24"/>
          <w:szCs w:val="24"/>
        </w:rPr>
        <w:t xml:space="preserve"> </w:t>
      </w:r>
      <w:r w:rsidRPr="006D1F66">
        <w:rPr>
          <w:rFonts w:ascii="Arial" w:hAnsi="Arial" w:cs="Arial"/>
          <w:b/>
          <w:sz w:val="24"/>
          <w:szCs w:val="24"/>
        </w:rPr>
        <w:t>129</w:t>
      </w:r>
      <w:r>
        <w:rPr>
          <w:rFonts w:ascii="Arial" w:hAnsi="Arial" w:cs="Arial"/>
          <w:sz w:val="24"/>
          <w:szCs w:val="24"/>
        </w:rPr>
        <w:t>, 855-865 (2017).</w:t>
      </w:r>
    </w:p>
    <w:p w14:paraId="122BCEE3" w14:textId="77777777" w:rsidR="00DF630E" w:rsidRPr="006D1F66" w:rsidRDefault="00DF630E" w:rsidP="00DF630E">
      <w:pPr>
        <w:pStyle w:val="EndNoteBibliography"/>
        <w:spacing w:line="480" w:lineRule="auto"/>
        <w:ind w:left="720" w:hanging="720"/>
        <w:rPr>
          <w:rFonts w:ascii="Arial" w:hAnsi="Arial" w:cs="Arial" w:hint="eastAsia"/>
          <w:sz w:val="24"/>
          <w:szCs w:val="24"/>
        </w:rPr>
      </w:pPr>
      <w:r w:rsidRPr="006D1F66">
        <w:rPr>
          <w:rFonts w:ascii="Arial" w:hAnsi="Arial" w:cs="Arial"/>
          <w:sz w:val="24"/>
          <w:szCs w:val="24"/>
        </w:rPr>
        <w:t>3.</w:t>
      </w:r>
      <w:r w:rsidRPr="006D1F66">
        <w:rPr>
          <w:rFonts w:ascii="Arial" w:hAnsi="Arial" w:cs="Arial"/>
          <w:sz w:val="24"/>
          <w:szCs w:val="24"/>
        </w:rPr>
        <w:tab/>
        <w:t xml:space="preserve">MacDonald HR. CD1d-glycolipid tetramers: A new tool to monitor natural killer T cells in health and disease. </w:t>
      </w:r>
      <w:r w:rsidRPr="006D1F66">
        <w:rPr>
          <w:rFonts w:ascii="Arial" w:hAnsi="Arial" w:cs="Arial"/>
          <w:i/>
          <w:sz w:val="24"/>
          <w:szCs w:val="24"/>
        </w:rPr>
        <w:t>J Exp Med</w:t>
      </w:r>
      <w:r>
        <w:rPr>
          <w:rFonts w:ascii="Arial" w:hAnsi="Arial" w:cs="Arial"/>
          <w:i/>
          <w:sz w:val="24"/>
          <w:szCs w:val="24"/>
        </w:rPr>
        <w:t>.</w:t>
      </w:r>
      <w:r w:rsidRPr="006D1F66">
        <w:rPr>
          <w:rFonts w:ascii="Arial" w:hAnsi="Arial" w:cs="Arial"/>
          <w:sz w:val="24"/>
          <w:szCs w:val="24"/>
        </w:rPr>
        <w:t xml:space="preserve"> </w:t>
      </w:r>
      <w:r w:rsidRPr="006D1F66">
        <w:rPr>
          <w:rFonts w:ascii="Arial" w:hAnsi="Arial" w:cs="Arial"/>
          <w:b/>
          <w:sz w:val="24"/>
          <w:szCs w:val="24"/>
        </w:rPr>
        <w:t>192</w:t>
      </w:r>
      <w:r>
        <w:rPr>
          <w:rFonts w:ascii="Arial" w:hAnsi="Arial" w:cs="Arial"/>
          <w:sz w:val="24"/>
          <w:szCs w:val="24"/>
        </w:rPr>
        <w:t>, F15-20 (2000).</w:t>
      </w:r>
    </w:p>
    <w:p w14:paraId="35ACA6BE" w14:textId="77777777" w:rsidR="00DF630E" w:rsidRPr="006D1F66" w:rsidRDefault="00DF630E" w:rsidP="00DF630E">
      <w:pPr>
        <w:pStyle w:val="EndNoteBibliography"/>
        <w:spacing w:line="480" w:lineRule="auto"/>
        <w:ind w:left="720" w:hanging="720"/>
        <w:rPr>
          <w:rFonts w:ascii="Arial" w:hAnsi="Arial" w:cs="Arial" w:hint="eastAsia"/>
          <w:sz w:val="24"/>
          <w:szCs w:val="24"/>
        </w:rPr>
      </w:pPr>
      <w:r w:rsidRPr="006D1F66">
        <w:rPr>
          <w:rFonts w:ascii="Arial" w:hAnsi="Arial" w:cs="Arial"/>
          <w:sz w:val="24"/>
          <w:szCs w:val="24"/>
        </w:rPr>
        <w:t>4.</w:t>
      </w:r>
      <w:r w:rsidRPr="006D1F66">
        <w:rPr>
          <w:rFonts w:ascii="Arial" w:hAnsi="Arial" w:cs="Arial"/>
          <w:sz w:val="24"/>
          <w:szCs w:val="24"/>
        </w:rPr>
        <w:tab/>
        <w:t xml:space="preserve">Watarai H, Nakagawa R, Omori-Miyake M, Dashtsoodol N, Taniguchi M. Methods for detection, isolation and culture of mouse and human invariant NKT cells. </w:t>
      </w:r>
      <w:r w:rsidRPr="006D1F66">
        <w:rPr>
          <w:rFonts w:ascii="Arial" w:hAnsi="Arial" w:cs="Arial"/>
          <w:i/>
          <w:sz w:val="24"/>
          <w:szCs w:val="24"/>
        </w:rPr>
        <w:t>Nat Protoc</w:t>
      </w:r>
      <w:r>
        <w:rPr>
          <w:rFonts w:ascii="Arial" w:hAnsi="Arial" w:cs="Arial"/>
          <w:i/>
          <w:sz w:val="24"/>
          <w:szCs w:val="24"/>
        </w:rPr>
        <w:t>.</w:t>
      </w:r>
      <w:r w:rsidRPr="006D1F66">
        <w:rPr>
          <w:rFonts w:ascii="Arial" w:hAnsi="Arial" w:cs="Arial"/>
          <w:sz w:val="24"/>
          <w:szCs w:val="24"/>
        </w:rPr>
        <w:t xml:space="preserve"> </w:t>
      </w:r>
      <w:r w:rsidRPr="006D1F66">
        <w:rPr>
          <w:rFonts w:ascii="Arial" w:hAnsi="Arial" w:cs="Arial"/>
          <w:b/>
          <w:sz w:val="24"/>
          <w:szCs w:val="24"/>
        </w:rPr>
        <w:t>3</w:t>
      </w:r>
      <w:r>
        <w:rPr>
          <w:rFonts w:ascii="Arial" w:hAnsi="Arial" w:cs="Arial"/>
          <w:sz w:val="24"/>
          <w:szCs w:val="24"/>
        </w:rPr>
        <w:t>, 70-78 (2008).</w:t>
      </w:r>
    </w:p>
    <w:p w14:paraId="3B859D6B" w14:textId="77777777" w:rsidR="00DF630E" w:rsidRPr="006D1F66" w:rsidRDefault="00DF630E" w:rsidP="00DF630E">
      <w:pPr>
        <w:pStyle w:val="EndNoteBibliography"/>
        <w:spacing w:line="480" w:lineRule="auto"/>
        <w:ind w:left="720" w:hanging="720"/>
        <w:rPr>
          <w:rFonts w:ascii="Arial" w:hAnsi="Arial" w:cs="Arial" w:hint="eastAsia"/>
          <w:sz w:val="24"/>
          <w:szCs w:val="24"/>
        </w:rPr>
      </w:pPr>
      <w:r w:rsidRPr="006D1F66">
        <w:rPr>
          <w:rFonts w:ascii="Arial" w:hAnsi="Arial" w:cs="Arial"/>
          <w:sz w:val="24"/>
          <w:szCs w:val="24"/>
        </w:rPr>
        <w:t>5.</w:t>
      </w:r>
      <w:r w:rsidRPr="006D1F66">
        <w:rPr>
          <w:rFonts w:ascii="Arial" w:hAnsi="Arial" w:cs="Arial"/>
          <w:sz w:val="24"/>
          <w:szCs w:val="24"/>
        </w:rPr>
        <w:tab/>
        <w:t xml:space="preserve">Bielawski J, Pierce JS, Snider J, Rembiesa B, Szulc ZM, Bielawska A. Comprehensive quantitative analysis of bioactive sphingolipids by high-performance liquid chromatography-tandem mass spectrometry. </w:t>
      </w:r>
      <w:r w:rsidRPr="006D1F66">
        <w:rPr>
          <w:rFonts w:ascii="Arial" w:hAnsi="Arial" w:cs="Arial"/>
          <w:i/>
          <w:sz w:val="24"/>
          <w:szCs w:val="24"/>
        </w:rPr>
        <w:t>Methods Mol Biol</w:t>
      </w:r>
      <w:r>
        <w:rPr>
          <w:rFonts w:ascii="Arial" w:hAnsi="Arial" w:cs="Arial"/>
          <w:i/>
          <w:sz w:val="24"/>
          <w:szCs w:val="24"/>
        </w:rPr>
        <w:t>.</w:t>
      </w:r>
      <w:r w:rsidRPr="006D1F66">
        <w:rPr>
          <w:rFonts w:ascii="Arial" w:hAnsi="Arial" w:cs="Arial"/>
          <w:sz w:val="24"/>
          <w:szCs w:val="24"/>
        </w:rPr>
        <w:t xml:space="preserve"> </w:t>
      </w:r>
      <w:r w:rsidRPr="006D1F66">
        <w:rPr>
          <w:rFonts w:ascii="Arial" w:hAnsi="Arial" w:cs="Arial"/>
          <w:b/>
          <w:sz w:val="24"/>
          <w:szCs w:val="24"/>
        </w:rPr>
        <w:t>579</w:t>
      </w:r>
      <w:r>
        <w:rPr>
          <w:rFonts w:ascii="Arial" w:hAnsi="Arial" w:cs="Arial"/>
          <w:sz w:val="24"/>
          <w:szCs w:val="24"/>
        </w:rPr>
        <w:t>, 443-467 (2009).</w:t>
      </w:r>
    </w:p>
    <w:p w14:paraId="7C78A068" w14:textId="77777777" w:rsidR="00DF630E" w:rsidRDefault="00DF630E" w:rsidP="00DF630E">
      <w:pPr>
        <w:pStyle w:val="EndNoteBibliography"/>
        <w:spacing w:line="480" w:lineRule="auto"/>
        <w:ind w:left="720" w:hanging="720"/>
        <w:rPr>
          <w:rFonts w:ascii="Arial" w:hAnsi="Arial" w:cs="Arial"/>
          <w:sz w:val="24"/>
          <w:szCs w:val="24"/>
        </w:rPr>
      </w:pPr>
      <w:r w:rsidRPr="006D1F66">
        <w:rPr>
          <w:rFonts w:ascii="Arial" w:hAnsi="Arial" w:cs="Arial"/>
          <w:sz w:val="24"/>
          <w:szCs w:val="24"/>
        </w:rPr>
        <w:t>6.</w:t>
      </w:r>
      <w:r w:rsidRPr="006D1F66">
        <w:rPr>
          <w:rFonts w:ascii="Arial" w:hAnsi="Arial" w:cs="Arial"/>
          <w:sz w:val="24"/>
          <w:szCs w:val="24"/>
        </w:rPr>
        <w:tab/>
        <w:t xml:space="preserve">Bligh EG, Dyer WJ. A rapid method of total lipid extraction and purification. </w:t>
      </w:r>
      <w:r w:rsidRPr="006D1F66">
        <w:rPr>
          <w:rFonts w:ascii="Arial" w:hAnsi="Arial" w:cs="Arial"/>
          <w:i/>
          <w:sz w:val="24"/>
          <w:szCs w:val="24"/>
        </w:rPr>
        <w:t>Can J Biochem Physiol</w:t>
      </w:r>
      <w:r>
        <w:rPr>
          <w:rFonts w:ascii="Arial" w:hAnsi="Arial" w:cs="Arial"/>
          <w:i/>
          <w:sz w:val="24"/>
          <w:szCs w:val="24"/>
        </w:rPr>
        <w:t>.</w:t>
      </w:r>
      <w:r w:rsidRPr="006D1F66">
        <w:rPr>
          <w:rFonts w:ascii="Arial" w:hAnsi="Arial" w:cs="Arial"/>
          <w:sz w:val="24"/>
          <w:szCs w:val="24"/>
        </w:rPr>
        <w:t xml:space="preserve"> </w:t>
      </w:r>
      <w:r w:rsidRPr="006D1F66">
        <w:rPr>
          <w:rFonts w:ascii="Arial" w:hAnsi="Arial" w:cs="Arial"/>
          <w:b/>
          <w:sz w:val="24"/>
          <w:szCs w:val="24"/>
        </w:rPr>
        <w:t>37</w:t>
      </w:r>
      <w:r>
        <w:rPr>
          <w:rFonts w:ascii="Arial" w:hAnsi="Arial" w:cs="Arial"/>
          <w:sz w:val="24"/>
          <w:szCs w:val="24"/>
        </w:rPr>
        <w:t>, 911-917 (1959).</w:t>
      </w:r>
    </w:p>
    <w:p w14:paraId="55A5D6B7" w14:textId="2E4A83FF" w:rsidR="00BD20A1" w:rsidRDefault="00DF630E" w:rsidP="00DF630E">
      <w:pPr>
        <w:pStyle w:val="EndNoteBibliography"/>
        <w:spacing w:line="480" w:lineRule="auto"/>
        <w:ind w:left="720" w:hanging="720"/>
        <w:rPr>
          <w:rFonts w:ascii="Arial" w:hAnsi="Arial" w:cs="Arial"/>
          <w:sz w:val="24"/>
          <w:szCs w:val="24"/>
        </w:rPr>
      </w:pPr>
      <w:r>
        <w:rPr>
          <w:rFonts w:ascii="Arial" w:hAnsi="Arial" w:cs="Arial"/>
          <w:sz w:val="24"/>
          <w:szCs w:val="24"/>
        </w:rPr>
        <w:t>7.</w:t>
      </w:r>
      <w:r>
        <w:rPr>
          <w:rFonts w:ascii="Arial" w:hAnsi="Arial" w:cs="Arial" w:hint="eastAsia"/>
          <w:sz w:val="24"/>
          <w:szCs w:val="24"/>
        </w:rPr>
        <w:t xml:space="preserve"> </w:t>
      </w:r>
      <w:r>
        <w:rPr>
          <w:rFonts w:ascii="Arial" w:hAnsi="Arial" w:cs="Arial"/>
          <w:sz w:val="24"/>
          <w:szCs w:val="24"/>
        </w:rPr>
        <w:t xml:space="preserve">   </w:t>
      </w:r>
      <w:r w:rsidRPr="006D1F66">
        <w:rPr>
          <w:rFonts w:ascii="Arial" w:hAnsi="Arial" w:cs="Arial"/>
          <w:sz w:val="24"/>
          <w:szCs w:val="24"/>
        </w:rPr>
        <w:t>Hamler R</w:t>
      </w:r>
      <w:r w:rsidRPr="006D1F66">
        <w:rPr>
          <w:rFonts w:ascii="Arial" w:hAnsi="Arial" w:cs="Arial"/>
          <w:i/>
          <w:sz w:val="24"/>
          <w:szCs w:val="24"/>
        </w:rPr>
        <w:t>, et al.</w:t>
      </w:r>
      <w:r w:rsidRPr="006D1F66">
        <w:rPr>
          <w:rFonts w:ascii="Arial" w:hAnsi="Arial" w:cs="Arial"/>
          <w:sz w:val="24"/>
          <w:szCs w:val="24"/>
        </w:rPr>
        <w:t xml:space="preserve"> Glucosylceramide and Glucosylsphingosine Quantitation by Liquid Chromatography-Tandem Mass Spectrometry to Enable In Vivo Preclinical Studies of Neuronopathic Gaucher Disease. </w:t>
      </w:r>
      <w:r w:rsidRPr="006D1F66">
        <w:rPr>
          <w:rFonts w:ascii="Arial" w:hAnsi="Arial" w:cs="Arial"/>
          <w:i/>
          <w:sz w:val="24"/>
          <w:szCs w:val="24"/>
        </w:rPr>
        <w:t>Anal Chem</w:t>
      </w:r>
      <w:r>
        <w:rPr>
          <w:rFonts w:ascii="Arial" w:hAnsi="Arial" w:cs="Arial"/>
          <w:i/>
          <w:sz w:val="24"/>
          <w:szCs w:val="24"/>
        </w:rPr>
        <w:t>.</w:t>
      </w:r>
      <w:r w:rsidRPr="006D1F66">
        <w:rPr>
          <w:rFonts w:ascii="Arial" w:hAnsi="Arial" w:cs="Arial"/>
          <w:sz w:val="24"/>
          <w:szCs w:val="24"/>
        </w:rPr>
        <w:t xml:space="preserve"> </w:t>
      </w:r>
      <w:r w:rsidRPr="006D1F66">
        <w:rPr>
          <w:rFonts w:ascii="Arial" w:hAnsi="Arial" w:cs="Arial"/>
          <w:b/>
          <w:sz w:val="24"/>
          <w:szCs w:val="24"/>
        </w:rPr>
        <w:t>89</w:t>
      </w:r>
      <w:r w:rsidRPr="006D1F66">
        <w:rPr>
          <w:rFonts w:ascii="Arial" w:hAnsi="Arial" w:cs="Arial"/>
          <w:sz w:val="24"/>
          <w:szCs w:val="24"/>
        </w:rPr>
        <w:t>, 8288-8295 (2017).</w:t>
      </w:r>
      <w:r w:rsidR="00BD20A1">
        <w:rPr>
          <w:rFonts w:ascii="Arial" w:hAnsi="Arial" w:cs="Arial"/>
          <w:sz w:val="24"/>
          <w:szCs w:val="24"/>
        </w:rPr>
        <w:br w:type="page"/>
      </w:r>
    </w:p>
    <w:p w14:paraId="562B18A0" w14:textId="77777777" w:rsidR="00BD20A1" w:rsidRPr="006A77F5" w:rsidRDefault="00BD20A1" w:rsidP="006F4C29">
      <w:pPr>
        <w:spacing w:line="480" w:lineRule="auto"/>
        <w:jc w:val="left"/>
        <w:rPr>
          <w:rFonts w:ascii="Arial" w:hAnsi="Arial" w:cs="Arial"/>
          <w:b/>
          <w:sz w:val="24"/>
          <w:szCs w:val="24"/>
        </w:rPr>
      </w:pPr>
      <w:r w:rsidRPr="006A77F5">
        <w:rPr>
          <w:rFonts w:ascii="Arial" w:hAnsi="Arial" w:cs="Arial" w:hint="eastAsia"/>
          <w:b/>
          <w:sz w:val="24"/>
          <w:szCs w:val="24"/>
        </w:rPr>
        <w:lastRenderedPageBreak/>
        <w:t>F</w:t>
      </w:r>
      <w:r w:rsidRPr="006A77F5">
        <w:rPr>
          <w:rFonts w:ascii="Arial" w:hAnsi="Arial" w:cs="Arial"/>
          <w:b/>
          <w:sz w:val="24"/>
          <w:szCs w:val="24"/>
        </w:rPr>
        <w:t>igure legends:</w:t>
      </w:r>
    </w:p>
    <w:p w14:paraId="4E5C8C6A" w14:textId="77777777" w:rsidR="00BD20A1" w:rsidRDefault="00BD20A1" w:rsidP="00256AB0">
      <w:pPr>
        <w:spacing w:line="480" w:lineRule="auto"/>
        <w:jc w:val="center"/>
        <w:rPr>
          <w:rFonts w:ascii="Arial" w:hAnsi="Arial" w:cs="Arial"/>
          <w:sz w:val="24"/>
          <w:szCs w:val="24"/>
        </w:rPr>
      </w:pPr>
      <w:r>
        <w:rPr>
          <w:rFonts w:ascii="Arial" w:hAnsi="Arial" w:cs="Arial" w:hint="eastAsia"/>
          <w:noProof/>
          <w:sz w:val="24"/>
          <w:szCs w:val="24"/>
        </w:rPr>
        <w:drawing>
          <wp:inline distT="0" distB="0" distL="0" distR="0" wp14:anchorId="0B699457" wp14:editId="6C6C7192">
            <wp:extent cx="4746424" cy="2436961"/>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l figure 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65092" cy="2446546"/>
                    </a:xfrm>
                    <a:prstGeom prst="rect">
                      <a:avLst/>
                    </a:prstGeom>
                  </pic:spPr>
                </pic:pic>
              </a:graphicData>
            </a:graphic>
          </wp:inline>
        </w:drawing>
      </w:r>
    </w:p>
    <w:p w14:paraId="4F8393A0" w14:textId="77777777" w:rsidR="00BD20A1" w:rsidRDefault="00BD20A1" w:rsidP="006F4C29">
      <w:pPr>
        <w:spacing w:line="480" w:lineRule="auto"/>
        <w:jc w:val="left"/>
        <w:rPr>
          <w:rFonts w:ascii="Arial" w:hAnsi="Arial" w:cs="Arial"/>
          <w:sz w:val="24"/>
          <w:szCs w:val="24"/>
        </w:rPr>
      </w:pPr>
      <w:r w:rsidRPr="00B229D2">
        <w:rPr>
          <w:rFonts w:ascii="Arial" w:hAnsi="Arial" w:cs="Arial"/>
          <w:sz w:val="24"/>
          <w:szCs w:val="24"/>
        </w:rPr>
        <w:t>Supplemental figure 1:</w:t>
      </w:r>
      <w:r>
        <w:rPr>
          <w:rFonts w:ascii="Arial" w:hAnsi="Arial" w:cs="Arial"/>
          <w:sz w:val="24"/>
          <w:szCs w:val="24"/>
        </w:rPr>
        <w:t xml:space="preserve"> </w:t>
      </w:r>
      <w:r w:rsidRPr="00B229D2">
        <w:rPr>
          <w:rFonts w:ascii="Arial" w:hAnsi="Arial" w:cs="Arial"/>
          <w:sz w:val="24"/>
          <w:szCs w:val="24"/>
        </w:rPr>
        <w:t>RNA integrity</w:t>
      </w:r>
      <w:r>
        <w:rPr>
          <w:rFonts w:ascii="Arial" w:hAnsi="Arial" w:cs="Arial"/>
          <w:sz w:val="24"/>
          <w:szCs w:val="24"/>
        </w:rPr>
        <w:t>. 0.8</w:t>
      </w:r>
      <w:r w:rsidRPr="00B229D2">
        <w:rPr>
          <w:rFonts w:ascii="Arial" w:hAnsi="Arial" w:cs="Arial"/>
          <w:sz w:val="24"/>
          <w:szCs w:val="24"/>
        </w:rPr>
        <w:t xml:space="preserve">% Tris, borate </w:t>
      </w:r>
      <w:r>
        <w:rPr>
          <w:rFonts w:ascii="Arial" w:hAnsi="Arial" w:cs="Arial"/>
          <w:sz w:val="24"/>
          <w:szCs w:val="24"/>
        </w:rPr>
        <w:t xml:space="preserve">and ethylenediamine tetraacetic </w:t>
      </w:r>
      <w:r w:rsidRPr="00B229D2">
        <w:rPr>
          <w:rFonts w:ascii="Arial" w:hAnsi="Arial" w:cs="Arial"/>
          <w:sz w:val="24"/>
          <w:szCs w:val="24"/>
        </w:rPr>
        <w:t>acid (TBE) agarose gel electrophoresis of representative RNA samples.</w:t>
      </w:r>
      <w:r>
        <w:rPr>
          <w:rFonts w:ascii="Arial" w:hAnsi="Arial" w:cs="Arial"/>
          <w:sz w:val="24"/>
          <w:szCs w:val="24"/>
        </w:rPr>
        <w:t xml:space="preserve"> </w:t>
      </w:r>
      <w:r w:rsidRPr="00637791">
        <w:rPr>
          <w:rFonts w:ascii="Arial" w:hAnsi="Arial" w:cs="Arial"/>
          <w:sz w:val="24"/>
          <w:szCs w:val="24"/>
        </w:rPr>
        <w:t>RNA subunits are clear and intact.</w:t>
      </w:r>
    </w:p>
    <w:p w14:paraId="05C34828" w14:textId="77777777" w:rsidR="00BD20A1" w:rsidRDefault="00BD20A1" w:rsidP="006F4C29">
      <w:pPr>
        <w:spacing w:line="480" w:lineRule="auto"/>
        <w:jc w:val="left"/>
        <w:rPr>
          <w:rFonts w:ascii="Arial" w:hAnsi="Arial" w:cs="Arial"/>
          <w:sz w:val="24"/>
          <w:szCs w:val="24"/>
        </w:rPr>
      </w:pPr>
    </w:p>
    <w:p w14:paraId="2FB3D0A4" w14:textId="77777777" w:rsidR="00BD20A1" w:rsidRDefault="00BD20A1" w:rsidP="006F4C29">
      <w:pPr>
        <w:widowControl/>
        <w:jc w:val="left"/>
        <w:rPr>
          <w:rFonts w:ascii="Arial" w:hAnsi="Arial" w:cs="Arial"/>
          <w:sz w:val="24"/>
          <w:szCs w:val="24"/>
        </w:rPr>
      </w:pPr>
      <w:r>
        <w:rPr>
          <w:rFonts w:ascii="Arial" w:hAnsi="Arial" w:cs="Arial"/>
          <w:sz w:val="24"/>
          <w:szCs w:val="24"/>
        </w:rPr>
        <w:br w:type="page"/>
      </w:r>
    </w:p>
    <w:p w14:paraId="20580091" w14:textId="77777777" w:rsidR="00BD20A1" w:rsidRDefault="00BD20A1" w:rsidP="006F4C29">
      <w:pPr>
        <w:spacing w:line="480" w:lineRule="auto"/>
        <w:jc w:val="left"/>
        <w:rPr>
          <w:rFonts w:ascii="Arial" w:hAnsi="Arial" w:cs="Arial"/>
          <w:sz w:val="24"/>
          <w:szCs w:val="24"/>
        </w:rPr>
      </w:pPr>
      <w:r>
        <w:rPr>
          <w:rFonts w:ascii="Arial" w:hAnsi="Arial" w:cs="Arial"/>
          <w:noProof/>
          <w:sz w:val="24"/>
          <w:szCs w:val="24"/>
        </w:rPr>
        <w:lastRenderedPageBreak/>
        <w:drawing>
          <wp:inline distT="0" distB="0" distL="0" distR="0" wp14:anchorId="174DCF13" wp14:editId="1F0DC812">
            <wp:extent cx="5216837" cy="8863330"/>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l figure 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18948" cy="8866917"/>
                    </a:xfrm>
                    <a:prstGeom prst="rect">
                      <a:avLst/>
                    </a:prstGeom>
                  </pic:spPr>
                </pic:pic>
              </a:graphicData>
            </a:graphic>
          </wp:inline>
        </w:drawing>
      </w:r>
    </w:p>
    <w:p w14:paraId="6B1A7E1C" w14:textId="77777777" w:rsidR="00BD20A1" w:rsidRDefault="00BD20A1" w:rsidP="006F4C29">
      <w:pPr>
        <w:spacing w:line="480" w:lineRule="auto"/>
        <w:jc w:val="left"/>
        <w:rPr>
          <w:rFonts w:ascii="Arial" w:hAnsi="Arial" w:cs="Arial"/>
          <w:sz w:val="24"/>
          <w:szCs w:val="24"/>
        </w:rPr>
      </w:pPr>
      <w:r w:rsidRPr="00B229D2">
        <w:rPr>
          <w:rFonts w:ascii="Arial" w:hAnsi="Arial" w:cs="Arial"/>
          <w:sz w:val="24"/>
          <w:szCs w:val="24"/>
        </w:rPr>
        <w:lastRenderedPageBreak/>
        <w:t>Supplemental figure</w:t>
      </w:r>
      <w:r>
        <w:rPr>
          <w:rFonts w:ascii="Arial" w:hAnsi="Arial" w:cs="Arial"/>
          <w:sz w:val="24"/>
          <w:szCs w:val="24"/>
        </w:rPr>
        <w:t xml:space="preserve"> 2</w:t>
      </w:r>
      <w:r w:rsidRPr="00B229D2">
        <w:rPr>
          <w:rFonts w:ascii="Arial" w:hAnsi="Arial" w:cs="Arial"/>
          <w:sz w:val="24"/>
          <w:szCs w:val="24"/>
        </w:rPr>
        <w:t>:</w:t>
      </w:r>
      <w:r>
        <w:rPr>
          <w:rFonts w:ascii="Arial" w:hAnsi="Arial" w:cs="Arial"/>
          <w:sz w:val="24"/>
          <w:szCs w:val="24"/>
        </w:rPr>
        <w:t xml:space="preserve"> Hepatocytes</w:t>
      </w:r>
      <w:r w:rsidRPr="00EB6053">
        <w:rPr>
          <w:rFonts w:ascii="Arial" w:hAnsi="Arial" w:cs="Arial"/>
          <w:sz w:val="24"/>
          <w:szCs w:val="24"/>
        </w:rPr>
        <w:t xml:space="preserve"> viability analysis</w:t>
      </w:r>
      <w:r>
        <w:rPr>
          <w:rFonts w:ascii="Arial" w:hAnsi="Arial" w:cs="Arial"/>
          <w:sz w:val="24"/>
          <w:szCs w:val="24"/>
        </w:rPr>
        <w:t xml:space="preserve"> and e</w:t>
      </w:r>
      <w:r w:rsidRPr="00EB6053">
        <w:rPr>
          <w:rFonts w:ascii="Arial" w:hAnsi="Arial" w:cs="Arial"/>
          <w:sz w:val="24"/>
          <w:szCs w:val="24"/>
        </w:rPr>
        <w:t>ffects of Genz-123346 on UGCG protein</w:t>
      </w:r>
      <w:r>
        <w:rPr>
          <w:rFonts w:ascii="Arial" w:hAnsi="Arial" w:cs="Arial"/>
          <w:sz w:val="24"/>
          <w:szCs w:val="24"/>
        </w:rPr>
        <w:t xml:space="preserve"> expression. (A) Hepatocytes</w:t>
      </w:r>
      <w:r>
        <w:rPr>
          <w:rFonts w:ascii="Arial" w:hAnsi="Arial" w:cs="Arial" w:hint="eastAsia"/>
          <w:sz w:val="24"/>
          <w:szCs w:val="24"/>
        </w:rPr>
        <w:t xml:space="preserve"> </w:t>
      </w:r>
      <w:r w:rsidRPr="00EB6053">
        <w:rPr>
          <w:rFonts w:ascii="Arial" w:hAnsi="Arial" w:cs="Arial"/>
          <w:sz w:val="24"/>
          <w:szCs w:val="24"/>
        </w:rPr>
        <w:t>viability assessed by</w:t>
      </w:r>
      <w:r>
        <w:rPr>
          <w:rFonts w:ascii="Arial" w:hAnsi="Arial" w:cs="Arial"/>
          <w:sz w:val="24"/>
          <w:szCs w:val="24"/>
        </w:rPr>
        <w:t xml:space="preserve"> CCK-8. </w:t>
      </w:r>
      <w:r w:rsidRPr="00864372">
        <w:rPr>
          <w:rFonts w:ascii="Arial" w:hAnsi="Arial" w:cs="Arial"/>
          <w:sz w:val="24"/>
          <w:szCs w:val="24"/>
        </w:rPr>
        <w:t>No significant difference was observed in cell</w:t>
      </w:r>
      <w:r>
        <w:rPr>
          <w:rFonts w:ascii="Arial" w:hAnsi="Arial" w:cs="Arial"/>
          <w:sz w:val="24"/>
          <w:szCs w:val="24"/>
        </w:rPr>
        <w:t>s</w:t>
      </w:r>
      <w:r w:rsidRPr="00864372">
        <w:rPr>
          <w:rFonts w:ascii="Arial" w:hAnsi="Arial" w:cs="Arial"/>
          <w:sz w:val="24"/>
          <w:szCs w:val="24"/>
        </w:rPr>
        <w:t xml:space="preserve"> viability among the different dose groups within 2h, except for the highest dose (5.0 mM</w:t>
      </w:r>
      <w:r>
        <w:rPr>
          <w:rFonts w:ascii="Arial" w:hAnsi="Arial" w:cs="Arial"/>
          <w:sz w:val="24"/>
          <w:szCs w:val="24"/>
        </w:rPr>
        <w:t xml:space="preserve"> of 4-PBA</w:t>
      </w:r>
      <w:r w:rsidRPr="00864372">
        <w:rPr>
          <w:rFonts w:ascii="Arial" w:hAnsi="Arial" w:cs="Arial"/>
          <w:sz w:val="24"/>
          <w:szCs w:val="24"/>
        </w:rPr>
        <w:t xml:space="preserve">) group at 2h, while all dose groups exhibited significant cytotoxicity at 4~8h. </w:t>
      </w:r>
      <w:r w:rsidRPr="008D2FC2">
        <w:rPr>
          <w:rFonts w:ascii="Arial" w:hAnsi="Arial" w:cs="Arial"/>
          <w:sz w:val="24"/>
          <w:szCs w:val="24"/>
        </w:rPr>
        <w:t xml:space="preserve">In order to exclude the effect of </w:t>
      </w:r>
      <w:r>
        <w:rPr>
          <w:rFonts w:ascii="Arial" w:hAnsi="Arial" w:cs="Arial"/>
          <w:sz w:val="24"/>
          <w:szCs w:val="24"/>
        </w:rPr>
        <w:t>4-PBA</w:t>
      </w:r>
      <w:r w:rsidRPr="008D2FC2">
        <w:rPr>
          <w:rFonts w:ascii="Arial" w:hAnsi="Arial" w:cs="Arial"/>
          <w:sz w:val="24"/>
          <w:szCs w:val="24"/>
        </w:rPr>
        <w:t xml:space="preserve"> itself on </w:t>
      </w:r>
      <w:r>
        <w:rPr>
          <w:rFonts w:ascii="Arial" w:hAnsi="Arial" w:cs="Arial"/>
          <w:sz w:val="24"/>
          <w:szCs w:val="24"/>
        </w:rPr>
        <w:t>hepatocytes, we finally chosed 0.5</w:t>
      </w:r>
      <w:r w:rsidRPr="00864372">
        <w:rPr>
          <w:rFonts w:ascii="Arial" w:hAnsi="Arial" w:cs="Arial"/>
          <w:sz w:val="24"/>
          <w:szCs w:val="24"/>
        </w:rPr>
        <w:t>mM 4-PBA treated with 2h for subsequent studies.</w:t>
      </w:r>
      <w:r>
        <w:rPr>
          <w:rFonts w:ascii="Arial" w:hAnsi="Arial" w:cs="Arial"/>
          <w:sz w:val="24"/>
          <w:szCs w:val="24"/>
        </w:rPr>
        <w:t xml:space="preserve"> </w:t>
      </w:r>
      <w:r>
        <w:rPr>
          <w:rFonts w:ascii="Arial" w:hAnsi="Arial" w:cs="Arial"/>
          <w:sz w:val="24"/>
          <w:szCs w:val="24"/>
          <w:vertAlign w:val="superscript"/>
        </w:rPr>
        <w:t>*</w:t>
      </w:r>
      <w:r w:rsidRPr="008F0FDC">
        <w:rPr>
          <w:rFonts w:ascii="Arial" w:hAnsi="Arial" w:cs="Arial"/>
          <w:i/>
          <w:sz w:val="24"/>
          <w:szCs w:val="24"/>
        </w:rPr>
        <w:t>P</w:t>
      </w:r>
      <w:r w:rsidRPr="008F0FDC">
        <w:rPr>
          <w:rFonts w:ascii="Arial" w:hAnsi="Arial" w:cs="Arial"/>
          <w:sz w:val="24"/>
          <w:szCs w:val="24"/>
        </w:rPr>
        <w:t>&lt;0.0</w:t>
      </w:r>
      <w:r>
        <w:rPr>
          <w:rFonts w:ascii="Arial" w:hAnsi="Arial" w:cs="Arial"/>
          <w:sz w:val="24"/>
          <w:szCs w:val="24"/>
        </w:rPr>
        <w:t xml:space="preserve">5, </w:t>
      </w:r>
      <w:r w:rsidRPr="00F900F8">
        <w:rPr>
          <w:rFonts w:ascii="Arial" w:hAnsi="Arial" w:cs="Arial"/>
          <w:sz w:val="24"/>
          <w:szCs w:val="24"/>
          <w:vertAlign w:val="superscript"/>
        </w:rPr>
        <w:t>***</w:t>
      </w:r>
      <w:r w:rsidRPr="008F0FDC">
        <w:rPr>
          <w:rFonts w:ascii="Arial" w:hAnsi="Arial" w:cs="Arial"/>
          <w:i/>
          <w:sz w:val="24"/>
          <w:szCs w:val="24"/>
        </w:rPr>
        <w:t>P</w:t>
      </w:r>
      <w:r w:rsidRPr="008F0FDC">
        <w:rPr>
          <w:rFonts w:ascii="Arial" w:hAnsi="Arial" w:cs="Arial"/>
          <w:sz w:val="24"/>
          <w:szCs w:val="24"/>
        </w:rPr>
        <w:t>&lt;0.0</w:t>
      </w:r>
      <w:r>
        <w:rPr>
          <w:rFonts w:ascii="Arial" w:hAnsi="Arial" w:cs="Arial"/>
          <w:sz w:val="24"/>
          <w:szCs w:val="24"/>
        </w:rPr>
        <w:t>0</w:t>
      </w:r>
      <w:r w:rsidRPr="008F0FDC">
        <w:rPr>
          <w:rFonts w:ascii="Arial" w:hAnsi="Arial" w:cs="Arial"/>
          <w:sz w:val="24"/>
          <w:szCs w:val="24"/>
        </w:rPr>
        <w:t>1</w:t>
      </w:r>
      <w:r>
        <w:rPr>
          <w:rFonts w:ascii="Arial" w:hAnsi="Arial" w:cs="Arial"/>
          <w:sz w:val="24"/>
          <w:szCs w:val="24"/>
        </w:rPr>
        <w:t xml:space="preserve">. (B) </w:t>
      </w:r>
      <w:r w:rsidRPr="00700DA6">
        <w:rPr>
          <w:rFonts w:ascii="Arial" w:hAnsi="Arial" w:cs="Arial"/>
          <w:sz w:val="24"/>
          <w:szCs w:val="24"/>
        </w:rPr>
        <w:t>Morphological changes of hepatocytes under microscope.</w:t>
      </w:r>
      <w:r>
        <w:rPr>
          <w:rFonts w:ascii="Arial" w:hAnsi="Arial" w:cs="Arial"/>
          <w:sz w:val="24"/>
          <w:szCs w:val="24"/>
        </w:rPr>
        <w:t xml:space="preserve"> (C) </w:t>
      </w:r>
      <w:r w:rsidRPr="00EB6053">
        <w:rPr>
          <w:rFonts w:ascii="Arial" w:hAnsi="Arial" w:cs="Arial"/>
          <w:sz w:val="24"/>
          <w:szCs w:val="24"/>
        </w:rPr>
        <w:t>UGCG protein</w:t>
      </w:r>
      <w:r>
        <w:rPr>
          <w:rFonts w:ascii="Arial" w:hAnsi="Arial" w:cs="Arial"/>
          <w:sz w:val="24"/>
          <w:szCs w:val="24"/>
        </w:rPr>
        <w:t xml:space="preserve"> expression</w:t>
      </w:r>
      <w:r w:rsidRPr="00BA0ADB">
        <w:rPr>
          <w:rFonts w:ascii="Arial" w:hAnsi="Arial" w:cs="Arial"/>
          <w:sz w:val="24"/>
          <w:szCs w:val="24"/>
        </w:rPr>
        <w:t xml:space="preserve"> was significantly inhibited by </w:t>
      </w:r>
      <w:r>
        <w:rPr>
          <w:rFonts w:ascii="Arial" w:hAnsi="Arial" w:cs="Arial"/>
          <w:sz w:val="24"/>
          <w:szCs w:val="24"/>
        </w:rPr>
        <w:t xml:space="preserve">2μM </w:t>
      </w:r>
      <w:r w:rsidRPr="00BA0ADB">
        <w:rPr>
          <w:rFonts w:ascii="Arial" w:hAnsi="Arial" w:cs="Arial"/>
          <w:sz w:val="24"/>
          <w:szCs w:val="24"/>
        </w:rPr>
        <w:t>Genz-123346</w:t>
      </w:r>
      <w:r>
        <w:rPr>
          <w:rFonts w:ascii="Arial" w:hAnsi="Arial" w:cs="Arial"/>
          <w:sz w:val="24"/>
          <w:szCs w:val="24"/>
        </w:rPr>
        <w:t xml:space="preserve"> compared to</w:t>
      </w:r>
      <w:r w:rsidRPr="00BA0ADB">
        <w:rPr>
          <w:rFonts w:ascii="Arial" w:hAnsi="Arial" w:cs="Arial"/>
          <w:sz w:val="24"/>
          <w:szCs w:val="24"/>
        </w:rPr>
        <w:t xml:space="preserve"> vehicle (0.</w:t>
      </w:r>
      <w:r>
        <w:rPr>
          <w:rFonts w:ascii="Arial" w:hAnsi="Arial" w:cs="Arial"/>
          <w:sz w:val="24"/>
          <w:szCs w:val="24"/>
        </w:rPr>
        <w:t xml:space="preserve">01% DMSO), and 2μM </w:t>
      </w:r>
      <w:r w:rsidRPr="00BA0ADB">
        <w:rPr>
          <w:rFonts w:ascii="Arial" w:hAnsi="Arial" w:cs="Arial"/>
          <w:sz w:val="24"/>
          <w:szCs w:val="24"/>
        </w:rPr>
        <w:t>Genz-123346</w:t>
      </w:r>
      <w:r>
        <w:rPr>
          <w:rFonts w:ascii="Arial" w:hAnsi="Arial" w:cs="Arial"/>
          <w:sz w:val="24"/>
          <w:szCs w:val="24"/>
        </w:rPr>
        <w:t xml:space="preserve"> treated with 6</w:t>
      </w:r>
      <w:r w:rsidRPr="00864372">
        <w:rPr>
          <w:rFonts w:ascii="Arial" w:hAnsi="Arial" w:cs="Arial"/>
          <w:sz w:val="24"/>
          <w:szCs w:val="24"/>
        </w:rPr>
        <w:t>h for subsequent studies</w:t>
      </w:r>
      <w:r>
        <w:rPr>
          <w:rFonts w:ascii="Arial" w:hAnsi="Arial" w:cs="Arial"/>
          <w:sz w:val="24"/>
          <w:szCs w:val="24"/>
        </w:rPr>
        <w:t xml:space="preserve">, </w:t>
      </w:r>
      <w:r w:rsidRPr="00F900F8">
        <w:rPr>
          <w:rFonts w:ascii="Arial" w:hAnsi="Arial" w:cs="Arial"/>
          <w:sz w:val="24"/>
          <w:szCs w:val="24"/>
          <w:vertAlign w:val="superscript"/>
        </w:rPr>
        <w:t>***</w:t>
      </w:r>
      <w:r w:rsidRPr="008F0FDC">
        <w:rPr>
          <w:rFonts w:ascii="Arial" w:hAnsi="Arial" w:cs="Arial"/>
          <w:i/>
          <w:sz w:val="24"/>
          <w:szCs w:val="24"/>
        </w:rPr>
        <w:t>P</w:t>
      </w:r>
      <w:r w:rsidRPr="008F0FDC">
        <w:rPr>
          <w:rFonts w:ascii="Arial" w:hAnsi="Arial" w:cs="Arial"/>
          <w:sz w:val="24"/>
          <w:szCs w:val="24"/>
        </w:rPr>
        <w:t>&lt;0.0</w:t>
      </w:r>
      <w:r>
        <w:rPr>
          <w:rFonts w:ascii="Arial" w:hAnsi="Arial" w:cs="Arial"/>
          <w:sz w:val="24"/>
          <w:szCs w:val="24"/>
        </w:rPr>
        <w:t>0</w:t>
      </w:r>
      <w:r w:rsidRPr="008F0FDC">
        <w:rPr>
          <w:rFonts w:ascii="Arial" w:hAnsi="Arial" w:cs="Arial"/>
          <w:sz w:val="24"/>
          <w:szCs w:val="24"/>
        </w:rPr>
        <w:t>1</w:t>
      </w:r>
      <w:r>
        <w:rPr>
          <w:rFonts w:ascii="Arial" w:hAnsi="Arial" w:cs="Arial"/>
          <w:sz w:val="24"/>
          <w:szCs w:val="24"/>
        </w:rPr>
        <w:t>.</w:t>
      </w:r>
    </w:p>
    <w:p w14:paraId="7264E44A" w14:textId="77777777" w:rsidR="00BD20A1" w:rsidRDefault="00BD20A1" w:rsidP="006F4C29">
      <w:pPr>
        <w:spacing w:line="480" w:lineRule="auto"/>
        <w:jc w:val="left"/>
        <w:rPr>
          <w:rFonts w:ascii="Arial" w:hAnsi="Arial" w:cs="Arial"/>
          <w:sz w:val="24"/>
          <w:szCs w:val="24"/>
        </w:rPr>
      </w:pPr>
    </w:p>
    <w:p w14:paraId="2396EF48" w14:textId="77777777" w:rsidR="00BD20A1" w:rsidRDefault="00BD20A1" w:rsidP="006F4C29">
      <w:pPr>
        <w:widowControl/>
        <w:jc w:val="left"/>
        <w:rPr>
          <w:rFonts w:ascii="Arial" w:hAnsi="Arial" w:cs="Arial"/>
          <w:sz w:val="24"/>
          <w:szCs w:val="24"/>
        </w:rPr>
      </w:pPr>
      <w:r>
        <w:rPr>
          <w:rFonts w:ascii="Arial" w:hAnsi="Arial" w:cs="Arial"/>
          <w:sz w:val="24"/>
          <w:szCs w:val="24"/>
        </w:rPr>
        <w:br w:type="page"/>
      </w:r>
    </w:p>
    <w:p w14:paraId="7066757E" w14:textId="77777777" w:rsidR="00BD20A1" w:rsidRDefault="00BD20A1" w:rsidP="006F4C29">
      <w:pPr>
        <w:spacing w:line="480" w:lineRule="auto"/>
        <w:jc w:val="left"/>
        <w:rPr>
          <w:rFonts w:ascii="Arial" w:hAnsi="Arial" w:cs="Arial"/>
          <w:sz w:val="24"/>
          <w:szCs w:val="24"/>
        </w:rPr>
      </w:pPr>
      <w:r>
        <w:rPr>
          <w:rFonts w:ascii="Arial" w:hAnsi="Arial" w:cs="Arial"/>
          <w:noProof/>
          <w:sz w:val="24"/>
          <w:szCs w:val="24"/>
        </w:rPr>
        <w:lastRenderedPageBreak/>
        <w:drawing>
          <wp:inline distT="0" distB="0" distL="0" distR="0" wp14:anchorId="6EC12EE8" wp14:editId="0431685B">
            <wp:extent cx="5221224" cy="688543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l figure 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21224" cy="6885432"/>
                    </a:xfrm>
                    <a:prstGeom prst="rect">
                      <a:avLst/>
                    </a:prstGeom>
                  </pic:spPr>
                </pic:pic>
              </a:graphicData>
            </a:graphic>
          </wp:inline>
        </w:drawing>
      </w:r>
    </w:p>
    <w:p w14:paraId="25B668E6" w14:textId="77777777" w:rsidR="00BD20A1" w:rsidRDefault="00BD20A1" w:rsidP="006F4C29">
      <w:pPr>
        <w:spacing w:line="480" w:lineRule="auto"/>
        <w:jc w:val="left"/>
        <w:rPr>
          <w:rFonts w:ascii="Arial" w:hAnsi="Arial" w:cs="Arial"/>
          <w:sz w:val="24"/>
          <w:szCs w:val="24"/>
        </w:rPr>
      </w:pPr>
      <w:r w:rsidRPr="00B229D2">
        <w:rPr>
          <w:rFonts w:ascii="Arial" w:hAnsi="Arial" w:cs="Arial"/>
          <w:sz w:val="24"/>
          <w:szCs w:val="24"/>
        </w:rPr>
        <w:t>Supplemental figure</w:t>
      </w:r>
      <w:r>
        <w:rPr>
          <w:rFonts w:ascii="Arial" w:hAnsi="Arial" w:cs="Arial"/>
          <w:sz w:val="24"/>
          <w:szCs w:val="24"/>
        </w:rPr>
        <w:t xml:space="preserve"> 3</w:t>
      </w:r>
      <w:r w:rsidRPr="00B229D2">
        <w:rPr>
          <w:rFonts w:ascii="Arial" w:hAnsi="Arial" w:cs="Arial"/>
          <w:sz w:val="24"/>
          <w:szCs w:val="24"/>
        </w:rPr>
        <w:t>:</w:t>
      </w:r>
      <w:r>
        <w:rPr>
          <w:rFonts w:ascii="Arial" w:hAnsi="Arial" w:cs="Arial"/>
          <w:sz w:val="24"/>
          <w:szCs w:val="24"/>
        </w:rPr>
        <w:t xml:space="preserve"> </w:t>
      </w:r>
      <w:r w:rsidRPr="007E5AFD">
        <w:rPr>
          <w:rFonts w:ascii="Arial" w:hAnsi="Arial" w:cs="Arial"/>
          <w:sz w:val="24"/>
          <w:szCs w:val="24"/>
        </w:rPr>
        <w:t xml:space="preserve">Morphological observations between hepatocytes and </w:t>
      </w:r>
      <w:r>
        <w:rPr>
          <w:rFonts w:ascii="Arial" w:hAnsi="Arial" w:cs="Arial"/>
          <w:sz w:val="24"/>
          <w:szCs w:val="24"/>
        </w:rPr>
        <w:t>stimul</w:t>
      </w:r>
      <w:r w:rsidRPr="007E5AFD">
        <w:rPr>
          <w:rFonts w:ascii="Arial" w:hAnsi="Arial" w:cs="Arial"/>
          <w:sz w:val="24"/>
          <w:szCs w:val="24"/>
        </w:rPr>
        <w:t>ated hepatocytes.</w:t>
      </w:r>
      <w:r>
        <w:rPr>
          <w:rFonts w:ascii="Arial" w:hAnsi="Arial" w:cs="Arial"/>
          <w:sz w:val="24"/>
          <w:szCs w:val="24"/>
        </w:rPr>
        <w:t xml:space="preserve"> S</w:t>
      </w:r>
      <w:r w:rsidRPr="001563F2">
        <w:rPr>
          <w:rFonts w:ascii="Arial" w:hAnsi="Arial" w:cs="Arial"/>
          <w:sz w:val="24"/>
          <w:szCs w:val="24"/>
        </w:rPr>
        <w:t xml:space="preserve">hrinkage, detachment and rounding that occurred in hepatocytes after treated with Genz-123346 or stimulated by </w:t>
      </w:r>
      <w:r>
        <w:rPr>
          <w:rFonts w:ascii="Arial" w:hAnsi="Arial" w:cs="Arial"/>
          <w:sz w:val="24"/>
          <w:szCs w:val="24"/>
        </w:rPr>
        <w:t xml:space="preserve">activated </w:t>
      </w:r>
      <w:r w:rsidRPr="001563F2">
        <w:rPr>
          <w:rFonts w:ascii="Arial" w:hAnsi="Arial" w:cs="Arial"/>
          <w:sz w:val="24"/>
          <w:szCs w:val="24"/>
        </w:rPr>
        <w:t>iNKT cells. However, these results were improved by using 4-PBA.</w:t>
      </w:r>
    </w:p>
    <w:p w14:paraId="61E2F86C" w14:textId="77777777" w:rsidR="00BD20A1" w:rsidRDefault="00BD20A1" w:rsidP="006F4C29">
      <w:pPr>
        <w:spacing w:line="480" w:lineRule="auto"/>
        <w:jc w:val="left"/>
        <w:rPr>
          <w:rFonts w:ascii="Arial" w:hAnsi="Arial" w:cs="Arial"/>
          <w:sz w:val="24"/>
          <w:szCs w:val="24"/>
        </w:rPr>
      </w:pPr>
    </w:p>
    <w:p w14:paraId="5B614244" w14:textId="77777777" w:rsidR="00BD20A1" w:rsidRDefault="00BD20A1" w:rsidP="00650EF3">
      <w:pPr>
        <w:spacing w:line="480" w:lineRule="auto"/>
        <w:jc w:val="center"/>
        <w:rPr>
          <w:rFonts w:ascii="Arial" w:hAnsi="Arial" w:cs="Arial"/>
          <w:sz w:val="24"/>
          <w:szCs w:val="24"/>
        </w:rPr>
      </w:pPr>
      <w:r>
        <w:rPr>
          <w:rFonts w:ascii="Arial" w:hAnsi="Arial" w:cs="Arial" w:hint="eastAsia"/>
          <w:noProof/>
          <w:sz w:val="24"/>
          <w:szCs w:val="24"/>
        </w:rPr>
        <w:lastRenderedPageBreak/>
        <w:drawing>
          <wp:inline distT="0" distB="0" distL="0" distR="0" wp14:anchorId="767D1816" wp14:editId="38120A90">
            <wp:extent cx="4577285" cy="8086549"/>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原代分离-字体格式化.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85361" cy="8100817"/>
                    </a:xfrm>
                    <a:prstGeom prst="rect">
                      <a:avLst/>
                    </a:prstGeom>
                  </pic:spPr>
                </pic:pic>
              </a:graphicData>
            </a:graphic>
          </wp:inline>
        </w:drawing>
      </w:r>
    </w:p>
    <w:p w14:paraId="3D380E49" w14:textId="77777777" w:rsidR="00BD20A1" w:rsidRDefault="00BD20A1" w:rsidP="006F4C29">
      <w:pPr>
        <w:spacing w:line="480" w:lineRule="auto"/>
        <w:jc w:val="left"/>
        <w:rPr>
          <w:rFonts w:ascii="Arial" w:hAnsi="Arial" w:cs="Arial"/>
          <w:sz w:val="24"/>
          <w:szCs w:val="24"/>
        </w:rPr>
      </w:pPr>
      <w:r w:rsidRPr="00B229D2">
        <w:rPr>
          <w:rFonts w:ascii="Arial" w:hAnsi="Arial" w:cs="Arial"/>
          <w:sz w:val="24"/>
          <w:szCs w:val="24"/>
        </w:rPr>
        <w:t>Supplemental figure</w:t>
      </w:r>
      <w:r>
        <w:rPr>
          <w:rFonts w:ascii="Arial" w:hAnsi="Arial" w:cs="Arial"/>
          <w:sz w:val="24"/>
          <w:szCs w:val="24"/>
        </w:rPr>
        <w:t xml:space="preserve"> 4</w:t>
      </w:r>
      <w:r w:rsidRPr="00B229D2">
        <w:rPr>
          <w:rFonts w:ascii="Arial" w:hAnsi="Arial" w:cs="Arial"/>
          <w:sz w:val="24"/>
          <w:szCs w:val="24"/>
        </w:rPr>
        <w:t>:</w:t>
      </w:r>
      <w:r>
        <w:rPr>
          <w:rFonts w:ascii="Arial" w:hAnsi="Arial" w:cs="Arial"/>
          <w:sz w:val="24"/>
          <w:szCs w:val="24"/>
        </w:rPr>
        <w:t xml:space="preserve"> P</w:t>
      </w:r>
      <w:r w:rsidRPr="00730A3F">
        <w:rPr>
          <w:rFonts w:ascii="Arial" w:hAnsi="Arial" w:cs="Arial"/>
          <w:sz w:val="24"/>
          <w:szCs w:val="24"/>
        </w:rPr>
        <w:t>rotocol</w:t>
      </w:r>
      <w:r>
        <w:rPr>
          <w:rFonts w:ascii="Arial" w:hAnsi="Arial" w:cs="Arial"/>
          <w:sz w:val="24"/>
          <w:szCs w:val="24"/>
        </w:rPr>
        <w:t>s for</w:t>
      </w:r>
      <w:r w:rsidRPr="00730A3F">
        <w:rPr>
          <w:rFonts w:ascii="Arial" w:hAnsi="Arial" w:cs="Arial"/>
          <w:sz w:val="24"/>
          <w:szCs w:val="24"/>
        </w:rPr>
        <w:t xml:space="preserve"> isolation and purification of </w:t>
      </w:r>
      <w:r>
        <w:rPr>
          <w:rFonts w:ascii="Arial" w:hAnsi="Arial" w:cs="Arial"/>
          <w:sz w:val="24"/>
          <w:szCs w:val="24"/>
        </w:rPr>
        <w:t xml:space="preserve">mice liver </w:t>
      </w:r>
      <w:r w:rsidRPr="00730A3F">
        <w:rPr>
          <w:rFonts w:ascii="Arial" w:hAnsi="Arial" w:cs="Arial"/>
          <w:sz w:val="24"/>
          <w:szCs w:val="24"/>
        </w:rPr>
        <w:t>p</w:t>
      </w:r>
      <w:r>
        <w:rPr>
          <w:rFonts w:ascii="Arial" w:hAnsi="Arial" w:cs="Arial"/>
          <w:sz w:val="24"/>
          <w:szCs w:val="24"/>
        </w:rPr>
        <w:t>rimary iNKT cells</w:t>
      </w:r>
      <w:r w:rsidRPr="00730A3F">
        <w:rPr>
          <w:rFonts w:ascii="Arial" w:hAnsi="Arial" w:cs="Arial"/>
          <w:sz w:val="24"/>
          <w:szCs w:val="24"/>
        </w:rPr>
        <w:t>.</w:t>
      </w:r>
    </w:p>
    <w:p w14:paraId="2A88C95B" w14:textId="77777777" w:rsidR="00BD20A1" w:rsidRDefault="00BD20A1" w:rsidP="006F4C29">
      <w:pPr>
        <w:spacing w:line="480" w:lineRule="auto"/>
        <w:jc w:val="left"/>
        <w:rPr>
          <w:rFonts w:ascii="Arial" w:hAnsi="Arial" w:cs="Arial"/>
          <w:sz w:val="24"/>
          <w:szCs w:val="24"/>
        </w:rPr>
      </w:pPr>
      <w:r>
        <w:rPr>
          <w:rFonts w:ascii="Arial" w:hAnsi="Arial" w:cs="Arial"/>
          <w:noProof/>
          <w:sz w:val="24"/>
          <w:szCs w:val="24"/>
        </w:rPr>
        <w:lastRenderedPageBreak/>
        <w:drawing>
          <wp:inline distT="0" distB="0" distL="0" distR="0" wp14:anchorId="272C18D8" wp14:editId="61C1EAD6">
            <wp:extent cx="5274310" cy="4830445"/>
            <wp:effectExtent l="0" t="0" r="254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流式逻辑-字体格式化.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830445"/>
                    </a:xfrm>
                    <a:prstGeom prst="rect">
                      <a:avLst/>
                    </a:prstGeom>
                  </pic:spPr>
                </pic:pic>
              </a:graphicData>
            </a:graphic>
          </wp:inline>
        </w:drawing>
      </w:r>
    </w:p>
    <w:p w14:paraId="5CA182CC" w14:textId="77777777" w:rsidR="00BD20A1" w:rsidRDefault="00BD20A1" w:rsidP="006F4C29">
      <w:pPr>
        <w:spacing w:line="480" w:lineRule="auto"/>
        <w:jc w:val="left"/>
        <w:rPr>
          <w:rFonts w:ascii="Arial" w:hAnsi="Arial" w:cs="Arial"/>
          <w:sz w:val="24"/>
          <w:szCs w:val="24"/>
        </w:rPr>
      </w:pPr>
      <w:r w:rsidRPr="00B229D2">
        <w:rPr>
          <w:rFonts w:ascii="Arial" w:hAnsi="Arial" w:cs="Arial"/>
          <w:sz w:val="24"/>
          <w:szCs w:val="24"/>
        </w:rPr>
        <w:t>Supplemental figure</w:t>
      </w:r>
      <w:r>
        <w:rPr>
          <w:rFonts w:ascii="Arial" w:hAnsi="Arial" w:cs="Arial"/>
          <w:sz w:val="24"/>
          <w:szCs w:val="24"/>
        </w:rPr>
        <w:t xml:space="preserve"> 5</w:t>
      </w:r>
      <w:r w:rsidRPr="00B229D2">
        <w:rPr>
          <w:rFonts w:ascii="Arial" w:hAnsi="Arial" w:cs="Arial"/>
          <w:sz w:val="24"/>
          <w:szCs w:val="24"/>
        </w:rPr>
        <w:t>:</w:t>
      </w:r>
      <w:r>
        <w:rPr>
          <w:rFonts w:ascii="Arial" w:hAnsi="Arial" w:cs="Arial"/>
          <w:sz w:val="24"/>
          <w:szCs w:val="24"/>
        </w:rPr>
        <w:t xml:space="preserve"> </w:t>
      </w:r>
      <w:r w:rsidRPr="00DB1EE9">
        <w:rPr>
          <w:rFonts w:ascii="Arial" w:hAnsi="Arial" w:cs="Arial"/>
          <w:sz w:val="24"/>
          <w:szCs w:val="24"/>
        </w:rPr>
        <w:t>Schematic diagram of flow cytometry analysis and sorting</w:t>
      </w:r>
      <w:r>
        <w:rPr>
          <w:rFonts w:ascii="Arial" w:hAnsi="Arial" w:cs="Arial"/>
          <w:sz w:val="24"/>
          <w:szCs w:val="24"/>
        </w:rPr>
        <w:t>.</w:t>
      </w:r>
    </w:p>
    <w:p w14:paraId="3B23A4AD" w14:textId="77777777" w:rsidR="00BD20A1" w:rsidRDefault="00BD20A1" w:rsidP="006F4C29">
      <w:pPr>
        <w:spacing w:line="480" w:lineRule="auto"/>
        <w:jc w:val="left"/>
        <w:rPr>
          <w:rFonts w:ascii="Arial" w:hAnsi="Arial" w:cs="Arial"/>
          <w:sz w:val="24"/>
          <w:szCs w:val="24"/>
        </w:rPr>
      </w:pPr>
    </w:p>
    <w:p w14:paraId="61714F25" w14:textId="77777777" w:rsidR="00BD20A1" w:rsidRDefault="00BD20A1" w:rsidP="006F4C29">
      <w:pPr>
        <w:spacing w:line="480" w:lineRule="auto"/>
        <w:jc w:val="left"/>
        <w:rPr>
          <w:rFonts w:ascii="Arial" w:hAnsi="Arial" w:cs="Arial"/>
          <w:sz w:val="24"/>
          <w:szCs w:val="24"/>
        </w:rPr>
      </w:pPr>
    </w:p>
    <w:p w14:paraId="52F63786" w14:textId="77777777" w:rsidR="00BD20A1" w:rsidRDefault="00BD20A1" w:rsidP="006F4C29">
      <w:pPr>
        <w:widowControl/>
        <w:jc w:val="left"/>
        <w:rPr>
          <w:rFonts w:ascii="Arial" w:hAnsi="Arial" w:cs="Arial"/>
          <w:sz w:val="24"/>
          <w:szCs w:val="24"/>
        </w:rPr>
      </w:pPr>
      <w:r>
        <w:rPr>
          <w:rFonts w:ascii="Arial" w:hAnsi="Arial" w:cs="Arial"/>
          <w:sz w:val="24"/>
          <w:szCs w:val="24"/>
        </w:rPr>
        <w:br w:type="page"/>
      </w:r>
    </w:p>
    <w:p w14:paraId="4ABCFDE6" w14:textId="77777777" w:rsidR="00BD20A1" w:rsidRDefault="00BD20A1" w:rsidP="006F4C29">
      <w:pPr>
        <w:spacing w:line="480" w:lineRule="auto"/>
        <w:jc w:val="left"/>
        <w:rPr>
          <w:rFonts w:ascii="Arial" w:hAnsi="Arial" w:cs="Arial"/>
          <w:sz w:val="24"/>
          <w:szCs w:val="24"/>
        </w:rPr>
      </w:pPr>
      <w:r>
        <w:rPr>
          <w:rFonts w:ascii="Arial" w:hAnsi="Arial" w:cs="Arial"/>
          <w:noProof/>
          <w:sz w:val="24"/>
          <w:szCs w:val="24"/>
        </w:rPr>
        <w:lastRenderedPageBreak/>
        <w:drawing>
          <wp:inline distT="0" distB="0" distL="0" distR="0" wp14:anchorId="675B01CF" wp14:editId="29615BE2">
            <wp:extent cx="5274310" cy="8642985"/>
            <wp:effectExtent l="0" t="0" r="254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肝细胞鉴定-字体格式化.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8642985"/>
                    </a:xfrm>
                    <a:prstGeom prst="rect">
                      <a:avLst/>
                    </a:prstGeom>
                  </pic:spPr>
                </pic:pic>
              </a:graphicData>
            </a:graphic>
          </wp:inline>
        </w:drawing>
      </w:r>
    </w:p>
    <w:p w14:paraId="364EE30F" w14:textId="01D337AC" w:rsidR="0021548A" w:rsidRPr="00A52236" w:rsidRDefault="00BD20A1" w:rsidP="00A52236">
      <w:pPr>
        <w:spacing w:line="480" w:lineRule="auto"/>
        <w:jc w:val="left"/>
        <w:rPr>
          <w:rFonts w:ascii="Arial" w:hAnsi="Arial" w:cs="Arial" w:hint="eastAsia"/>
          <w:sz w:val="24"/>
          <w:szCs w:val="24"/>
        </w:rPr>
      </w:pPr>
      <w:r w:rsidRPr="00B229D2">
        <w:rPr>
          <w:rFonts w:ascii="Arial" w:hAnsi="Arial" w:cs="Arial"/>
          <w:sz w:val="24"/>
          <w:szCs w:val="24"/>
        </w:rPr>
        <w:lastRenderedPageBreak/>
        <w:t>Supplemental figure</w:t>
      </w:r>
      <w:r>
        <w:rPr>
          <w:rFonts w:ascii="Arial" w:hAnsi="Arial" w:cs="Arial"/>
          <w:sz w:val="24"/>
          <w:szCs w:val="24"/>
        </w:rPr>
        <w:t xml:space="preserve"> 6</w:t>
      </w:r>
      <w:r w:rsidRPr="00B229D2">
        <w:rPr>
          <w:rFonts w:ascii="Arial" w:hAnsi="Arial" w:cs="Arial"/>
          <w:sz w:val="24"/>
          <w:szCs w:val="24"/>
        </w:rPr>
        <w:t>:</w:t>
      </w:r>
      <w:r>
        <w:rPr>
          <w:rFonts w:ascii="Arial" w:hAnsi="Arial" w:cs="Arial"/>
          <w:sz w:val="24"/>
          <w:szCs w:val="24"/>
        </w:rPr>
        <w:t xml:space="preserve"> </w:t>
      </w:r>
      <w:r w:rsidRPr="003905BF">
        <w:rPr>
          <w:rFonts w:ascii="Arial" w:hAnsi="Arial" w:cs="Arial"/>
          <w:sz w:val="24"/>
          <w:szCs w:val="24"/>
        </w:rPr>
        <w:t xml:space="preserve">Identification of </w:t>
      </w:r>
      <w:r>
        <w:rPr>
          <w:rFonts w:ascii="Arial" w:hAnsi="Arial" w:cs="Arial"/>
          <w:sz w:val="24"/>
          <w:szCs w:val="24"/>
        </w:rPr>
        <w:t xml:space="preserve">mice </w:t>
      </w:r>
      <w:r w:rsidRPr="003905BF">
        <w:rPr>
          <w:rFonts w:ascii="Arial" w:hAnsi="Arial" w:cs="Arial"/>
          <w:sz w:val="24"/>
          <w:szCs w:val="24"/>
        </w:rPr>
        <w:t>primary hepatocytes.</w:t>
      </w:r>
      <w:r>
        <w:rPr>
          <w:rFonts w:ascii="Arial" w:hAnsi="Arial" w:cs="Arial"/>
          <w:sz w:val="24"/>
          <w:szCs w:val="24"/>
        </w:rPr>
        <w:t xml:space="preserve"> (A and B) </w:t>
      </w:r>
      <w:r w:rsidR="008E26AE" w:rsidRPr="006D743D">
        <w:rPr>
          <w:rFonts w:ascii="Arial" w:hAnsi="Arial" w:cs="Arial"/>
          <w:sz w:val="24"/>
          <w:szCs w:val="24"/>
        </w:rPr>
        <w:t>Glycogen staining showed that the cell cytoplasm was purple-red</w:t>
      </w:r>
      <w:r>
        <w:rPr>
          <w:rFonts w:ascii="Arial" w:hAnsi="Arial" w:cs="Arial"/>
          <w:sz w:val="24"/>
          <w:szCs w:val="24"/>
        </w:rPr>
        <w:t>. (C and D)</w:t>
      </w:r>
      <w:r w:rsidRPr="006D743D">
        <w:rPr>
          <w:rFonts w:ascii="Arial" w:hAnsi="Arial" w:cs="Arial"/>
          <w:sz w:val="24"/>
          <w:szCs w:val="24"/>
        </w:rPr>
        <w:t xml:space="preserve"> </w:t>
      </w:r>
      <w:r w:rsidR="008E26AE">
        <w:rPr>
          <w:rFonts w:ascii="Arial" w:hAnsi="Arial" w:cs="Arial"/>
          <w:sz w:val="24"/>
          <w:szCs w:val="24"/>
        </w:rPr>
        <w:t>I</w:t>
      </w:r>
      <w:r w:rsidR="008E26AE" w:rsidRPr="006D743D">
        <w:rPr>
          <w:rFonts w:ascii="Arial" w:hAnsi="Arial" w:cs="Arial"/>
          <w:sz w:val="24"/>
          <w:szCs w:val="24"/>
        </w:rPr>
        <w:t>mmunofluorescence shows that these cells express cytokeratin 18</w:t>
      </w:r>
      <w:r w:rsidRPr="003905BF">
        <w:rPr>
          <w:rFonts w:ascii="Arial" w:hAnsi="Arial" w:cs="Arial"/>
          <w:sz w:val="24"/>
          <w:szCs w:val="24"/>
        </w:rPr>
        <w:t>.</w:t>
      </w:r>
      <w:r>
        <w:rPr>
          <w:rFonts w:ascii="Arial" w:hAnsi="Arial" w:cs="Arial"/>
          <w:sz w:val="24"/>
          <w:szCs w:val="24"/>
        </w:rPr>
        <w:t xml:space="preserve"> (E and F)</w:t>
      </w:r>
      <w:r w:rsidRPr="006D743D">
        <w:rPr>
          <w:rFonts w:ascii="Arial" w:hAnsi="Arial" w:cs="Arial"/>
          <w:sz w:val="24"/>
          <w:szCs w:val="24"/>
        </w:rPr>
        <w:t xml:space="preserve"> </w:t>
      </w:r>
      <w:r w:rsidR="00214542">
        <w:rPr>
          <w:rFonts w:ascii="Arial" w:hAnsi="Arial" w:cs="Arial"/>
          <w:sz w:val="24"/>
          <w:szCs w:val="24"/>
        </w:rPr>
        <w:t>T</w:t>
      </w:r>
      <w:r w:rsidR="00214542" w:rsidRPr="006D743D">
        <w:rPr>
          <w:rFonts w:ascii="Arial" w:hAnsi="Arial" w:cs="Arial"/>
          <w:sz w:val="24"/>
          <w:szCs w:val="24"/>
        </w:rPr>
        <w:t>ransmission electron microscopy revealed the presence of numerous organelles such as mitochondria, endoplasmic reticulum, lysosomes, Golgi apparatus and glycogen, and tight junctions can be seen between</w:t>
      </w:r>
      <w:r w:rsidR="00214542" w:rsidRPr="006A5C26">
        <w:rPr>
          <w:rFonts w:ascii="Arial" w:hAnsi="Arial" w:cs="Arial"/>
          <w:sz w:val="24"/>
          <w:szCs w:val="24"/>
        </w:rPr>
        <w:t xml:space="preserve"> cells</w:t>
      </w:r>
      <w:r w:rsidRPr="003905BF">
        <w:rPr>
          <w:rFonts w:ascii="Arial" w:hAnsi="Arial" w:cs="Arial"/>
          <w:sz w:val="24"/>
          <w:szCs w:val="24"/>
        </w:rPr>
        <w:t>.</w:t>
      </w:r>
    </w:p>
    <w:sectPr w:rsidR="0021548A" w:rsidRPr="00A522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FFB8F" w14:textId="77777777" w:rsidR="00FE3F06" w:rsidRDefault="00FE3F06" w:rsidP="00DF630E">
      <w:r>
        <w:separator/>
      </w:r>
    </w:p>
  </w:endnote>
  <w:endnote w:type="continuationSeparator" w:id="0">
    <w:p w14:paraId="40087593" w14:textId="77777777" w:rsidR="00FE3F06" w:rsidRDefault="00FE3F06" w:rsidP="00DF6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C5AFF" w14:textId="77777777" w:rsidR="00FE3F06" w:rsidRDefault="00FE3F06" w:rsidP="00DF630E">
      <w:r>
        <w:separator/>
      </w:r>
    </w:p>
  </w:footnote>
  <w:footnote w:type="continuationSeparator" w:id="0">
    <w:p w14:paraId="50E7FA88" w14:textId="77777777" w:rsidR="00FE3F06" w:rsidRDefault="00FE3F06" w:rsidP="00DF63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135D6C"/>
    <w:multiLevelType w:val="hybridMultilevel"/>
    <w:tmpl w:val="CA8AA0E2"/>
    <w:lvl w:ilvl="0" w:tplc="600C14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DD6173F"/>
    <w:multiLevelType w:val="hybridMultilevel"/>
    <w:tmpl w:val="1E9E0B52"/>
    <w:lvl w:ilvl="0" w:tplc="F7AAEC84">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3C763E4"/>
    <w:multiLevelType w:val="hybridMultilevel"/>
    <w:tmpl w:val="CAEAFD52"/>
    <w:lvl w:ilvl="0" w:tplc="C99CE426">
      <w:start w:val="1"/>
      <w:numFmt w:val="decimal"/>
      <w:lvlText w:val="%1."/>
      <w:lvlJc w:val="left"/>
      <w:pPr>
        <w:ind w:left="420" w:hanging="420"/>
      </w:pPr>
      <w:rPr>
        <w:rFonts w:ascii="Times New Roman" w:eastAsia="宋体" w:hAnsi="Times New Roman" w:hint="default"/>
        <w:b w:val="0"/>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D20A1"/>
    <w:rsid w:val="00066898"/>
    <w:rsid w:val="00090E35"/>
    <w:rsid w:val="001D7A64"/>
    <w:rsid w:val="00214542"/>
    <w:rsid w:val="0021548A"/>
    <w:rsid w:val="0022472D"/>
    <w:rsid w:val="00230974"/>
    <w:rsid w:val="00256AB0"/>
    <w:rsid w:val="004D41D2"/>
    <w:rsid w:val="00643B69"/>
    <w:rsid w:val="006C0454"/>
    <w:rsid w:val="007F2640"/>
    <w:rsid w:val="008D4F8C"/>
    <w:rsid w:val="008E26AE"/>
    <w:rsid w:val="00A52236"/>
    <w:rsid w:val="00A91E7A"/>
    <w:rsid w:val="00AC27B0"/>
    <w:rsid w:val="00BD20A1"/>
    <w:rsid w:val="00C66EE6"/>
    <w:rsid w:val="00CF4B6D"/>
    <w:rsid w:val="00D14AF7"/>
    <w:rsid w:val="00DF630E"/>
    <w:rsid w:val="00EB62DB"/>
    <w:rsid w:val="00FE3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E0770"/>
  <w15:chartTrackingRefBased/>
  <w15:docId w15:val="{0DD06AA7-5E5D-4E20-8273-A0E2078D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0A1"/>
    <w:pPr>
      <w:widowControl w:val="0"/>
      <w:jc w:val="both"/>
    </w:pPr>
  </w:style>
  <w:style w:type="paragraph" w:styleId="2">
    <w:name w:val="heading 2"/>
    <w:basedOn w:val="a"/>
    <w:next w:val="a"/>
    <w:link w:val="2Char"/>
    <w:uiPriority w:val="9"/>
    <w:semiHidden/>
    <w:unhideWhenUsed/>
    <w:qFormat/>
    <w:rsid w:val="00BD20A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BD20A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BD20A1"/>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BD20A1"/>
    <w:rPr>
      <w:b/>
      <w:bCs/>
      <w:sz w:val="32"/>
      <w:szCs w:val="32"/>
    </w:rPr>
  </w:style>
  <w:style w:type="paragraph" w:styleId="a3">
    <w:name w:val="header"/>
    <w:basedOn w:val="a"/>
    <w:link w:val="Char"/>
    <w:uiPriority w:val="99"/>
    <w:unhideWhenUsed/>
    <w:rsid w:val="00BD20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D20A1"/>
    <w:rPr>
      <w:sz w:val="18"/>
      <w:szCs w:val="18"/>
    </w:rPr>
  </w:style>
  <w:style w:type="paragraph" w:styleId="a4">
    <w:name w:val="footer"/>
    <w:basedOn w:val="a"/>
    <w:link w:val="Char0"/>
    <w:uiPriority w:val="99"/>
    <w:unhideWhenUsed/>
    <w:rsid w:val="00BD20A1"/>
    <w:pPr>
      <w:tabs>
        <w:tab w:val="center" w:pos="4153"/>
        <w:tab w:val="right" w:pos="8306"/>
      </w:tabs>
      <w:snapToGrid w:val="0"/>
      <w:jc w:val="left"/>
    </w:pPr>
    <w:rPr>
      <w:sz w:val="18"/>
      <w:szCs w:val="18"/>
    </w:rPr>
  </w:style>
  <w:style w:type="character" w:customStyle="1" w:styleId="Char0">
    <w:name w:val="页脚 Char"/>
    <w:basedOn w:val="a0"/>
    <w:link w:val="a4"/>
    <w:uiPriority w:val="99"/>
    <w:rsid w:val="00BD20A1"/>
    <w:rPr>
      <w:sz w:val="18"/>
      <w:szCs w:val="18"/>
    </w:rPr>
  </w:style>
  <w:style w:type="table" w:styleId="a5">
    <w:name w:val="Table Grid"/>
    <w:basedOn w:val="a1"/>
    <w:uiPriority w:val="39"/>
    <w:rsid w:val="00BD2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BD20A1"/>
    <w:rPr>
      <w:sz w:val="21"/>
      <w:szCs w:val="21"/>
    </w:rPr>
  </w:style>
  <w:style w:type="paragraph" w:styleId="a7">
    <w:name w:val="annotation text"/>
    <w:basedOn w:val="a"/>
    <w:link w:val="Char1"/>
    <w:uiPriority w:val="99"/>
    <w:semiHidden/>
    <w:unhideWhenUsed/>
    <w:rsid w:val="00BD20A1"/>
    <w:pPr>
      <w:jc w:val="left"/>
    </w:pPr>
  </w:style>
  <w:style w:type="character" w:customStyle="1" w:styleId="Char1">
    <w:name w:val="批注文字 Char"/>
    <w:basedOn w:val="a0"/>
    <w:link w:val="a7"/>
    <w:uiPriority w:val="99"/>
    <w:semiHidden/>
    <w:rsid w:val="00BD20A1"/>
  </w:style>
  <w:style w:type="paragraph" w:styleId="a8">
    <w:name w:val="annotation subject"/>
    <w:basedOn w:val="a7"/>
    <w:next w:val="a7"/>
    <w:link w:val="Char2"/>
    <w:uiPriority w:val="99"/>
    <w:semiHidden/>
    <w:unhideWhenUsed/>
    <w:rsid w:val="00BD20A1"/>
    <w:rPr>
      <w:b/>
      <w:bCs/>
    </w:rPr>
  </w:style>
  <w:style w:type="character" w:customStyle="1" w:styleId="Char2">
    <w:name w:val="批注主题 Char"/>
    <w:basedOn w:val="Char1"/>
    <w:link w:val="a8"/>
    <w:uiPriority w:val="99"/>
    <w:semiHidden/>
    <w:rsid w:val="00BD20A1"/>
    <w:rPr>
      <w:b/>
      <w:bCs/>
    </w:rPr>
  </w:style>
  <w:style w:type="paragraph" w:styleId="a9">
    <w:name w:val="Balloon Text"/>
    <w:basedOn w:val="a"/>
    <w:link w:val="Char3"/>
    <w:uiPriority w:val="99"/>
    <w:semiHidden/>
    <w:unhideWhenUsed/>
    <w:rsid w:val="00BD20A1"/>
    <w:rPr>
      <w:sz w:val="18"/>
      <w:szCs w:val="18"/>
    </w:rPr>
  </w:style>
  <w:style w:type="character" w:customStyle="1" w:styleId="Char3">
    <w:name w:val="批注框文本 Char"/>
    <w:basedOn w:val="a0"/>
    <w:link w:val="a9"/>
    <w:uiPriority w:val="99"/>
    <w:semiHidden/>
    <w:rsid w:val="00BD20A1"/>
    <w:rPr>
      <w:sz w:val="18"/>
      <w:szCs w:val="18"/>
    </w:rPr>
  </w:style>
  <w:style w:type="paragraph" w:customStyle="1" w:styleId="EndNoteBibliographyTitle">
    <w:name w:val="EndNote Bibliography Title"/>
    <w:basedOn w:val="a"/>
    <w:link w:val="EndNoteBibliographyTitleChar"/>
    <w:rsid w:val="00BD20A1"/>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BD20A1"/>
    <w:rPr>
      <w:rFonts w:ascii="Calibri" w:hAnsi="Calibri" w:cs="Calibri"/>
      <w:noProof/>
      <w:sz w:val="20"/>
    </w:rPr>
  </w:style>
  <w:style w:type="paragraph" w:customStyle="1" w:styleId="EndNoteBibliography">
    <w:name w:val="EndNote Bibliography"/>
    <w:basedOn w:val="a"/>
    <w:link w:val="EndNoteBibliographyChar"/>
    <w:rsid w:val="00BD20A1"/>
    <w:rPr>
      <w:rFonts w:ascii="Calibri" w:hAnsi="Calibri" w:cs="Calibri"/>
      <w:noProof/>
      <w:sz w:val="20"/>
    </w:rPr>
  </w:style>
  <w:style w:type="character" w:customStyle="1" w:styleId="EndNoteBibliographyChar">
    <w:name w:val="EndNote Bibliography Char"/>
    <w:basedOn w:val="a0"/>
    <w:link w:val="EndNoteBibliography"/>
    <w:rsid w:val="00BD20A1"/>
    <w:rPr>
      <w:rFonts w:ascii="Calibri" w:hAnsi="Calibri" w:cs="Calibri"/>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21</Pages>
  <Words>2693</Words>
  <Characters>15353</Characters>
  <Application>Microsoft Office Word</Application>
  <DocSecurity>0</DocSecurity>
  <Lines>127</Lines>
  <Paragraphs>36</Paragraphs>
  <ScaleCrop>false</ScaleCrop>
  <Company/>
  <LinksUpToDate>false</LinksUpToDate>
  <CharactersWithSpaces>18010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8618834562321</dc:creator>
  <cp:keywords/>
  <dc:description/>
  <cp:lastModifiedBy>8618834562321</cp:lastModifiedBy>
  <cp:revision>28</cp:revision>
  <dcterms:created xsi:type="dcterms:W3CDTF">2022-05-07T13:22:00Z</dcterms:created>
  <dcterms:modified xsi:type="dcterms:W3CDTF">2022-05-31T16:22:00Z</dcterms:modified>
</cp:coreProperties>
</file>