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500FE" w14:textId="1752D26C" w:rsidR="009B0B0B" w:rsidRPr="00561209" w:rsidRDefault="00561209">
      <w:pPr>
        <w:rPr>
          <w:rFonts w:ascii="Times New Roman" w:hAnsi="Times New Roman" w:cs="Times New Roman"/>
          <w:sz w:val="26"/>
          <w:szCs w:val="26"/>
        </w:rPr>
      </w:pPr>
      <w:r w:rsidRPr="00561209">
        <w:rPr>
          <w:rFonts w:ascii="Times New Roman" w:hAnsi="Times New Roman" w:cs="Times New Roman" w:hint="eastAsia"/>
          <w:b/>
          <w:bCs/>
          <w:sz w:val="26"/>
          <w:szCs w:val="26"/>
        </w:rPr>
        <w:t>S</w:t>
      </w:r>
      <w:r w:rsidRPr="00561209">
        <w:rPr>
          <w:rFonts w:ascii="Times New Roman" w:hAnsi="Times New Roman" w:cs="Times New Roman"/>
          <w:b/>
          <w:bCs/>
          <w:sz w:val="26"/>
          <w:szCs w:val="26"/>
        </w:rPr>
        <w:t>upplement figure captions:</w:t>
      </w:r>
    </w:p>
    <w:p w14:paraId="61994FE8" w14:textId="77777777" w:rsidR="00561209" w:rsidRDefault="00561209">
      <w:pPr>
        <w:rPr>
          <w:rFonts w:ascii="Times New Roman" w:hAnsi="Times New Roman" w:cs="Times New Roman"/>
          <w:b/>
          <w:bCs/>
          <w:sz w:val="22"/>
        </w:rPr>
      </w:pPr>
    </w:p>
    <w:p w14:paraId="2677E864" w14:textId="0B94E1D1" w:rsidR="009B0B0B" w:rsidRPr="00561209" w:rsidRDefault="008A6EB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</w:t>
      </w:r>
      <w:r w:rsidR="009B0B0B" w:rsidRPr="0056120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="009B0B0B" w:rsidRPr="00561209">
        <w:rPr>
          <w:rFonts w:ascii="Times New Roman" w:hAnsi="Times New Roman" w:cs="Times New Roman"/>
          <w:b/>
          <w:bCs/>
          <w:sz w:val="22"/>
        </w:rPr>
        <w:t>1:</w:t>
      </w:r>
      <w:r w:rsidR="009B0B0B" w:rsidRPr="00561209">
        <w:rPr>
          <w:rFonts w:ascii="Times New Roman" w:hAnsi="Times New Roman" w:cs="Times New Roman"/>
          <w:sz w:val="22"/>
        </w:rPr>
        <w:t xml:space="preserve"> Forest plots showing the results of Univariate (A) and Multivariate (B) Cox regression analysis for seven IRGs in IRSHG</w:t>
      </w:r>
    </w:p>
    <w:p w14:paraId="09F44DDD" w14:textId="7C5BD459" w:rsidR="009B0B0B" w:rsidRPr="00561209" w:rsidRDefault="009B0B0B">
      <w:pPr>
        <w:rPr>
          <w:rFonts w:ascii="Times New Roman" w:hAnsi="Times New Roman" w:cs="Times New Roman"/>
          <w:sz w:val="22"/>
        </w:rPr>
      </w:pPr>
    </w:p>
    <w:p w14:paraId="69EE5BF5" w14:textId="328818CE" w:rsidR="009B0B0B" w:rsidRPr="00561209" w:rsidRDefault="008A6EB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="009B0B0B" w:rsidRPr="00561209">
        <w:rPr>
          <w:rFonts w:ascii="Times New Roman" w:hAnsi="Times New Roman" w:cs="Times New Roman"/>
          <w:b/>
          <w:bCs/>
          <w:sz w:val="22"/>
        </w:rPr>
        <w:t>2:</w:t>
      </w:r>
      <w:r w:rsidR="00F1542F" w:rsidRPr="00561209">
        <w:rPr>
          <w:rFonts w:ascii="Times New Roman" w:hAnsi="Times New Roman" w:cs="Times New Roman"/>
          <w:b/>
          <w:bCs/>
          <w:sz w:val="22"/>
        </w:rPr>
        <w:t xml:space="preserve"> </w:t>
      </w:r>
      <w:r w:rsidR="008919D6" w:rsidRPr="00561209">
        <w:rPr>
          <w:rFonts w:ascii="Times New Roman" w:hAnsi="Times New Roman" w:cs="Times New Roman"/>
          <w:sz w:val="22"/>
        </w:rPr>
        <w:t xml:space="preserve">ROC curve, Kaplan‐Meier survival curve, and Risk score plot for the test set </w:t>
      </w:r>
      <w:r w:rsidR="008919D6" w:rsidRPr="00561209">
        <w:rPr>
          <w:rFonts w:ascii="Times New Roman" w:hAnsi="Times New Roman" w:cs="Times New Roman"/>
          <w:b/>
          <w:bCs/>
          <w:sz w:val="22"/>
        </w:rPr>
        <w:t>(A)</w:t>
      </w:r>
      <w:r w:rsidR="008919D6" w:rsidRPr="00561209">
        <w:rPr>
          <w:rFonts w:ascii="Times New Roman" w:hAnsi="Times New Roman" w:cs="Times New Roman"/>
          <w:sz w:val="22"/>
        </w:rPr>
        <w:t xml:space="preserve"> and validation set </w:t>
      </w:r>
      <w:r w:rsidR="008919D6" w:rsidRPr="00561209">
        <w:rPr>
          <w:rFonts w:ascii="Times New Roman" w:hAnsi="Times New Roman" w:cs="Times New Roman"/>
          <w:b/>
          <w:bCs/>
          <w:sz w:val="22"/>
        </w:rPr>
        <w:t>(B)</w:t>
      </w:r>
      <w:r w:rsidR="008919D6" w:rsidRPr="00561209">
        <w:rPr>
          <w:rFonts w:ascii="Times New Roman" w:hAnsi="Times New Roman" w:cs="Times New Roman"/>
          <w:sz w:val="22"/>
        </w:rPr>
        <w:t>.</w:t>
      </w:r>
    </w:p>
    <w:p w14:paraId="4FA2E094" w14:textId="368E7338" w:rsidR="008919D6" w:rsidRPr="00561209" w:rsidRDefault="008919D6">
      <w:pPr>
        <w:rPr>
          <w:rFonts w:ascii="Times New Roman" w:hAnsi="Times New Roman" w:cs="Times New Roman"/>
          <w:sz w:val="22"/>
        </w:rPr>
      </w:pPr>
    </w:p>
    <w:p w14:paraId="11E702F0" w14:textId="17A7728A" w:rsidR="008919D6" w:rsidRPr="00561209" w:rsidRDefault="008A6EB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="008919D6" w:rsidRPr="00561209">
        <w:rPr>
          <w:rFonts w:ascii="Times New Roman" w:hAnsi="Times New Roman" w:cs="Times New Roman"/>
          <w:b/>
          <w:bCs/>
          <w:sz w:val="22"/>
        </w:rPr>
        <w:t xml:space="preserve">3: </w:t>
      </w:r>
      <w:r w:rsidR="009A0FF7" w:rsidRPr="00561209">
        <w:rPr>
          <w:rFonts w:ascii="Times New Roman" w:hAnsi="Times New Roman" w:cs="Times New Roman"/>
          <w:sz w:val="22"/>
        </w:rPr>
        <w:t xml:space="preserve">Calibration curve analysis of the 1-year </w:t>
      </w:r>
      <w:r w:rsidR="009A0FF7" w:rsidRPr="00561209">
        <w:rPr>
          <w:rFonts w:ascii="Times New Roman" w:hAnsi="Times New Roman" w:cs="Times New Roman"/>
          <w:b/>
          <w:bCs/>
          <w:sz w:val="22"/>
        </w:rPr>
        <w:t>(A)</w:t>
      </w:r>
      <w:r w:rsidR="009A0FF7" w:rsidRPr="00561209">
        <w:rPr>
          <w:rFonts w:ascii="Times New Roman" w:hAnsi="Times New Roman" w:cs="Times New Roman"/>
          <w:sz w:val="22"/>
        </w:rPr>
        <w:t xml:space="preserve">, 3-year </w:t>
      </w:r>
      <w:r w:rsidR="009A0FF7" w:rsidRPr="00561209">
        <w:rPr>
          <w:rFonts w:ascii="Times New Roman" w:hAnsi="Times New Roman" w:cs="Times New Roman"/>
          <w:b/>
          <w:bCs/>
          <w:sz w:val="22"/>
        </w:rPr>
        <w:t>(B)</w:t>
      </w:r>
      <w:r w:rsidR="009A0FF7" w:rsidRPr="00561209">
        <w:rPr>
          <w:rFonts w:ascii="Times New Roman" w:hAnsi="Times New Roman" w:cs="Times New Roman"/>
          <w:sz w:val="22"/>
        </w:rPr>
        <w:t xml:space="preserve">, and 5-year </w:t>
      </w:r>
      <w:r w:rsidR="009A0FF7" w:rsidRPr="00561209">
        <w:rPr>
          <w:rFonts w:ascii="Times New Roman" w:hAnsi="Times New Roman" w:cs="Times New Roman"/>
          <w:b/>
          <w:bCs/>
          <w:sz w:val="22"/>
        </w:rPr>
        <w:t xml:space="preserve">(C) </w:t>
      </w:r>
      <w:r w:rsidR="009A0FF7" w:rsidRPr="00561209">
        <w:rPr>
          <w:rFonts w:ascii="Times New Roman" w:hAnsi="Times New Roman" w:cs="Times New Roman"/>
          <w:sz w:val="22"/>
        </w:rPr>
        <w:t xml:space="preserve">survival prediction accuracy of the IRSHG-integrated nomogram. Decision curve analysis (DCA) of 1-year </w:t>
      </w:r>
      <w:r w:rsidR="009A0FF7" w:rsidRPr="00561209">
        <w:rPr>
          <w:rFonts w:ascii="Times New Roman" w:hAnsi="Times New Roman" w:cs="Times New Roman"/>
          <w:b/>
          <w:bCs/>
          <w:sz w:val="22"/>
        </w:rPr>
        <w:t>(D)</w:t>
      </w:r>
      <w:r w:rsidR="009A0FF7" w:rsidRPr="00561209">
        <w:rPr>
          <w:rFonts w:ascii="Times New Roman" w:hAnsi="Times New Roman" w:cs="Times New Roman"/>
          <w:sz w:val="22"/>
        </w:rPr>
        <w:t xml:space="preserve">, 3-year </w:t>
      </w:r>
      <w:r w:rsidR="009A0FF7" w:rsidRPr="00561209">
        <w:rPr>
          <w:rFonts w:ascii="Times New Roman" w:hAnsi="Times New Roman" w:cs="Times New Roman"/>
          <w:b/>
          <w:bCs/>
          <w:sz w:val="22"/>
        </w:rPr>
        <w:t>(E)</w:t>
      </w:r>
      <w:r w:rsidR="009A0FF7" w:rsidRPr="00561209">
        <w:rPr>
          <w:rFonts w:ascii="Times New Roman" w:hAnsi="Times New Roman" w:cs="Times New Roman"/>
          <w:sz w:val="22"/>
        </w:rPr>
        <w:t>, and 5-year</w:t>
      </w:r>
      <w:r w:rsidR="009A0FF7" w:rsidRPr="00561209">
        <w:rPr>
          <w:rFonts w:ascii="Times New Roman" w:hAnsi="Times New Roman" w:cs="Times New Roman"/>
          <w:b/>
          <w:bCs/>
          <w:sz w:val="22"/>
        </w:rPr>
        <w:t xml:space="preserve"> (F)</w:t>
      </w:r>
      <w:r w:rsidR="009A0FF7" w:rsidRPr="00561209">
        <w:rPr>
          <w:rFonts w:ascii="Times New Roman" w:hAnsi="Times New Roman" w:cs="Times New Roman"/>
          <w:sz w:val="22"/>
        </w:rPr>
        <w:t xml:space="preserve"> overall survival for the clinical utility evaluation of the nomogram. </w:t>
      </w:r>
    </w:p>
    <w:p w14:paraId="1873EB15" w14:textId="320E3FF9" w:rsidR="009A0FF7" w:rsidRPr="00561209" w:rsidRDefault="009A0FF7">
      <w:pPr>
        <w:rPr>
          <w:rFonts w:ascii="Times New Roman" w:hAnsi="Times New Roman" w:cs="Times New Roman"/>
          <w:sz w:val="22"/>
        </w:rPr>
      </w:pPr>
    </w:p>
    <w:p w14:paraId="67B907E6" w14:textId="48584F37" w:rsidR="009A0FF7" w:rsidRPr="00561209" w:rsidRDefault="008A6EB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="009A0FF7" w:rsidRPr="00561209">
        <w:rPr>
          <w:rFonts w:ascii="Times New Roman" w:hAnsi="Times New Roman" w:cs="Times New Roman"/>
          <w:b/>
          <w:bCs/>
          <w:sz w:val="22"/>
        </w:rPr>
        <w:t xml:space="preserve">4: </w:t>
      </w:r>
      <w:r w:rsidR="00B83811" w:rsidRPr="00561209">
        <w:rPr>
          <w:rFonts w:ascii="Times New Roman" w:hAnsi="Times New Roman" w:cs="Times New Roman"/>
          <w:sz w:val="22"/>
        </w:rPr>
        <w:t>Drug-mutation network displaying a</w:t>
      </w:r>
      <w:r w:rsidR="009A0FF7" w:rsidRPr="00561209">
        <w:rPr>
          <w:rFonts w:ascii="Times New Roman" w:hAnsi="Times New Roman" w:cs="Times New Roman"/>
          <w:sz w:val="22"/>
        </w:rPr>
        <w:t>ssociation between drugs candidates and corresponding</w:t>
      </w:r>
      <w:r w:rsidR="00D422FF" w:rsidRPr="00561209">
        <w:rPr>
          <w:rFonts w:ascii="Times New Roman" w:hAnsi="Times New Roman" w:cs="Times New Roman"/>
          <w:sz w:val="22"/>
        </w:rPr>
        <w:t xml:space="preserve"> copy number</w:t>
      </w:r>
      <w:r w:rsidR="009A0FF7" w:rsidRPr="00561209">
        <w:rPr>
          <w:rFonts w:ascii="Times New Roman" w:hAnsi="Times New Roman" w:cs="Times New Roman"/>
          <w:sz w:val="22"/>
        </w:rPr>
        <w:t xml:space="preserve"> mutations.</w:t>
      </w:r>
    </w:p>
    <w:p w14:paraId="677F6017" w14:textId="7E98501D" w:rsidR="009A0FF7" w:rsidRDefault="009A0FF7">
      <w:pPr>
        <w:rPr>
          <w:rFonts w:ascii="Times New Roman" w:hAnsi="Times New Roman" w:cs="Times New Roman"/>
          <w:sz w:val="22"/>
        </w:rPr>
      </w:pPr>
    </w:p>
    <w:p w14:paraId="4C157EB3" w14:textId="4034BA46" w:rsidR="009A0FF7" w:rsidRPr="00561209" w:rsidRDefault="00C47B54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>
        <w:rPr>
          <w:rFonts w:ascii="Times New Roman" w:hAnsi="Times New Roman" w:cs="Times New Roman"/>
          <w:b/>
          <w:bCs/>
          <w:sz w:val="22"/>
        </w:rPr>
        <w:t>5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: </w:t>
      </w:r>
      <w:r>
        <w:rPr>
          <w:rFonts w:ascii="Times New Roman" w:hAnsi="Times New Roman" w:cs="Times New Roman"/>
          <w:b/>
          <w:bCs/>
          <w:sz w:val="22"/>
        </w:rPr>
        <w:t xml:space="preserve">(A) </w:t>
      </w:r>
      <w:r w:rsidRPr="00C47B54">
        <w:rPr>
          <w:rFonts w:ascii="Times New Roman" w:hAnsi="Times New Roman" w:cs="Times New Roman"/>
          <w:sz w:val="22"/>
        </w:rPr>
        <w:t>The working principle of ‘signature reversion’-based computational approach.</w:t>
      </w:r>
      <w:r w:rsidR="007606A5">
        <w:rPr>
          <w:rFonts w:ascii="Times New Roman" w:hAnsi="Times New Roman" w:cs="Times New Roman"/>
          <w:sz w:val="22"/>
        </w:rPr>
        <w:t xml:space="preserve"> (B)</w:t>
      </w:r>
      <w:bookmarkStart w:id="0" w:name="_Hlk104834914"/>
      <w:r w:rsidR="00F26B30">
        <w:rPr>
          <w:rFonts w:ascii="Times New Roman" w:hAnsi="Times New Roman" w:cs="Times New Roman"/>
          <w:sz w:val="22"/>
        </w:rPr>
        <w:t xml:space="preserve"> </w:t>
      </w:r>
      <w:r w:rsidR="00F26B30" w:rsidRPr="00F26B30">
        <w:rPr>
          <w:rFonts w:ascii="Times New Roman" w:hAnsi="Times New Roman" w:cs="Times New Roman"/>
          <w:sz w:val="22"/>
        </w:rPr>
        <w:t>Correlation between</w:t>
      </w:r>
      <w:r w:rsidR="00F26B30">
        <w:rPr>
          <w:rFonts w:ascii="Times New Roman" w:hAnsi="Times New Roman" w:cs="Times New Roman"/>
          <w:sz w:val="22"/>
        </w:rPr>
        <w:t xml:space="preserve"> 15902 genes with </w:t>
      </w:r>
      <w:r w:rsidR="00F26B30" w:rsidRPr="00561209">
        <w:rPr>
          <w:rFonts w:ascii="Times New Roman" w:hAnsi="Times New Roman" w:cs="Times New Roman"/>
          <w:sz w:val="22"/>
        </w:rPr>
        <w:t>IRSHG</w:t>
      </w:r>
      <w:r w:rsidR="00F26B30">
        <w:rPr>
          <w:rFonts w:ascii="Times New Roman" w:hAnsi="Times New Roman" w:cs="Times New Roman"/>
          <w:sz w:val="22"/>
        </w:rPr>
        <w:t xml:space="preserve"> using Pearson correlation analysis.</w:t>
      </w:r>
      <w:bookmarkEnd w:id="0"/>
      <w:r w:rsidR="007606A5">
        <w:rPr>
          <w:rFonts w:ascii="Times New Roman" w:hAnsi="Times New Roman" w:cs="Times New Roman"/>
          <w:sz w:val="22"/>
        </w:rPr>
        <w:t xml:space="preserve"> 300 genes with high correlation with </w:t>
      </w:r>
      <w:r w:rsidR="007606A5" w:rsidRPr="00561209">
        <w:rPr>
          <w:rFonts w:ascii="Times New Roman" w:hAnsi="Times New Roman" w:cs="Times New Roman"/>
          <w:sz w:val="22"/>
        </w:rPr>
        <w:t>IRSHG</w:t>
      </w:r>
      <w:r w:rsidR="007606A5">
        <w:rPr>
          <w:rFonts w:ascii="Times New Roman" w:hAnsi="Times New Roman" w:cs="Times New Roman"/>
          <w:sz w:val="22"/>
        </w:rPr>
        <w:t xml:space="preserve"> were selected for CMap analysis. (C) </w:t>
      </w:r>
      <w:r w:rsidR="00C60CDA" w:rsidRPr="00C60CDA">
        <w:rPr>
          <w:rFonts w:ascii="Times New Roman" w:hAnsi="Times New Roman" w:cs="Times New Roman"/>
          <w:sz w:val="22"/>
        </w:rPr>
        <w:t>Distribution of</w:t>
      </w:r>
      <w:r w:rsidR="007606A5">
        <w:rPr>
          <w:rFonts w:ascii="Times New Roman" w:hAnsi="Times New Roman" w:cs="Times New Roman"/>
          <w:sz w:val="22"/>
        </w:rPr>
        <w:t xml:space="preserve"> CMap</w:t>
      </w:r>
      <w:r w:rsidR="00C60CDA">
        <w:rPr>
          <w:rFonts w:ascii="Times New Roman" w:hAnsi="Times New Roman" w:cs="Times New Roman"/>
          <w:sz w:val="22"/>
        </w:rPr>
        <w:t xml:space="preserve"> scores for 1288</w:t>
      </w:r>
      <w:r w:rsidR="007606A5">
        <w:rPr>
          <w:rFonts w:ascii="Times New Roman" w:hAnsi="Times New Roman" w:cs="Times New Roman"/>
          <w:sz w:val="22"/>
        </w:rPr>
        <w:t xml:space="preserve"> drugs.</w:t>
      </w:r>
      <w:r w:rsidR="00C60CDA">
        <w:rPr>
          <w:rFonts w:ascii="Times New Roman" w:hAnsi="Times New Roman" w:cs="Times New Roman"/>
          <w:sz w:val="22"/>
        </w:rPr>
        <w:t xml:space="preserve"> </w:t>
      </w:r>
      <w:r w:rsidR="007606A5" w:rsidRPr="007606A5">
        <w:rPr>
          <w:rFonts w:ascii="Times New Roman" w:hAnsi="Times New Roman" w:cs="Times New Roman"/>
          <w:sz w:val="22"/>
        </w:rPr>
        <w:t xml:space="preserve">Top ranked 10 </w:t>
      </w:r>
      <w:r w:rsidR="007606A5">
        <w:rPr>
          <w:rFonts w:ascii="Times New Roman" w:hAnsi="Times New Roman" w:cs="Times New Roman"/>
          <w:sz w:val="22"/>
        </w:rPr>
        <w:t>drug</w:t>
      </w:r>
      <w:r w:rsidR="007606A5" w:rsidRPr="007606A5">
        <w:rPr>
          <w:rFonts w:ascii="Times New Roman" w:hAnsi="Times New Roman" w:cs="Times New Roman"/>
          <w:sz w:val="22"/>
        </w:rPr>
        <w:t xml:space="preserve">s with </w:t>
      </w:r>
      <w:r w:rsidR="007606A5">
        <w:rPr>
          <w:rFonts w:ascii="Times New Roman" w:hAnsi="Times New Roman" w:cs="Times New Roman"/>
          <w:sz w:val="22"/>
        </w:rPr>
        <w:t>low</w:t>
      </w:r>
      <w:r w:rsidR="007606A5" w:rsidRPr="007606A5">
        <w:rPr>
          <w:rFonts w:ascii="Times New Roman" w:hAnsi="Times New Roman" w:cs="Times New Roman"/>
          <w:sz w:val="22"/>
        </w:rPr>
        <w:t xml:space="preserve">est </w:t>
      </w:r>
      <w:r w:rsidR="007606A5">
        <w:rPr>
          <w:rFonts w:ascii="Times New Roman" w:hAnsi="Times New Roman" w:cs="Times New Roman"/>
          <w:sz w:val="22"/>
        </w:rPr>
        <w:t>CMap scores</w:t>
      </w:r>
      <w:r w:rsidR="007606A5" w:rsidRPr="007606A5">
        <w:rPr>
          <w:rFonts w:ascii="Times New Roman" w:hAnsi="Times New Roman" w:cs="Times New Roman"/>
          <w:sz w:val="22"/>
        </w:rPr>
        <w:t xml:space="preserve"> were illustrated.</w:t>
      </w:r>
      <w:r w:rsidR="009A0FF7" w:rsidRPr="00561209">
        <w:rPr>
          <w:rFonts w:ascii="Times New Roman" w:hAnsi="Times New Roman" w:cs="Times New Roman"/>
          <w:sz w:val="22"/>
        </w:rPr>
        <w:br w:type="page"/>
      </w:r>
    </w:p>
    <w:p w14:paraId="26C860F9" w14:textId="594A6E5E" w:rsidR="00561209" w:rsidRPr="00561209" w:rsidRDefault="00561209" w:rsidP="00561209">
      <w:pPr>
        <w:rPr>
          <w:rFonts w:ascii="Times New Roman" w:hAnsi="Times New Roman" w:cs="Times New Roman"/>
          <w:sz w:val="26"/>
          <w:szCs w:val="26"/>
        </w:rPr>
      </w:pPr>
      <w:r w:rsidRPr="00561209">
        <w:rPr>
          <w:rFonts w:ascii="Times New Roman" w:hAnsi="Times New Roman" w:cs="Times New Roman" w:hint="eastAsia"/>
          <w:b/>
          <w:bCs/>
          <w:sz w:val="26"/>
          <w:szCs w:val="26"/>
        </w:rPr>
        <w:lastRenderedPageBreak/>
        <w:t>S</w:t>
      </w:r>
      <w:r w:rsidRPr="00561209">
        <w:rPr>
          <w:rFonts w:ascii="Times New Roman" w:hAnsi="Times New Roman" w:cs="Times New Roman"/>
          <w:b/>
          <w:bCs/>
          <w:sz w:val="26"/>
          <w:szCs w:val="26"/>
        </w:rPr>
        <w:t xml:space="preserve">upplement </w:t>
      </w:r>
      <w:r>
        <w:rPr>
          <w:rFonts w:ascii="Times New Roman" w:hAnsi="Times New Roman" w:cs="Times New Roman"/>
          <w:b/>
          <w:bCs/>
          <w:sz w:val="26"/>
          <w:szCs w:val="26"/>
        </w:rPr>
        <w:t>table</w:t>
      </w:r>
      <w:r w:rsidRPr="00561209">
        <w:rPr>
          <w:rFonts w:ascii="Times New Roman" w:hAnsi="Times New Roman" w:cs="Times New Roman"/>
          <w:b/>
          <w:bCs/>
          <w:sz w:val="26"/>
          <w:szCs w:val="26"/>
        </w:rPr>
        <w:t xml:space="preserve"> captions:</w:t>
      </w:r>
    </w:p>
    <w:p w14:paraId="58614607" w14:textId="77777777" w:rsidR="00561209" w:rsidRDefault="00561209">
      <w:pPr>
        <w:rPr>
          <w:rFonts w:ascii="Times New Roman" w:hAnsi="Times New Roman" w:cs="Times New Roman"/>
          <w:b/>
          <w:bCs/>
          <w:sz w:val="22"/>
        </w:rPr>
      </w:pPr>
    </w:p>
    <w:p w14:paraId="7BE27F57" w14:textId="7F6ECAA6" w:rsidR="009A0FF7" w:rsidRPr="00561209" w:rsidRDefault="009A0FF7">
      <w:pPr>
        <w:rPr>
          <w:rFonts w:ascii="Times New Roman" w:hAnsi="Times New Roman" w:cs="Times New Roman"/>
          <w:sz w:val="22"/>
        </w:rPr>
      </w:pPr>
      <w:r w:rsidRPr="00561209">
        <w:rPr>
          <w:rFonts w:ascii="Times New Roman" w:hAnsi="Times New Roman" w:cs="Times New Roman" w:hint="eastAsia"/>
          <w:b/>
          <w:bCs/>
          <w:sz w:val="22"/>
        </w:rPr>
        <w:t>S</w:t>
      </w:r>
      <w:r w:rsidRPr="00561209">
        <w:rPr>
          <w:rFonts w:ascii="Times New Roman" w:hAnsi="Times New Roman" w:cs="Times New Roman"/>
          <w:b/>
          <w:bCs/>
          <w:sz w:val="22"/>
        </w:rPr>
        <w:t>upplement table 1:</w:t>
      </w:r>
      <w:r w:rsidR="00724F45" w:rsidRPr="00561209">
        <w:rPr>
          <w:rFonts w:ascii="Times New Roman" w:hAnsi="Times New Roman" w:cs="Times New Roman"/>
          <w:b/>
          <w:bCs/>
          <w:sz w:val="22"/>
        </w:rPr>
        <w:t xml:space="preserve"> </w:t>
      </w:r>
      <w:r w:rsidR="00724F45" w:rsidRPr="00561209">
        <w:rPr>
          <w:rFonts w:ascii="Times New Roman" w:hAnsi="Times New Roman" w:cs="Times New Roman"/>
          <w:sz w:val="22"/>
        </w:rPr>
        <w:t>Hallmark pathways identified by GO enrichment analysis and KEGG pathway analysis based on IRGs in immune-related modules.</w:t>
      </w:r>
    </w:p>
    <w:p w14:paraId="4B1409CC" w14:textId="5AC8B598" w:rsidR="00724F45" w:rsidRPr="00561209" w:rsidRDefault="00724F45">
      <w:pPr>
        <w:rPr>
          <w:rFonts w:ascii="Times New Roman" w:hAnsi="Times New Roman" w:cs="Times New Roman"/>
          <w:b/>
          <w:bCs/>
          <w:sz w:val="22"/>
        </w:rPr>
      </w:pPr>
    </w:p>
    <w:p w14:paraId="60EB63EE" w14:textId="532EFDED" w:rsidR="00724F45" w:rsidRPr="00561209" w:rsidRDefault="00724F45">
      <w:pPr>
        <w:rPr>
          <w:rFonts w:ascii="Times New Roman" w:hAnsi="Times New Roman" w:cs="Times New Roman"/>
          <w:sz w:val="22"/>
        </w:rPr>
      </w:pPr>
      <w:r w:rsidRPr="00561209">
        <w:rPr>
          <w:rFonts w:ascii="Times New Roman" w:hAnsi="Times New Roman" w:cs="Times New Roman" w:hint="eastAsia"/>
          <w:b/>
          <w:bCs/>
          <w:sz w:val="22"/>
        </w:rPr>
        <w:t>S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upplement table 2: </w:t>
      </w:r>
      <w:r w:rsidRPr="00561209">
        <w:rPr>
          <w:rFonts w:ascii="Times New Roman" w:hAnsi="Times New Roman" w:cs="Times New Roman"/>
          <w:sz w:val="22"/>
        </w:rPr>
        <w:t xml:space="preserve">Hallmark pathways enriched in the high-risk groups </w:t>
      </w:r>
      <w:r w:rsidR="007A26F3" w:rsidRPr="00561209">
        <w:rPr>
          <w:rFonts w:ascii="Times New Roman" w:hAnsi="Times New Roman" w:cs="Times New Roman"/>
          <w:sz w:val="22"/>
        </w:rPr>
        <w:t>based on</w:t>
      </w:r>
      <w:r w:rsidRPr="00561209">
        <w:rPr>
          <w:rFonts w:ascii="Times New Roman" w:hAnsi="Times New Roman" w:cs="Times New Roman"/>
          <w:sz w:val="22"/>
        </w:rPr>
        <w:t xml:space="preserve"> GSEA.</w:t>
      </w:r>
    </w:p>
    <w:p w14:paraId="6E7FE640" w14:textId="3BB1266D" w:rsidR="00724F45" w:rsidRPr="00561209" w:rsidRDefault="00724F45">
      <w:pPr>
        <w:rPr>
          <w:rFonts w:ascii="Times New Roman" w:hAnsi="Times New Roman" w:cs="Times New Roman"/>
          <w:b/>
          <w:bCs/>
          <w:sz w:val="22"/>
        </w:rPr>
      </w:pPr>
    </w:p>
    <w:p w14:paraId="161C0322" w14:textId="6922DBF6" w:rsidR="00724F45" w:rsidRPr="00561209" w:rsidRDefault="00724F45">
      <w:pPr>
        <w:rPr>
          <w:rFonts w:ascii="Times New Roman" w:hAnsi="Times New Roman" w:cs="Times New Roman"/>
          <w:sz w:val="22"/>
        </w:rPr>
      </w:pPr>
      <w:r w:rsidRPr="00561209">
        <w:rPr>
          <w:rFonts w:ascii="Times New Roman" w:hAnsi="Times New Roman" w:cs="Times New Roman" w:hint="eastAsia"/>
          <w:b/>
          <w:bCs/>
          <w:sz w:val="22"/>
        </w:rPr>
        <w:t>S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upplement table 3: </w:t>
      </w:r>
      <w:r w:rsidRPr="00561209">
        <w:rPr>
          <w:rFonts w:ascii="Times New Roman" w:hAnsi="Times New Roman" w:cs="Times New Roman"/>
          <w:sz w:val="22"/>
        </w:rPr>
        <w:t xml:space="preserve">Hallmark pathways enriched in the low-risk groups </w:t>
      </w:r>
      <w:r w:rsidR="007A26F3" w:rsidRPr="00561209">
        <w:rPr>
          <w:rFonts w:ascii="Times New Roman" w:hAnsi="Times New Roman" w:cs="Times New Roman"/>
          <w:sz w:val="22"/>
        </w:rPr>
        <w:t>based on</w:t>
      </w:r>
      <w:r w:rsidRPr="00561209">
        <w:rPr>
          <w:rFonts w:ascii="Times New Roman" w:hAnsi="Times New Roman" w:cs="Times New Roman"/>
          <w:sz w:val="22"/>
        </w:rPr>
        <w:t xml:space="preserve"> GSEA.</w:t>
      </w:r>
    </w:p>
    <w:p w14:paraId="76DB912A" w14:textId="605CF636" w:rsidR="00724F45" w:rsidRPr="00561209" w:rsidRDefault="00724F45">
      <w:pPr>
        <w:rPr>
          <w:rFonts w:ascii="Times New Roman" w:hAnsi="Times New Roman" w:cs="Times New Roman"/>
          <w:b/>
          <w:bCs/>
          <w:sz w:val="22"/>
        </w:rPr>
      </w:pPr>
    </w:p>
    <w:p w14:paraId="695E5C7E" w14:textId="1AB50140" w:rsidR="00724F45" w:rsidRPr="00561209" w:rsidRDefault="00724F45">
      <w:pPr>
        <w:rPr>
          <w:rFonts w:ascii="Times New Roman" w:hAnsi="Times New Roman" w:cs="Times New Roman"/>
          <w:sz w:val="22"/>
        </w:rPr>
      </w:pPr>
      <w:r w:rsidRPr="00561209">
        <w:rPr>
          <w:rFonts w:ascii="Times New Roman" w:hAnsi="Times New Roman" w:cs="Times New Roman" w:hint="eastAsia"/>
          <w:b/>
          <w:bCs/>
          <w:sz w:val="22"/>
        </w:rPr>
        <w:t>S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upplement table 4: </w:t>
      </w:r>
      <w:r w:rsidRPr="00561209">
        <w:rPr>
          <w:rFonts w:ascii="Times New Roman" w:hAnsi="Times New Roman" w:cs="Times New Roman"/>
          <w:sz w:val="22"/>
        </w:rPr>
        <w:t>Drug candidates with potential therapeutic effect for the low-risk group or the high-risk group.</w:t>
      </w:r>
    </w:p>
    <w:p w14:paraId="2CFDBDE8" w14:textId="1D6B35F7" w:rsidR="00724F45" w:rsidRPr="00561209" w:rsidRDefault="00724F45">
      <w:pPr>
        <w:rPr>
          <w:rFonts w:ascii="Times New Roman" w:hAnsi="Times New Roman" w:cs="Times New Roman"/>
          <w:sz w:val="22"/>
        </w:rPr>
      </w:pPr>
    </w:p>
    <w:p w14:paraId="3501FF8D" w14:textId="474F4279" w:rsidR="00724F45" w:rsidRDefault="00724F45">
      <w:pPr>
        <w:rPr>
          <w:rFonts w:ascii="Times New Roman" w:hAnsi="Times New Roman" w:cs="Times New Roman"/>
          <w:sz w:val="22"/>
        </w:rPr>
      </w:pPr>
      <w:r w:rsidRPr="00561209">
        <w:rPr>
          <w:rFonts w:ascii="Times New Roman" w:hAnsi="Times New Roman" w:cs="Times New Roman" w:hint="eastAsia"/>
          <w:b/>
          <w:bCs/>
          <w:sz w:val="22"/>
        </w:rPr>
        <w:t>S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upplement table 5: </w:t>
      </w:r>
      <w:r w:rsidR="002B6E57" w:rsidRPr="00561209">
        <w:rPr>
          <w:rFonts w:ascii="Times New Roman" w:hAnsi="Times New Roman" w:cs="Times New Roman"/>
          <w:sz w:val="22"/>
        </w:rPr>
        <w:t>Drug candidates and corresponding biomarkers for HP+ GC patients.</w:t>
      </w:r>
    </w:p>
    <w:p w14:paraId="46B5E46A" w14:textId="4B0882C9" w:rsidR="00E46332" w:rsidRDefault="00E46332">
      <w:pPr>
        <w:rPr>
          <w:rFonts w:ascii="Times New Roman" w:hAnsi="Times New Roman" w:cs="Times New Roman"/>
          <w:sz w:val="22"/>
        </w:rPr>
      </w:pPr>
    </w:p>
    <w:p w14:paraId="208E2F6A" w14:textId="28A60D38" w:rsidR="00E46332" w:rsidRDefault="00E46332">
      <w:pPr>
        <w:rPr>
          <w:rFonts w:ascii="Times New Roman" w:hAnsi="Times New Roman" w:cs="Times New Roman"/>
          <w:sz w:val="22"/>
        </w:rPr>
      </w:pPr>
      <w:r w:rsidRPr="00561209">
        <w:rPr>
          <w:rFonts w:ascii="Times New Roman" w:hAnsi="Times New Roman" w:cs="Times New Roman" w:hint="eastAsia"/>
          <w:b/>
          <w:bCs/>
          <w:sz w:val="22"/>
        </w:rPr>
        <w:t>S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upplement table </w:t>
      </w:r>
      <w:r>
        <w:rPr>
          <w:rFonts w:ascii="Times New Roman" w:hAnsi="Times New Roman" w:cs="Times New Roman"/>
          <w:b/>
          <w:bCs/>
          <w:sz w:val="22"/>
        </w:rPr>
        <w:t xml:space="preserve">6: </w:t>
      </w:r>
      <w:r w:rsidRPr="00E46332">
        <w:rPr>
          <w:rFonts w:ascii="Times New Roman" w:hAnsi="Times New Roman" w:cs="Times New Roman"/>
          <w:sz w:val="22"/>
        </w:rPr>
        <w:t>Correlation between 15902 genes with IRSHG using Pearson correlation analysis.</w:t>
      </w:r>
    </w:p>
    <w:p w14:paraId="0555ECFF" w14:textId="4C71A955" w:rsidR="00E46332" w:rsidRDefault="00E46332">
      <w:pPr>
        <w:rPr>
          <w:rFonts w:ascii="Times New Roman" w:hAnsi="Times New Roman" w:cs="Times New Roman"/>
          <w:sz w:val="22"/>
        </w:rPr>
      </w:pPr>
    </w:p>
    <w:p w14:paraId="3F7A12A5" w14:textId="5E26626B" w:rsidR="00E46332" w:rsidRPr="00561209" w:rsidRDefault="00E46332">
      <w:pPr>
        <w:rPr>
          <w:rFonts w:ascii="Times New Roman" w:hAnsi="Times New Roman" w:cs="Times New Roman" w:hint="eastAsia"/>
          <w:sz w:val="22"/>
        </w:rPr>
      </w:pPr>
      <w:r w:rsidRPr="00561209">
        <w:rPr>
          <w:rFonts w:ascii="Times New Roman" w:hAnsi="Times New Roman" w:cs="Times New Roman" w:hint="eastAsia"/>
          <w:b/>
          <w:bCs/>
          <w:sz w:val="22"/>
        </w:rPr>
        <w:t>S</w:t>
      </w:r>
      <w:r w:rsidRPr="00561209">
        <w:rPr>
          <w:rFonts w:ascii="Times New Roman" w:hAnsi="Times New Roman" w:cs="Times New Roman"/>
          <w:b/>
          <w:bCs/>
          <w:sz w:val="22"/>
        </w:rPr>
        <w:t xml:space="preserve">upplement table </w:t>
      </w:r>
      <w:r>
        <w:rPr>
          <w:rFonts w:ascii="Times New Roman" w:hAnsi="Times New Roman" w:cs="Times New Roman"/>
          <w:b/>
          <w:bCs/>
          <w:sz w:val="22"/>
        </w:rPr>
        <w:t>7</w:t>
      </w:r>
      <w:r>
        <w:rPr>
          <w:rFonts w:ascii="Times New Roman" w:hAnsi="Times New Roman" w:cs="Times New Roman"/>
          <w:b/>
          <w:bCs/>
          <w:sz w:val="22"/>
        </w:rPr>
        <w:t>: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E46332">
        <w:rPr>
          <w:rFonts w:ascii="Times New Roman" w:hAnsi="Times New Roman" w:cs="Times New Roman"/>
          <w:sz w:val="22"/>
        </w:rPr>
        <w:t xml:space="preserve">The result </w:t>
      </w:r>
      <w:r>
        <w:rPr>
          <w:rFonts w:ascii="Times New Roman" w:hAnsi="Times New Roman" w:cs="Times New Roman"/>
          <w:sz w:val="22"/>
        </w:rPr>
        <w:t xml:space="preserve">of </w:t>
      </w:r>
      <w:r>
        <w:rPr>
          <w:rFonts w:ascii="Times New Roman" w:hAnsi="Times New Roman" w:cs="Times New Roman"/>
          <w:sz w:val="22"/>
        </w:rPr>
        <w:t>CMap</w:t>
      </w:r>
      <w:r>
        <w:rPr>
          <w:rFonts w:ascii="Times New Roman" w:hAnsi="Times New Roman" w:cs="Times New Roman"/>
          <w:sz w:val="22"/>
        </w:rPr>
        <w:t xml:space="preserve"> analysis.</w:t>
      </w:r>
    </w:p>
    <w:sectPr w:rsidR="00E46332" w:rsidRPr="00561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46568" w14:textId="77777777" w:rsidR="008309DB" w:rsidRDefault="008309DB" w:rsidP="00925EF0">
      <w:r>
        <w:separator/>
      </w:r>
    </w:p>
  </w:endnote>
  <w:endnote w:type="continuationSeparator" w:id="0">
    <w:p w14:paraId="178831F7" w14:textId="77777777" w:rsidR="008309DB" w:rsidRDefault="008309DB" w:rsidP="00925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77FEC" w14:textId="77777777" w:rsidR="008309DB" w:rsidRDefault="008309DB" w:rsidP="00925EF0">
      <w:r>
        <w:separator/>
      </w:r>
    </w:p>
  </w:footnote>
  <w:footnote w:type="continuationSeparator" w:id="0">
    <w:p w14:paraId="56D8573B" w14:textId="77777777" w:rsidR="008309DB" w:rsidRDefault="008309DB" w:rsidP="00925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06A"/>
    <w:rsid w:val="00081775"/>
    <w:rsid w:val="0010543E"/>
    <w:rsid w:val="00250026"/>
    <w:rsid w:val="00256E51"/>
    <w:rsid w:val="002652C6"/>
    <w:rsid w:val="002A29CF"/>
    <w:rsid w:val="002B6E57"/>
    <w:rsid w:val="002D0658"/>
    <w:rsid w:val="003254F8"/>
    <w:rsid w:val="0036647F"/>
    <w:rsid w:val="003C1EA3"/>
    <w:rsid w:val="003D12F1"/>
    <w:rsid w:val="0044306A"/>
    <w:rsid w:val="00451EEC"/>
    <w:rsid w:val="004C7F0E"/>
    <w:rsid w:val="004F1B9D"/>
    <w:rsid w:val="00511EAE"/>
    <w:rsid w:val="00514056"/>
    <w:rsid w:val="00561209"/>
    <w:rsid w:val="00633221"/>
    <w:rsid w:val="00634C8C"/>
    <w:rsid w:val="00635045"/>
    <w:rsid w:val="00635FB3"/>
    <w:rsid w:val="00640CF5"/>
    <w:rsid w:val="00670AEA"/>
    <w:rsid w:val="006C555E"/>
    <w:rsid w:val="00724F45"/>
    <w:rsid w:val="007606A5"/>
    <w:rsid w:val="007A26F3"/>
    <w:rsid w:val="007B2E14"/>
    <w:rsid w:val="007F2DF7"/>
    <w:rsid w:val="00811336"/>
    <w:rsid w:val="008309DB"/>
    <w:rsid w:val="0083704C"/>
    <w:rsid w:val="008919D6"/>
    <w:rsid w:val="008A6EBB"/>
    <w:rsid w:val="008D154D"/>
    <w:rsid w:val="008D6E03"/>
    <w:rsid w:val="00925EF0"/>
    <w:rsid w:val="009A0FF7"/>
    <w:rsid w:val="009B0B0B"/>
    <w:rsid w:val="009E5206"/>
    <w:rsid w:val="00A05344"/>
    <w:rsid w:val="00A8497A"/>
    <w:rsid w:val="00B13940"/>
    <w:rsid w:val="00B83811"/>
    <w:rsid w:val="00BD74B7"/>
    <w:rsid w:val="00C47B54"/>
    <w:rsid w:val="00C60CDA"/>
    <w:rsid w:val="00C82BA5"/>
    <w:rsid w:val="00CD3A41"/>
    <w:rsid w:val="00CE031B"/>
    <w:rsid w:val="00D13069"/>
    <w:rsid w:val="00D422FF"/>
    <w:rsid w:val="00D42ACB"/>
    <w:rsid w:val="00D658E9"/>
    <w:rsid w:val="00E46332"/>
    <w:rsid w:val="00F073E9"/>
    <w:rsid w:val="00F1542F"/>
    <w:rsid w:val="00F26B30"/>
    <w:rsid w:val="00FC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3EC85"/>
  <w15:chartTrackingRefBased/>
  <w15:docId w15:val="{6BA9EDDF-14E7-49D7-BF0E-3D1069F62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5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5E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5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5E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1168</TotalTime>
  <Pages>2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Geng Haigang</dc:creator>
  <cp:keywords/>
  <dc:description/>
  <cp:lastModifiedBy>Geng Haigang</cp:lastModifiedBy>
  <cp:revision>23</cp:revision>
  <dcterms:created xsi:type="dcterms:W3CDTF">2022-05-16T14:53:00Z</dcterms:created>
  <dcterms:modified xsi:type="dcterms:W3CDTF">2022-05-30T12:29:00Z</dcterms:modified>
</cp:coreProperties>
</file>