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908"/>
        <w:tblW w:w="4871" w:type="pct"/>
        <w:tblLook w:val="00A0" w:firstRow="1" w:lastRow="0" w:firstColumn="1" w:lastColumn="0" w:noHBand="0" w:noVBand="0"/>
      </w:tblPr>
      <w:tblGrid>
        <w:gridCol w:w="1536"/>
        <w:gridCol w:w="1297"/>
        <w:gridCol w:w="975"/>
        <w:gridCol w:w="799"/>
        <w:gridCol w:w="796"/>
        <w:gridCol w:w="797"/>
        <w:gridCol w:w="1040"/>
        <w:gridCol w:w="1538"/>
      </w:tblGrid>
      <w:tr w:rsidR="001A4EFF" w:rsidRPr="0058536A" w14:paraId="0CCA750D" w14:textId="77777777" w:rsidTr="001A4EFF">
        <w:trPr>
          <w:trHeight w:val="841"/>
        </w:trPr>
        <w:tc>
          <w:tcPr>
            <w:tcW w:w="875" w:type="pct"/>
            <w:vAlign w:val="center"/>
          </w:tcPr>
          <w:p w14:paraId="29874178" w14:textId="77777777" w:rsidR="001A4EFF" w:rsidRPr="0058536A" w:rsidRDefault="001A4EFF" w:rsidP="001A4EFF">
            <w:pPr>
              <w:spacing w:line="360" w:lineRule="auto"/>
              <w:jc w:val="center"/>
              <w:rPr>
                <w:b/>
                <w:bCs/>
                <w:i/>
                <w:iCs/>
                <w:color w:val="0D0D0D" w:themeColor="text1" w:themeTint="F2"/>
              </w:rPr>
            </w:pPr>
            <w:r w:rsidRPr="0058536A">
              <w:rPr>
                <w:b/>
                <w:bCs/>
                <w:i/>
                <w:iCs/>
                <w:color w:val="0D0D0D" w:themeColor="text1" w:themeTint="F2"/>
              </w:rPr>
              <w:t>SNP</w:t>
            </w:r>
          </w:p>
        </w:tc>
        <w:tc>
          <w:tcPr>
            <w:tcW w:w="1749" w:type="pct"/>
            <w:gridSpan w:val="3"/>
            <w:vAlign w:val="center"/>
          </w:tcPr>
          <w:p w14:paraId="44E7743B" w14:textId="77777777" w:rsidR="001A4EFF" w:rsidRPr="0058536A" w:rsidRDefault="001A4EFF" w:rsidP="001A4EFF">
            <w:pPr>
              <w:spacing w:line="360" w:lineRule="auto"/>
              <w:jc w:val="center"/>
              <w:rPr>
                <w:b/>
                <w:bCs/>
                <w:i/>
                <w:iCs/>
                <w:color w:val="0D0D0D" w:themeColor="text1" w:themeTint="F2"/>
              </w:rPr>
            </w:pPr>
            <w:r w:rsidRPr="0058536A">
              <w:rPr>
                <w:b/>
                <w:bCs/>
                <w:i/>
                <w:iCs/>
                <w:color w:val="0D0D0D" w:themeColor="text1" w:themeTint="F2"/>
              </w:rPr>
              <w:t>Genotypic frequency</w:t>
            </w:r>
          </w:p>
        </w:tc>
        <w:tc>
          <w:tcPr>
            <w:tcW w:w="907" w:type="pct"/>
            <w:gridSpan w:val="2"/>
            <w:vAlign w:val="center"/>
          </w:tcPr>
          <w:p w14:paraId="7E62DAE4" w14:textId="77777777" w:rsidR="001A4EFF" w:rsidRPr="0058536A" w:rsidRDefault="001A4EFF" w:rsidP="001A4EFF">
            <w:pPr>
              <w:spacing w:line="360" w:lineRule="auto"/>
              <w:jc w:val="center"/>
              <w:rPr>
                <w:b/>
                <w:bCs/>
                <w:i/>
                <w:iCs/>
                <w:color w:val="0D0D0D" w:themeColor="text1" w:themeTint="F2"/>
              </w:rPr>
            </w:pPr>
            <w:r w:rsidRPr="0058536A">
              <w:rPr>
                <w:b/>
                <w:bCs/>
                <w:i/>
                <w:iCs/>
                <w:color w:val="0D0D0D" w:themeColor="text1" w:themeTint="F2"/>
              </w:rPr>
              <w:t>Allelic frequency</w:t>
            </w:r>
          </w:p>
        </w:tc>
        <w:tc>
          <w:tcPr>
            <w:tcW w:w="592" w:type="pct"/>
            <w:vAlign w:val="center"/>
          </w:tcPr>
          <w:p w14:paraId="31744667" w14:textId="77777777" w:rsidR="001A4EFF" w:rsidRPr="0058536A" w:rsidRDefault="001A4EFF" w:rsidP="001A4EFF">
            <w:pPr>
              <w:spacing w:line="360" w:lineRule="auto"/>
              <w:jc w:val="center"/>
              <w:rPr>
                <w:b/>
                <w:bCs/>
                <w:i/>
                <w:iCs/>
                <w:color w:val="0D0D0D" w:themeColor="text1" w:themeTint="F2"/>
              </w:rPr>
            </w:pPr>
            <w:r w:rsidRPr="0058536A">
              <w:rPr>
                <w:b/>
                <w:bCs/>
                <w:i/>
                <w:iCs/>
                <w:color w:val="0D0D0D" w:themeColor="text1" w:themeTint="F2"/>
              </w:rPr>
              <w:t>P value</w:t>
            </w:r>
          </w:p>
        </w:tc>
        <w:tc>
          <w:tcPr>
            <w:tcW w:w="877" w:type="pct"/>
            <w:vAlign w:val="center"/>
          </w:tcPr>
          <w:p w14:paraId="54BDB4B5" w14:textId="77777777" w:rsidR="001A4EFF" w:rsidRPr="0058536A" w:rsidRDefault="001A4EFF" w:rsidP="001A4EFF">
            <w:pPr>
              <w:spacing w:line="360" w:lineRule="auto"/>
              <w:jc w:val="center"/>
              <w:rPr>
                <w:b/>
                <w:bCs/>
                <w:i/>
                <w:iCs/>
                <w:color w:val="0D0D0D" w:themeColor="text1" w:themeTint="F2"/>
              </w:rPr>
            </w:pPr>
            <w:r w:rsidRPr="0058536A">
              <w:rPr>
                <w:b/>
                <w:bCs/>
                <w:i/>
                <w:iCs/>
                <w:color w:val="0D0D0D" w:themeColor="text1" w:themeTint="F2"/>
              </w:rPr>
              <w:t>Odds ratio (OR) with 95% CI</w:t>
            </w:r>
          </w:p>
        </w:tc>
      </w:tr>
      <w:tr w:rsidR="001A4EFF" w:rsidRPr="0058536A" w14:paraId="666CAE91" w14:textId="77777777" w:rsidTr="001A4EFF">
        <w:trPr>
          <w:trHeight w:val="272"/>
        </w:trPr>
        <w:tc>
          <w:tcPr>
            <w:tcW w:w="875" w:type="pct"/>
            <w:shd w:val="clear" w:color="auto" w:fill="FFE599" w:themeFill="accent4" w:themeFillTint="66"/>
            <w:vAlign w:val="center"/>
          </w:tcPr>
          <w:p w14:paraId="4DF91969"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BCL11A</w:t>
            </w:r>
          </w:p>
          <w:p w14:paraId="6850B8FE"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(rs11886868)</w:t>
            </w:r>
          </w:p>
        </w:tc>
        <w:tc>
          <w:tcPr>
            <w:tcW w:w="739" w:type="pct"/>
            <w:shd w:val="clear" w:color="auto" w:fill="FFE599" w:themeFill="accent4" w:themeFillTint="66"/>
            <w:vAlign w:val="center"/>
          </w:tcPr>
          <w:p w14:paraId="7BD5DF08"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CC</w:t>
            </w:r>
          </w:p>
        </w:tc>
        <w:tc>
          <w:tcPr>
            <w:tcW w:w="556" w:type="pct"/>
            <w:shd w:val="clear" w:color="auto" w:fill="FFE599" w:themeFill="accent4" w:themeFillTint="66"/>
            <w:vAlign w:val="center"/>
          </w:tcPr>
          <w:p w14:paraId="56DA3249"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CT</w:t>
            </w:r>
          </w:p>
        </w:tc>
        <w:tc>
          <w:tcPr>
            <w:tcW w:w="455" w:type="pct"/>
            <w:shd w:val="clear" w:color="auto" w:fill="FFE599" w:themeFill="accent4" w:themeFillTint="66"/>
            <w:vAlign w:val="center"/>
          </w:tcPr>
          <w:p w14:paraId="0BC80871"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TT</w:t>
            </w:r>
          </w:p>
        </w:tc>
        <w:tc>
          <w:tcPr>
            <w:tcW w:w="453" w:type="pct"/>
            <w:shd w:val="clear" w:color="auto" w:fill="FFE599" w:themeFill="accent4" w:themeFillTint="66"/>
            <w:vAlign w:val="center"/>
          </w:tcPr>
          <w:p w14:paraId="13F89C70"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w:t>
            </w:r>
          </w:p>
        </w:tc>
        <w:tc>
          <w:tcPr>
            <w:tcW w:w="453" w:type="pct"/>
            <w:shd w:val="clear" w:color="auto" w:fill="FFE599" w:themeFill="accent4" w:themeFillTint="66"/>
            <w:vAlign w:val="center"/>
          </w:tcPr>
          <w:p w14:paraId="43962FCE"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w:t>
            </w:r>
          </w:p>
        </w:tc>
        <w:tc>
          <w:tcPr>
            <w:tcW w:w="592" w:type="pct"/>
            <w:vMerge w:val="restart"/>
            <w:shd w:val="clear" w:color="auto" w:fill="FFE599" w:themeFill="accent4" w:themeFillTint="66"/>
            <w:vAlign w:val="center"/>
          </w:tcPr>
          <w:p w14:paraId="73B4D7BC"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P=0.02</w:t>
            </w:r>
          </w:p>
        </w:tc>
        <w:tc>
          <w:tcPr>
            <w:tcW w:w="877" w:type="pct"/>
            <w:vMerge w:val="restart"/>
            <w:shd w:val="clear" w:color="auto" w:fill="FFE599" w:themeFill="accent4" w:themeFillTint="66"/>
            <w:vAlign w:val="center"/>
          </w:tcPr>
          <w:p w14:paraId="7BC548B2"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0.47</w:t>
            </w:r>
          </w:p>
          <w:p w14:paraId="5A82C92D"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(0.22-0.98)</w:t>
            </w:r>
          </w:p>
        </w:tc>
      </w:tr>
      <w:tr w:rsidR="001A4EFF" w:rsidRPr="0058536A" w14:paraId="715DDF14" w14:textId="77777777" w:rsidTr="001A4EFF">
        <w:trPr>
          <w:trHeight w:val="20"/>
        </w:trPr>
        <w:tc>
          <w:tcPr>
            <w:tcW w:w="875" w:type="pct"/>
            <w:shd w:val="clear" w:color="auto" w:fill="FFE599" w:themeFill="accent4" w:themeFillTint="66"/>
            <w:vAlign w:val="center"/>
          </w:tcPr>
          <w:p w14:paraId="7271EE1A"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SCD </w:t>
            </w:r>
          </w:p>
          <w:p w14:paraId="17C85E3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(n=30)</w:t>
            </w:r>
          </w:p>
        </w:tc>
        <w:tc>
          <w:tcPr>
            <w:tcW w:w="739" w:type="pct"/>
            <w:shd w:val="clear" w:color="auto" w:fill="FFE599" w:themeFill="accent4" w:themeFillTint="66"/>
            <w:vAlign w:val="center"/>
          </w:tcPr>
          <w:p w14:paraId="7CD27CA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w:t>
            </w:r>
          </w:p>
          <w:p w14:paraId="3205005D"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(0.13)</w:t>
            </w:r>
          </w:p>
        </w:tc>
        <w:tc>
          <w:tcPr>
            <w:tcW w:w="556" w:type="pct"/>
            <w:shd w:val="clear" w:color="auto" w:fill="FFE599" w:themeFill="accent4" w:themeFillTint="66"/>
            <w:vAlign w:val="center"/>
          </w:tcPr>
          <w:p w14:paraId="04EBC6A2"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17 (0.56)</w:t>
            </w:r>
          </w:p>
        </w:tc>
        <w:tc>
          <w:tcPr>
            <w:tcW w:w="455" w:type="pct"/>
            <w:shd w:val="clear" w:color="auto" w:fill="FFE599" w:themeFill="accent4" w:themeFillTint="66"/>
            <w:vAlign w:val="center"/>
          </w:tcPr>
          <w:p w14:paraId="642FD5F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9</w:t>
            </w:r>
          </w:p>
          <w:p w14:paraId="1A306FE0"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(0.3)</w:t>
            </w:r>
          </w:p>
        </w:tc>
        <w:tc>
          <w:tcPr>
            <w:tcW w:w="453" w:type="pct"/>
            <w:shd w:val="clear" w:color="auto" w:fill="FFE599" w:themeFill="accent4" w:themeFillTint="66"/>
            <w:vAlign w:val="center"/>
          </w:tcPr>
          <w:p w14:paraId="4F40A39D"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25</w:t>
            </w:r>
          </w:p>
          <w:p w14:paraId="7DD1A38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(0.41)</w:t>
            </w:r>
          </w:p>
        </w:tc>
        <w:tc>
          <w:tcPr>
            <w:tcW w:w="453" w:type="pct"/>
            <w:shd w:val="clear" w:color="auto" w:fill="FFE599" w:themeFill="accent4" w:themeFillTint="66"/>
            <w:vAlign w:val="center"/>
          </w:tcPr>
          <w:p w14:paraId="6E7CA9D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35</w:t>
            </w:r>
          </w:p>
          <w:p w14:paraId="3F8DB2D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(0.58)</w:t>
            </w:r>
          </w:p>
        </w:tc>
        <w:tc>
          <w:tcPr>
            <w:tcW w:w="592" w:type="pct"/>
            <w:vMerge/>
            <w:vAlign w:val="center"/>
          </w:tcPr>
          <w:p w14:paraId="3A12D26C" w14:textId="77777777" w:rsidR="001A4EFF" w:rsidRPr="0058536A" w:rsidRDefault="001A4EFF" w:rsidP="001A4EFF">
            <w:pPr>
              <w:spacing w:line="360" w:lineRule="auto"/>
              <w:jc w:val="center"/>
              <w:rPr>
                <w:color w:val="0D0D0D" w:themeColor="text1" w:themeTint="F2"/>
              </w:rPr>
            </w:pPr>
          </w:p>
        </w:tc>
        <w:tc>
          <w:tcPr>
            <w:tcW w:w="877" w:type="pct"/>
            <w:vMerge/>
            <w:vAlign w:val="center"/>
          </w:tcPr>
          <w:p w14:paraId="7F1F5DC9" w14:textId="77777777" w:rsidR="001A4EFF" w:rsidRPr="0058536A" w:rsidRDefault="001A4EFF" w:rsidP="001A4EFF">
            <w:pPr>
              <w:spacing w:line="360" w:lineRule="auto"/>
              <w:jc w:val="center"/>
              <w:rPr>
                <w:color w:val="0D0D0D" w:themeColor="text1" w:themeTint="F2"/>
              </w:rPr>
            </w:pPr>
          </w:p>
        </w:tc>
      </w:tr>
      <w:tr w:rsidR="001A4EFF" w:rsidRPr="0058536A" w14:paraId="2E2DECBE" w14:textId="77777777" w:rsidTr="001A4EFF">
        <w:trPr>
          <w:trHeight w:val="20"/>
        </w:trPr>
        <w:tc>
          <w:tcPr>
            <w:tcW w:w="875" w:type="pct"/>
            <w:shd w:val="clear" w:color="auto" w:fill="FFE599" w:themeFill="accent4" w:themeFillTint="66"/>
            <w:vAlign w:val="center"/>
          </w:tcPr>
          <w:p w14:paraId="3943F43B"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Control (n=30)</w:t>
            </w:r>
          </w:p>
        </w:tc>
        <w:tc>
          <w:tcPr>
            <w:tcW w:w="739" w:type="pct"/>
            <w:shd w:val="clear" w:color="auto" w:fill="FFE599" w:themeFill="accent4" w:themeFillTint="66"/>
            <w:vAlign w:val="center"/>
          </w:tcPr>
          <w:p w14:paraId="7EFD5FE9"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11</w:t>
            </w:r>
          </w:p>
          <w:p w14:paraId="59555DBC"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(0.36)</w:t>
            </w:r>
          </w:p>
        </w:tc>
        <w:tc>
          <w:tcPr>
            <w:tcW w:w="556" w:type="pct"/>
            <w:shd w:val="clear" w:color="auto" w:fill="FFE599" w:themeFill="accent4" w:themeFillTint="66"/>
            <w:vAlign w:val="center"/>
          </w:tcPr>
          <w:p w14:paraId="3AF9EB4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14 (0.46)</w:t>
            </w:r>
          </w:p>
        </w:tc>
        <w:tc>
          <w:tcPr>
            <w:tcW w:w="455" w:type="pct"/>
            <w:shd w:val="clear" w:color="auto" w:fill="FFE599" w:themeFill="accent4" w:themeFillTint="66"/>
            <w:vAlign w:val="center"/>
          </w:tcPr>
          <w:p w14:paraId="20C512C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5 (0.16)</w:t>
            </w:r>
          </w:p>
        </w:tc>
        <w:tc>
          <w:tcPr>
            <w:tcW w:w="453" w:type="pct"/>
            <w:shd w:val="clear" w:color="auto" w:fill="FFE599" w:themeFill="accent4" w:themeFillTint="66"/>
            <w:vAlign w:val="center"/>
          </w:tcPr>
          <w:p w14:paraId="436D8D3E"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36 (0.6)</w:t>
            </w:r>
          </w:p>
        </w:tc>
        <w:tc>
          <w:tcPr>
            <w:tcW w:w="453" w:type="pct"/>
            <w:shd w:val="clear" w:color="auto" w:fill="FFE599" w:themeFill="accent4" w:themeFillTint="66"/>
            <w:vAlign w:val="center"/>
          </w:tcPr>
          <w:p w14:paraId="5CD06B8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24 (0.4)</w:t>
            </w:r>
          </w:p>
        </w:tc>
        <w:tc>
          <w:tcPr>
            <w:tcW w:w="592" w:type="pct"/>
            <w:vMerge/>
            <w:vAlign w:val="center"/>
          </w:tcPr>
          <w:p w14:paraId="42B9D204" w14:textId="77777777" w:rsidR="001A4EFF" w:rsidRPr="0058536A" w:rsidRDefault="001A4EFF" w:rsidP="001A4EFF">
            <w:pPr>
              <w:spacing w:line="360" w:lineRule="auto"/>
              <w:jc w:val="center"/>
              <w:rPr>
                <w:color w:val="0D0D0D" w:themeColor="text1" w:themeTint="F2"/>
              </w:rPr>
            </w:pPr>
          </w:p>
        </w:tc>
        <w:tc>
          <w:tcPr>
            <w:tcW w:w="877" w:type="pct"/>
            <w:vMerge/>
            <w:vAlign w:val="center"/>
          </w:tcPr>
          <w:p w14:paraId="6DBAB13A" w14:textId="77777777" w:rsidR="001A4EFF" w:rsidRPr="0058536A" w:rsidRDefault="001A4EFF" w:rsidP="001A4EFF">
            <w:pPr>
              <w:spacing w:line="360" w:lineRule="auto"/>
              <w:jc w:val="center"/>
              <w:rPr>
                <w:color w:val="0D0D0D" w:themeColor="text1" w:themeTint="F2"/>
              </w:rPr>
            </w:pPr>
          </w:p>
        </w:tc>
      </w:tr>
      <w:tr w:rsidR="001A4EFF" w:rsidRPr="0058536A" w14:paraId="219D6A8B" w14:textId="77777777" w:rsidTr="001A4EFF">
        <w:trPr>
          <w:trHeight w:val="564"/>
        </w:trPr>
        <w:tc>
          <w:tcPr>
            <w:tcW w:w="875" w:type="pct"/>
            <w:shd w:val="clear" w:color="auto" w:fill="B4C6E7" w:themeFill="accent1" w:themeFillTint="66"/>
          </w:tcPr>
          <w:p w14:paraId="32DFF371"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BCL11A</w:t>
            </w:r>
          </w:p>
          <w:p w14:paraId="548AF54A" w14:textId="77777777" w:rsidR="001A4EFF" w:rsidRPr="0058536A" w:rsidRDefault="001A4EFF" w:rsidP="001A4EFF">
            <w:pPr>
              <w:spacing w:line="360" w:lineRule="auto"/>
              <w:jc w:val="center"/>
              <w:rPr>
                <w:color w:val="0D0D0D" w:themeColor="text1" w:themeTint="F2"/>
              </w:rPr>
            </w:pPr>
            <w:r w:rsidRPr="0058536A">
              <w:rPr>
                <w:b/>
                <w:bCs/>
                <w:color w:val="0D0D0D" w:themeColor="text1" w:themeTint="F2"/>
              </w:rPr>
              <w:t>(rs1427407)</w:t>
            </w:r>
          </w:p>
        </w:tc>
        <w:tc>
          <w:tcPr>
            <w:tcW w:w="739" w:type="pct"/>
            <w:shd w:val="clear" w:color="auto" w:fill="B4C6E7" w:themeFill="accent1" w:themeFillTint="66"/>
          </w:tcPr>
          <w:p w14:paraId="71F0FD68"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GG</w:t>
            </w:r>
          </w:p>
        </w:tc>
        <w:tc>
          <w:tcPr>
            <w:tcW w:w="556" w:type="pct"/>
            <w:shd w:val="clear" w:color="auto" w:fill="B4C6E7" w:themeFill="accent1" w:themeFillTint="66"/>
          </w:tcPr>
          <w:p w14:paraId="453683B4"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GT</w:t>
            </w:r>
          </w:p>
        </w:tc>
        <w:tc>
          <w:tcPr>
            <w:tcW w:w="455" w:type="pct"/>
            <w:shd w:val="clear" w:color="auto" w:fill="B4C6E7" w:themeFill="accent1" w:themeFillTint="66"/>
          </w:tcPr>
          <w:p w14:paraId="57677338"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TT</w:t>
            </w:r>
          </w:p>
        </w:tc>
        <w:tc>
          <w:tcPr>
            <w:tcW w:w="453" w:type="pct"/>
            <w:shd w:val="clear" w:color="auto" w:fill="B4C6E7" w:themeFill="accent1" w:themeFillTint="66"/>
          </w:tcPr>
          <w:p w14:paraId="36BC1B96"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G</w:t>
            </w:r>
          </w:p>
        </w:tc>
        <w:tc>
          <w:tcPr>
            <w:tcW w:w="453" w:type="pct"/>
            <w:shd w:val="clear" w:color="auto" w:fill="B4C6E7" w:themeFill="accent1" w:themeFillTint="66"/>
          </w:tcPr>
          <w:p w14:paraId="697B2713"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w:t>
            </w:r>
          </w:p>
        </w:tc>
        <w:tc>
          <w:tcPr>
            <w:tcW w:w="592" w:type="pct"/>
            <w:vMerge w:val="restart"/>
            <w:shd w:val="clear" w:color="auto" w:fill="B4C6E7" w:themeFill="accent1" w:themeFillTint="66"/>
            <w:vAlign w:val="center"/>
          </w:tcPr>
          <w:p w14:paraId="3496FF1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P=0.62</w:t>
            </w:r>
          </w:p>
        </w:tc>
        <w:tc>
          <w:tcPr>
            <w:tcW w:w="877" w:type="pct"/>
            <w:vMerge w:val="restart"/>
            <w:shd w:val="clear" w:color="auto" w:fill="B4C6E7" w:themeFill="accent1" w:themeFillTint="66"/>
            <w:vAlign w:val="center"/>
          </w:tcPr>
          <w:p w14:paraId="1FC4BA2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1.1</w:t>
            </w:r>
          </w:p>
          <w:p w14:paraId="5925FE6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(0.5-2.47)</w:t>
            </w:r>
          </w:p>
        </w:tc>
      </w:tr>
      <w:tr w:rsidR="001A4EFF" w:rsidRPr="0058536A" w14:paraId="55D23CA4" w14:textId="77777777" w:rsidTr="001A4EFF">
        <w:trPr>
          <w:trHeight w:val="20"/>
        </w:trPr>
        <w:tc>
          <w:tcPr>
            <w:tcW w:w="875" w:type="pct"/>
            <w:shd w:val="clear" w:color="auto" w:fill="B4C6E7" w:themeFill="accent1" w:themeFillTint="66"/>
          </w:tcPr>
          <w:p w14:paraId="2F0D280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SCD </w:t>
            </w:r>
          </w:p>
          <w:p w14:paraId="26C5134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(n=30)</w:t>
            </w:r>
          </w:p>
        </w:tc>
        <w:tc>
          <w:tcPr>
            <w:tcW w:w="739" w:type="pct"/>
            <w:shd w:val="clear" w:color="auto" w:fill="B4C6E7" w:themeFill="accent1" w:themeFillTint="66"/>
          </w:tcPr>
          <w:p w14:paraId="7181148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20</w:t>
            </w:r>
          </w:p>
          <w:p w14:paraId="7FFD96C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(0.66)</w:t>
            </w:r>
          </w:p>
        </w:tc>
        <w:tc>
          <w:tcPr>
            <w:tcW w:w="556" w:type="pct"/>
            <w:shd w:val="clear" w:color="auto" w:fill="B4C6E7" w:themeFill="accent1" w:themeFillTint="66"/>
          </w:tcPr>
          <w:p w14:paraId="3E8DFD0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6</w:t>
            </w:r>
          </w:p>
          <w:p w14:paraId="6830B9F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(0.2)</w:t>
            </w:r>
          </w:p>
        </w:tc>
        <w:tc>
          <w:tcPr>
            <w:tcW w:w="455" w:type="pct"/>
            <w:shd w:val="clear" w:color="auto" w:fill="B4C6E7" w:themeFill="accent1" w:themeFillTint="66"/>
          </w:tcPr>
          <w:p w14:paraId="305A994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 (0.13)</w:t>
            </w:r>
          </w:p>
        </w:tc>
        <w:tc>
          <w:tcPr>
            <w:tcW w:w="453" w:type="pct"/>
            <w:shd w:val="clear" w:color="auto" w:fill="B4C6E7" w:themeFill="accent1" w:themeFillTint="66"/>
          </w:tcPr>
          <w:p w14:paraId="1EB66E1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46 (0.76)</w:t>
            </w:r>
          </w:p>
        </w:tc>
        <w:tc>
          <w:tcPr>
            <w:tcW w:w="453" w:type="pct"/>
            <w:shd w:val="clear" w:color="auto" w:fill="B4C6E7" w:themeFill="accent1" w:themeFillTint="66"/>
          </w:tcPr>
          <w:p w14:paraId="57AA3E8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14 (0.23)</w:t>
            </w:r>
          </w:p>
        </w:tc>
        <w:tc>
          <w:tcPr>
            <w:tcW w:w="592" w:type="pct"/>
            <w:vMerge/>
            <w:vAlign w:val="center"/>
          </w:tcPr>
          <w:p w14:paraId="392D702C" w14:textId="77777777" w:rsidR="001A4EFF" w:rsidRPr="0058536A" w:rsidRDefault="001A4EFF" w:rsidP="001A4EFF">
            <w:pPr>
              <w:spacing w:line="360" w:lineRule="auto"/>
              <w:jc w:val="center"/>
              <w:rPr>
                <w:color w:val="0D0D0D" w:themeColor="text1" w:themeTint="F2"/>
              </w:rPr>
            </w:pPr>
          </w:p>
        </w:tc>
        <w:tc>
          <w:tcPr>
            <w:tcW w:w="877" w:type="pct"/>
            <w:vMerge/>
            <w:vAlign w:val="center"/>
          </w:tcPr>
          <w:p w14:paraId="1F352B7E" w14:textId="77777777" w:rsidR="001A4EFF" w:rsidRPr="0058536A" w:rsidRDefault="001A4EFF" w:rsidP="001A4EFF">
            <w:pPr>
              <w:spacing w:line="360" w:lineRule="auto"/>
              <w:jc w:val="center"/>
              <w:rPr>
                <w:color w:val="0D0D0D" w:themeColor="text1" w:themeTint="F2"/>
              </w:rPr>
            </w:pPr>
          </w:p>
        </w:tc>
      </w:tr>
      <w:tr w:rsidR="001A4EFF" w:rsidRPr="0058536A" w14:paraId="4EFA16B2" w14:textId="77777777" w:rsidTr="001A4EFF">
        <w:trPr>
          <w:trHeight w:val="20"/>
        </w:trPr>
        <w:tc>
          <w:tcPr>
            <w:tcW w:w="875" w:type="pct"/>
            <w:shd w:val="clear" w:color="auto" w:fill="B4C6E7" w:themeFill="accent1" w:themeFillTint="66"/>
          </w:tcPr>
          <w:p w14:paraId="7D6D3E6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Control (n=30)</w:t>
            </w:r>
          </w:p>
        </w:tc>
        <w:tc>
          <w:tcPr>
            <w:tcW w:w="739" w:type="pct"/>
            <w:shd w:val="clear" w:color="auto" w:fill="B4C6E7" w:themeFill="accent1" w:themeFillTint="66"/>
          </w:tcPr>
          <w:p w14:paraId="630126E0"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28</w:t>
            </w:r>
          </w:p>
          <w:p w14:paraId="3E3D57A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(0.93)</w:t>
            </w:r>
          </w:p>
        </w:tc>
        <w:tc>
          <w:tcPr>
            <w:tcW w:w="556" w:type="pct"/>
            <w:shd w:val="clear" w:color="auto" w:fill="B4C6E7" w:themeFill="accent1" w:themeFillTint="66"/>
          </w:tcPr>
          <w:p w14:paraId="5257D02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29 (0.96)</w:t>
            </w:r>
          </w:p>
        </w:tc>
        <w:tc>
          <w:tcPr>
            <w:tcW w:w="455" w:type="pct"/>
            <w:shd w:val="clear" w:color="auto" w:fill="B4C6E7" w:themeFill="accent1" w:themeFillTint="66"/>
          </w:tcPr>
          <w:p w14:paraId="0DD903AC"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 (0.03)</w:t>
            </w:r>
          </w:p>
        </w:tc>
        <w:tc>
          <w:tcPr>
            <w:tcW w:w="453" w:type="pct"/>
            <w:shd w:val="clear" w:color="auto" w:fill="B4C6E7" w:themeFill="accent1" w:themeFillTint="66"/>
          </w:tcPr>
          <w:p w14:paraId="596E83F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85 (0.73)</w:t>
            </w:r>
          </w:p>
        </w:tc>
        <w:tc>
          <w:tcPr>
            <w:tcW w:w="453" w:type="pct"/>
            <w:shd w:val="clear" w:color="auto" w:fill="B4C6E7" w:themeFill="accent1" w:themeFillTint="66"/>
          </w:tcPr>
          <w:p w14:paraId="7FCAB569"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31 (0.26)</w:t>
            </w:r>
          </w:p>
        </w:tc>
        <w:tc>
          <w:tcPr>
            <w:tcW w:w="592" w:type="pct"/>
            <w:vMerge/>
            <w:vAlign w:val="center"/>
          </w:tcPr>
          <w:p w14:paraId="1E9E6CF1" w14:textId="77777777" w:rsidR="001A4EFF" w:rsidRPr="0058536A" w:rsidRDefault="001A4EFF" w:rsidP="001A4EFF">
            <w:pPr>
              <w:spacing w:line="360" w:lineRule="auto"/>
              <w:jc w:val="center"/>
              <w:rPr>
                <w:color w:val="0D0D0D" w:themeColor="text1" w:themeTint="F2"/>
              </w:rPr>
            </w:pPr>
          </w:p>
        </w:tc>
        <w:tc>
          <w:tcPr>
            <w:tcW w:w="877" w:type="pct"/>
            <w:vMerge/>
            <w:vAlign w:val="center"/>
          </w:tcPr>
          <w:p w14:paraId="3EC60D54" w14:textId="77777777" w:rsidR="001A4EFF" w:rsidRPr="0058536A" w:rsidRDefault="001A4EFF" w:rsidP="001A4EFF">
            <w:pPr>
              <w:spacing w:line="360" w:lineRule="auto"/>
              <w:jc w:val="center"/>
              <w:rPr>
                <w:color w:val="0D0D0D" w:themeColor="text1" w:themeTint="F2"/>
              </w:rPr>
            </w:pPr>
          </w:p>
        </w:tc>
      </w:tr>
      <w:tr w:rsidR="001A4EFF" w:rsidRPr="0058536A" w14:paraId="0E9A05C2" w14:textId="77777777" w:rsidTr="001A4EFF">
        <w:trPr>
          <w:trHeight w:val="432"/>
        </w:trPr>
        <w:tc>
          <w:tcPr>
            <w:tcW w:w="875" w:type="pct"/>
            <w:shd w:val="clear" w:color="auto" w:fill="C5E0B3" w:themeFill="accent6" w:themeFillTint="66"/>
            <w:vAlign w:val="center"/>
          </w:tcPr>
          <w:p w14:paraId="6B4599EE"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 xml:space="preserve"> HBS1L-MYB</w:t>
            </w:r>
          </w:p>
          <w:p w14:paraId="682F358C"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(rs66650371)</w:t>
            </w:r>
          </w:p>
        </w:tc>
        <w:tc>
          <w:tcPr>
            <w:tcW w:w="739" w:type="pct"/>
            <w:shd w:val="clear" w:color="auto" w:fill="C5E0B3" w:themeFill="accent6" w:themeFillTint="66"/>
            <w:vAlign w:val="center"/>
          </w:tcPr>
          <w:p w14:paraId="76261FE3"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TAC/TAC</w:t>
            </w:r>
          </w:p>
        </w:tc>
        <w:tc>
          <w:tcPr>
            <w:tcW w:w="556" w:type="pct"/>
            <w:shd w:val="clear" w:color="auto" w:fill="C5E0B3" w:themeFill="accent6" w:themeFillTint="66"/>
            <w:vAlign w:val="center"/>
          </w:tcPr>
          <w:p w14:paraId="2FA2341D"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-/TAC</w:t>
            </w:r>
          </w:p>
        </w:tc>
        <w:tc>
          <w:tcPr>
            <w:tcW w:w="455" w:type="pct"/>
            <w:shd w:val="clear" w:color="auto" w:fill="C5E0B3" w:themeFill="accent6" w:themeFillTint="66"/>
            <w:vAlign w:val="center"/>
          </w:tcPr>
          <w:p w14:paraId="7CB5FEB2"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w:t>
            </w:r>
          </w:p>
        </w:tc>
        <w:tc>
          <w:tcPr>
            <w:tcW w:w="453" w:type="pct"/>
            <w:shd w:val="clear" w:color="auto" w:fill="C5E0B3" w:themeFill="accent6" w:themeFillTint="66"/>
            <w:vAlign w:val="center"/>
          </w:tcPr>
          <w:p w14:paraId="6CF8DB69"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TAC</w:t>
            </w:r>
          </w:p>
        </w:tc>
        <w:tc>
          <w:tcPr>
            <w:tcW w:w="453" w:type="pct"/>
            <w:shd w:val="clear" w:color="auto" w:fill="C5E0B3" w:themeFill="accent6" w:themeFillTint="66"/>
            <w:vAlign w:val="center"/>
          </w:tcPr>
          <w:p w14:paraId="220648F4"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w:t>
            </w:r>
          </w:p>
        </w:tc>
        <w:tc>
          <w:tcPr>
            <w:tcW w:w="592" w:type="pct"/>
            <w:vMerge w:val="restart"/>
            <w:shd w:val="clear" w:color="auto" w:fill="C5E0B3" w:themeFill="accent6" w:themeFillTint="66"/>
            <w:vAlign w:val="center"/>
          </w:tcPr>
          <w:p w14:paraId="66296B37"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P=0.02</w:t>
            </w:r>
          </w:p>
        </w:tc>
        <w:tc>
          <w:tcPr>
            <w:tcW w:w="877" w:type="pct"/>
            <w:vMerge w:val="restart"/>
            <w:shd w:val="clear" w:color="auto" w:fill="C5E0B3" w:themeFill="accent6" w:themeFillTint="66"/>
            <w:vAlign w:val="center"/>
          </w:tcPr>
          <w:p w14:paraId="5E030E1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0.25</w:t>
            </w:r>
          </w:p>
          <w:p w14:paraId="36419FBE" w14:textId="77777777" w:rsidR="001A4EFF" w:rsidRPr="0058536A" w:rsidRDefault="001A4EFF" w:rsidP="001A4EFF">
            <w:pPr>
              <w:spacing w:line="360" w:lineRule="auto"/>
              <w:rPr>
                <w:color w:val="0D0D0D" w:themeColor="text1" w:themeTint="F2"/>
              </w:rPr>
            </w:pPr>
            <w:r w:rsidRPr="0058536A">
              <w:rPr>
                <w:color w:val="0D0D0D" w:themeColor="text1" w:themeTint="F2"/>
              </w:rPr>
              <w:t>(0.07-0.84)</w:t>
            </w:r>
          </w:p>
        </w:tc>
      </w:tr>
      <w:tr w:rsidR="001A4EFF" w:rsidRPr="0058536A" w14:paraId="317BC525" w14:textId="77777777" w:rsidTr="001A4EFF">
        <w:trPr>
          <w:trHeight w:val="20"/>
        </w:trPr>
        <w:tc>
          <w:tcPr>
            <w:tcW w:w="875" w:type="pct"/>
            <w:shd w:val="clear" w:color="auto" w:fill="C5E0B3" w:themeFill="accent6" w:themeFillTint="66"/>
          </w:tcPr>
          <w:p w14:paraId="45DB8CC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SCD </w:t>
            </w:r>
          </w:p>
          <w:p w14:paraId="12B3F1E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(n=30)</w:t>
            </w:r>
          </w:p>
        </w:tc>
        <w:tc>
          <w:tcPr>
            <w:tcW w:w="739" w:type="pct"/>
            <w:shd w:val="clear" w:color="auto" w:fill="C5E0B3" w:themeFill="accent6" w:themeFillTint="66"/>
          </w:tcPr>
          <w:p w14:paraId="1C53F55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18</w:t>
            </w:r>
          </w:p>
          <w:p w14:paraId="5BF732CA"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(0.6)</w:t>
            </w:r>
          </w:p>
        </w:tc>
        <w:tc>
          <w:tcPr>
            <w:tcW w:w="556" w:type="pct"/>
            <w:shd w:val="clear" w:color="auto" w:fill="C5E0B3" w:themeFill="accent6" w:themeFillTint="66"/>
          </w:tcPr>
          <w:p w14:paraId="35644DB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11</w:t>
            </w:r>
          </w:p>
          <w:p w14:paraId="6406599E"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(0.36)</w:t>
            </w:r>
          </w:p>
        </w:tc>
        <w:tc>
          <w:tcPr>
            <w:tcW w:w="455" w:type="pct"/>
            <w:shd w:val="clear" w:color="auto" w:fill="C5E0B3" w:themeFill="accent6" w:themeFillTint="66"/>
          </w:tcPr>
          <w:p w14:paraId="62A8F111"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w:t>
            </w:r>
          </w:p>
          <w:p w14:paraId="0634FDE2"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(0.03)</w:t>
            </w:r>
          </w:p>
        </w:tc>
        <w:tc>
          <w:tcPr>
            <w:tcW w:w="453" w:type="pct"/>
            <w:shd w:val="clear" w:color="auto" w:fill="C5E0B3" w:themeFill="accent6" w:themeFillTint="66"/>
          </w:tcPr>
          <w:p w14:paraId="39FC7F60"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47 (0.78)</w:t>
            </w:r>
          </w:p>
        </w:tc>
        <w:tc>
          <w:tcPr>
            <w:tcW w:w="453" w:type="pct"/>
            <w:shd w:val="clear" w:color="auto" w:fill="C5E0B3" w:themeFill="accent6" w:themeFillTint="66"/>
          </w:tcPr>
          <w:p w14:paraId="26AF492A"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13 (0.21)</w:t>
            </w:r>
          </w:p>
        </w:tc>
        <w:tc>
          <w:tcPr>
            <w:tcW w:w="592" w:type="pct"/>
            <w:vMerge/>
            <w:shd w:val="clear" w:color="auto" w:fill="C5E0B3" w:themeFill="accent6" w:themeFillTint="66"/>
          </w:tcPr>
          <w:p w14:paraId="2D968815" w14:textId="77777777" w:rsidR="001A4EFF" w:rsidRPr="0058536A" w:rsidRDefault="001A4EFF" w:rsidP="001A4EFF">
            <w:pPr>
              <w:spacing w:line="360" w:lineRule="auto"/>
              <w:rPr>
                <w:color w:val="0D0D0D" w:themeColor="text1" w:themeTint="F2"/>
              </w:rPr>
            </w:pPr>
          </w:p>
        </w:tc>
        <w:tc>
          <w:tcPr>
            <w:tcW w:w="877" w:type="pct"/>
            <w:vMerge/>
            <w:shd w:val="clear" w:color="auto" w:fill="C5E0B3" w:themeFill="accent6" w:themeFillTint="66"/>
          </w:tcPr>
          <w:p w14:paraId="02EF4D79" w14:textId="77777777" w:rsidR="001A4EFF" w:rsidRPr="0058536A" w:rsidRDefault="001A4EFF" w:rsidP="001A4EFF">
            <w:pPr>
              <w:spacing w:line="360" w:lineRule="auto"/>
              <w:rPr>
                <w:color w:val="0D0D0D" w:themeColor="text1" w:themeTint="F2"/>
              </w:rPr>
            </w:pPr>
          </w:p>
        </w:tc>
      </w:tr>
      <w:tr w:rsidR="001A4EFF" w:rsidRPr="0058536A" w14:paraId="50F80008" w14:textId="77777777" w:rsidTr="001A4EFF">
        <w:trPr>
          <w:trHeight w:val="20"/>
        </w:trPr>
        <w:tc>
          <w:tcPr>
            <w:tcW w:w="875" w:type="pct"/>
            <w:shd w:val="clear" w:color="auto" w:fill="C5E0B3" w:themeFill="accent6" w:themeFillTint="66"/>
          </w:tcPr>
          <w:p w14:paraId="7446DA0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Control (n=30)</w:t>
            </w:r>
          </w:p>
        </w:tc>
        <w:tc>
          <w:tcPr>
            <w:tcW w:w="739" w:type="pct"/>
            <w:shd w:val="clear" w:color="auto" w:fill="C5E0B3" w:themeFill="accent6" w:themeFillTint="66"/>
          </w:tcPr>
          <w:p w14:paraId="5D276196"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26</w:t>
            </w:r>
          </w:p>
          <w:p w14:paraId="4AD79AEC"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(0.86)</w:t>
            </w:r>
          </w:p>
        </w:tc>
        <w:tc>
          <w:tcPr>
            <w:tcW w:w="556" w:type="pct"/>
            <w:shd w:val="clear" w:color="auto" w:fill="C5E0B3" w:themeFill="accent6" w:themeFillTint="66"/>
          </w:tcPr>
          <w:p w14:paraId="4C5F2AF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w:t>
            </w:r>
          </w:p>
          <w:p w14:paraId="7A015B9D"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(0.13)</w:t>
            </w:r>
          </w:p>
        </w:tc>
        <w:tc>
          <w:tcPr>
            <w:tcW w:w="455" w:type="pct"/>
            <w:shd w:val="clear" w:color="auto" w:fill="C5E0B3" w:themeFill="accent6" w:themeFillTint="66"/>
            <w:vAlign w:val="center"/>
          </w:tcPr>
          <w:p w14:paraId="2124943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w:t>
            </w:r>
          </w:p>
          <w:p w14:paraId="1356D754" w14:textId="77777777" w:rsidR="001A4EFF" w:rsidRPr="0058536A" w:rsidRDefault="001A4EFF" w:rsidP="001A4EFF">
            <w:pPr>
              <w:spacing w:line="360" w:lineRule="auto"/>
              <w:jc w:val="center"/>
              <w:rPr>
                <w:color w:val="0D0D0D" w:themeColor="text1" w:themeTint="F2"/>
              </w:rPr>
            </w:pPr>
          </w:p>
        </w:tc>
        <w:tc>
          <w:tcPr>
            <w:tcW w:w="453" w:type="pct"/>
            <w:shd w:val="clear" w:color="auto" w:fill="C5E0B3" w:themeFill="accent6" w:themeFillTint="66"/>
          </w:tcPr>
          <w:p w14:paraId="058F60B9"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56 (0.93)</w:t>
            </w:r>
          </w:p>
        </w:tc>
        <w:tc>
          <w:tcPr>
            <w:tcW w:w="453" w:type="pct"/>
            <w:shd w:val="clear" w:color="auto" w:fill="C5E0B3" w:themeFill="accent6" w:themeFillTint="66"/>
          </w:tcPr>
          <w:p w14:paraId="687E5D51"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4 (0.06)</w:t>
            </w:r>
          </w:p>
        </w:tc>
        <w:tc>
          <w:tcPr>
            <w:tcW w:w="592" w:type="pct"/>
            <w:vMerge/>
            <w:shd w:val="clear" w:color="auto" w:fill="C5E0B3" w:themeFill="accent6" w:themeFillTint="66"/>
          </w:tcPr>
          <w:p w14:paraId="52CECA89" w14:textId="77777777" w:rsidR="001A4EFF" w:rsidRPr="0058536A" w:rsidRDefault="001A4EFF" w:rsidP="001A4EFF">
            <w:pPr>
              <w:spacing w:line="360" w:lineRule="auto"/>
              <w:rPr>
                <w:color w:val="0D0D0D" w:themeColor="text1" w:themeTint="F2"/>
              </w:rPr>
            </w:pPr>
          </w:p>
        </w:tc>
        <w:tc>
          <w:tcPr>
            <w:tcW w:w="877" w:type="pct"/>
            <w:vMerge/>
            <w:shd w:val="clear" w:color="auto" w:fill="C5E0B3" w:themeFill="accent6" w:themeFillTint="66"/>
          </w:tcPr>
          <w:p w14:paraId="623CC900" w14:textId="77777777" w:rsidR="001A4EFF" w:rsidRPr="0058536A" w:rsidRDefault="001A4EFF" w:rsidP="001A4EFF">
            <w:pPr>
              <w:spacing w:line="360" w:lineRule="auto"/>
              <w:rPr>
                <w:color w:val="0D0D0D" w:themeColor="text1" w:themeTint="F2"/>
              </w:rPr>
            </w:pPr>
          </w:p>
        </w:tc>
      </w:tr>
      <w:tr w:rsidR="001A4EFF" w:rsidRPr="0058536A" w14:paraId="2B225A0B" w14:textId="77777777" w:rsidTr="001A4EFF">
        <w:trPr>
          <w:trHeight w:val="20"/>
        </w:trPr>
        <w:tc>
          <w:tcPr>
            <w:tcW w:w="875" w:type="pct"/>
            <w:shd w:val="clear" w:color="auto" w:fill="F7CAAC" w:themeFill="accent2" w:themeFillTint="66"/>
          </w:tcPr>
          <w:p w14:paraId="5526167C"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XMN1</w:t>
            </w:r>
          </w:p>
          <w:p w14:paraId="31397C3F"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(HBG2 c.-211 C—&gt;T)</w:t>
            </w:r>
          </w:p>
        </w:tc>
        <w:tc>
          <w:tcPr>
            <w:tcW w:w="739" w:type="pct"/>
            <w:shd w:val="clear" w:color="auto" w:fill="F7CAAC" w:themeFill="accent2" w:themeFillTint="66"/>
            <w:vAlign w:val="center"/>
          </w:tcPr>
          <w:p w14:paraId="056057A1"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CC</w:t>
            </w:r>
          </w:p>
        </w:tc>
        <w:tc>
          <w:tcPr>
            <w:tcW w:w="556" w:type="pct"/>
            <w:shd w:val="clear" w:color="auto" w:fill="F7CAAC" w:themeFill="accent2" w:themeFillTint="66"/>
            <w:vAlign w:val="center"/>
          </w:tcPr>
          <w:p w14:paraId="5C0E6DB0"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CT</w:t>
            </w:r>
          </w:p>
        </w:tc>
        <w:tc>
          <w:tcPr>
            <w:tcW w:w="455" w:type="pct"/>
            <w:shd w:val="clear" w:color="auto" w:fill="F7CAAC" w:themeFill="accent2" w:themeFillTint="66"/>
            <w:vAlign w:val="center"/>
          </w:tcPr>
          <w:p w14:paraId="3092ED9A"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TT</w:t>
            </w:r>
          </w:p>
        </w:tc>
        <w:tc>
          <w:tcPr>
            <w:tcW w:w="453" w:type="pct"/>
            <w:shd w:val="clear" w:color="auto" w:fill="F7CAAC" w:themeFill="accent2" w:themeFillTint="66"/>
            <w:vAlign w:val="center"/>
          </w:tcPr>
          <w:p w14:paraId="0FB1FFAB"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C</w:t>
            </w:r>
          </w:p>
        </w:tc>
        <w:tc>
          <w:tcPr>
            <w:tcW w:w="453" w:type="pct"/>
            <w:shd w:val="clear" w:color="auto" w:fill="F7CAAC" w:themeFill="accent2" w:themeFillTint="66"/>
            <w:vAlign w:val="center"/>
          </w:tcPr>
          <w:p w14:paraId="3AAA0AFA" w14:textId="77777777" w:rsidR="001A4EFF" w:rsidRPr="0058536A" w:rsidRDefault="001A4EFF" w:rsidP="001A4EFF">
            <w:pPr>
              <w:spacing w:line="360" w:lineRule="auto"/>
              <w:jc w:val="center"/>
              <w:rPr>
                <w:b/>
                <w:bCs/>
                <w:color w:val="0D0D0D" w:themeColor="text1" w:themeTint="F2"/>
              </w:rPr>
            </w:pPr>
            <w:r w:rsidRPr="0058536A">
              <w:rPr>
                <w:b/>
                <w:bCs/>
                <w:color w:val="0D0D0D" w:themeColor="text1" w:themeTint="F2"/>
              </w:rPr>
              <w:t>T</w:t>
            </w:r>
          </w:p>
        </w:tc>
        <w:tc>
          <w:tcPr>
            <w:tcW w:w="592" w:type="pct"/>
            <w:vMerge w:val="restart"/>
            <w:shd w:val="clear" w:color="auto" w:fill="F7CAAC" w:themeFill="accent2" w:themeFillTint="66"/>
            <w:vAlign w:val="center"/>
          </w:tcPr>
          <w:p w14:paraId="2873FA14" w14:textId="77777777" w:rsidR="001A4EFF" w:rsidRPr="0058536A" w:rsidRDefault="001A4EFF" w:rsidP="001A4EFF">
            <w:pPr>
              <w:spacing w:line="360" w:lineRule="auto"/>
              <w:jc w:val="center"/>
              <w:rPr>
                <w:b/>
                <w:color w:val="0D0D0D" w:themeColor="text1" w:themeTint="F2"/>
              </w:rPr>
            </w:pPr>
          </w:p>
          <w:p w14:paraId="044DA244" w14:textId="77777777" w:rsidR="001A4EFF" w:rsidRPr="0058536A" w:rsidRDefault="001A4EFF" w:rsidP="001A4EFF">
            <w:pPr>
              <w:spacing w:line="360" w:lineRule="auto"/>
              <w:jc w:val="center"/>
              <w:rPr>
                <w:b/>
                <w:color w:val="0D0D0D" w:themeColor="text1" w:themeTint="F2"/>
              </w:rPr>
            </w:pPr>
          </w:p>
          <w:p w14:paraId="3156CBBE" w14:textId="77777777" w:rsidR="001A4EFF" w:rsidRPr="0058536A" w:rsidRDefault="001A4EFF" w:rsidP="001A4EFF">
            <w:pPr>
              <w:spacing w:line="360" w:lineRule="auto"/>
              <w:jc w:val="center"/>
              <w:rPr>
                <w:b/>
                <w:color w:val="0D0D0D" w:themeColor="text1" w:themeTint="F2"/>
              </w:rPr>
            </w:pPr>
            <w:r w:rsidRPr="0058536A">
              <w:rPr>
                <w:b/>
                <w:color w:val="0D0D0D" w:themeColor="text1" w:themeTint="F2"/>
              </w:rPr>
              <w:t>P=0.001</w:t>
            </w:r>
          </w:p>
        </w:tc>
        <w:tc>
          <w:tcPr>
            <w:tcW w:w="877" w:type="pct"/>
            <w:vMerge w:val="restart"/>
            <w:shd w:val="clear" w:color="auto" w:fill="F7CAAC" w:themeFill="accent2" w:themeFillTint="66"/>
            <w:vAlign w:val="center"/>
          </w:tcPr>
          <w:p w14:paraId="69D304F9" w14:textId="77777777" w:rsidR="001A4EFF" w:rsidRPr="0058536A" w:rsidRDefault="001A4EFF" w:rsidP="001A4EFF">
            <w:pPr>
              <w:spacing w:line="360" w:lineRule="auto"/>
              <w:jc w:val="center"/>
              <w:rPr>
                <w:color w:val="0D0D0D" w:themeColor="text1" w:themeTint="F2"/>
              </w:rPr>
            </w:pPr>
          </w:p>
          <w:p w14:paraId="5F72B33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0.001</w:t>
            </w:r>
          </w:p>
          <w:p w14:paraId="4E51973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(0.0001-0.01)</w:t>
            </w:r>
          </w:p>
        </w:tc>
      </w:tr>
      <w:tr w:rsidR="001A4EFF" w:rsidRPr="0058536A" w14:paraId="2E2C490A" w14:textId="77777777" w:rsidTr="001A4EFF">
        <w:trPr>
          <w:trHeight w:val="20"/>
        </w:trPr>
        <w:tc>
          <w:tcPr>
            <w:tcW w:w="875" w:type="pct"/>
            <w:shd w:val="clear" w:color="auto" w:fill="F7CAAC" w:themeFill="accent2" w:themeFillTint="66"/>
          </w:tcPr>
          <w:p w14:paraId="5FE51BA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SCD </w:t>
            </w:r>
          </w:p>
          <w:p w14:paraId="7362D6B1"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(n=30)</w:t>
            </w:r>
          </w:p>
        </w:tc>
        <w:tc>
          <w:tcPr>
            <w:tcW w:w="739" w:type="pct"/>
            <w:shd w:val="clear" w:color="auto" w:fill="F7CAAC" w:themeFill="accent2" w:themeFillTint="66"/>
            <w:vAlign w:val="center"/>
          </w:tcPr>
          <w:p w14:paraId="31D33C43"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w:t>
            </w:r>
          </w:p>
        </w:tc>
        <w:tc>
          <w:tcPr>
            <w:tcW w:w="556" w:type="pct"/>
            <w:shd w:val="clear" w:color="auto" w:fill="F7CAAC" w:themeFill="accent2" w:themeFillTint="66"/>
          </w:tcPr>
          <w:p w14:paraId="0FBBA8D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1 </w:t>
            </w:r>
          </w:p>
          <w:p w14:paraId="2D48F30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(0.03)</w:t>
            </w:r>
          </w:p>
        </w:tc>
        <w:tc>
          <w:tcPr>
            <w:tcW w:w="455" w:type="pct"/>
            <w:shd w:val="clear" w:color="auto" w:fill="F7CAAC" w:themeFill="accent2" w:themeFillTint="66"/>
            <w:vAlign w:val="center"/>
          </w:tcPr>
          <w:p w14:paraId="62A14DB4"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29 (0.96)</w:t>
            </w:r>
          </w:p>
        </w:tc>
        <w:tc>
          <w:tcPr>
            <w:tcW w:w="453" w:type="pct"/>
            <w:shd w:val="clear" w:color="auto" w:fill="F7CAAC" w:themeFill="accent2" w:themeFillTint="66"/>
          </w:tcPr>
          <w:p w14:paraId="612EE8A0"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1 (0.01)</w:t>
            </w:r>
          </w:p>
        </w:tc>
        <w:tc>
          <w:tcPr>
            <w:tcW w:w="453" w:type="pct"/>
            <w:shd w:val="clear" w:color="auto" w:fill="F7CAAC" w:themeFill="accent2" w:themeFillTint="66"/>
          </w:tcPr>
          <w:p w14:paraId="5F9F341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59 </w:t>
            </w:r>
          </w:p>
          <w:p w14:paraId="799E3AC2"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(0.98)</w:t>
            </w:r>
          </w:p>
        </w:tc>
        <w:tc>
          <w:tcPr>
            <w:tcW w:w="592" w:type="pct"/>
            <w:vMerge/>
            <w:shd w:val="clear" w:color="auto" w:fill="C5E0B3" w:themeFill="accent6" w:themeFillTint="66"/>
            <w:vAlign w:val="center"/>
          </w:tcPr>
          <w:p w14:paraId="46410D9A" w14:textId="77777777" w:rsidR="001A4EFF" w:rsidRPr="0058536A" w:rsidRDefault="001A4EFF" w:rsidP="001A4EFF">
            <w:pPr>
              <w:spacing w:line="360" w:lineRule="auto"/>
              <w:jc w:val="center"/>
              <w:rPr>
                <w:color w:val="0D0D0D" w:themeColor="text1" w:themeTint="F2"/>
              </w:rPr>
            </w:pPr>
          </w:p>
        </w:tc>
        <w:tc>
          <w:tcPr>
            <w:tcW w:w="877" w:type="pct"/>
            <w:vMerge/>
            <w:shd w:val="clear" w:color="auto" w:fill="C5E0B3" w:themeFill="accent6" w:themeFillTint="66"/>
            <w:vAlign w:val="center"/>
          </w:tcPr>
          <w:p w14:paraId="48B3A0CA" w14:textId="77777777" w:rsidR="001A4EFF" w:rsidRPr="0058536A" w:rsidRDefault="001A4EFF" w:rsidP="001A4EFF">
            <w:pPr>
              <w:spacing w:line="360" w:lineRule="auto"/>
              <w:jc w:val="center"/>
              <w:rPr>
                <w:color w:val="0D0D0D" w:themeColor="text1" w:themeTint="F2"/>
              </w:rPr>
            </w:pPr>
          </w:p>
        </w:tc>
      </w:tr>
      <w:tr w:rsidR="001A4EFF" w:rsidRPr="0058536A" w14:paraId="416BE2D9" w14:textId="77777777" w:rsidTr="001A4EFF">
        <w:trPr>
          <w:trHeight w:val="20"/>
        </w:trPr>
        <w:tc>
          <w:tcPr>
            <w:tcW w:w="875" w:type="pct"/>
            <w:shd w:val="clear" w:color="auto" w:fill="F7CAAC" w:themeFill="accent2" w:themeFillTint="66"/>
          </w:tcPr>
          <w:p w14:paraId="73FACE6F"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Control (n=30)</w:t>
            </w:r>
          </w:p>
        </w:tc>
        <w:tc>
          <w:tcPr>
            <w:tcW w:w="739" w:type="pct"/>
            <w:shd w:val="clear" w:color="auto" w:fill="F7CAAC" w:themeFill="accent2" w:themeFillTint="66"/>
          </w:tcPr>
          <w:p w14:paraId="77CE754D"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26 </w:t>
            </w:r>
          </w:p>
          <w:p w14:paraId="46770A47"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(0.86)</w:t>
            </w:r>
          </w:p>
        </w:tc>
        <w:tc>
          <w:tcPr>
            <w:tcW w:w="556" w:type="pct"/>
            <w:shd w:val="clear" w:color="auto" w:fill="F7CAAC" w:themeFill="accent2" w:themeFillTint="66"/>
          </w:tcPr>
          <w:p w14:paraId="5FD210A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4 </w:t>
            </w:r>
          </w:p>
          <w:p w14:paraId="18D57564"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(0.13)</w:t>
            </w:r>
          </w:p>
        </w:tc>
        <w:tc>
          <w:tcPr>
            <w:tcW w:w="455" w:type="pct"/>
            <w:shd w:val="clear" w:color="auto" w:fill="F7CAAC" w:themeFill="accent2" w:themeFillTint="66"/>
            <w:vAlign w:val="center"/>
          </w:tcPr>
          <w:p w14:paraId="500542F0"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w:t>
            </w:r>
          </w:p>
        </w:tc>
        <w:tc>
          <w:tcPr>
            <w:tcW w:w="453" w:type="pct"/>
            <w:shd w:val="clear" w:color="auto" w:fill="F7CAAC" w:themeFill="accent2" w:themeFillTint="66"/>
          </w:tcPr>
          <w:p w14:paraId="74E5C135"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56 </w:t>
            </w:r>
          </w:p>
          <w:p w14:paraId="2D320E28"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(0.93)</w:t>
            </w:r>
          </w:p>
        </w:tc>
        <w:tc>
          <w:tcPr>
            <w:tcW w:w="453" w:type="pct"/>
            <w:shd w:val="clear" w:color="auto" w:fill="F7CAAC" w:themeFill="accent2" w:themeFillTint="66"/>
          </w:tcPr>
          <w:p w14:paraId="7455F0C4"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 xml:space="preserve">4 </w:t>
            </w:r>
          </w:p>
          <w:p w14:paraId="2002800C" w14:textId="77777777" w:rsidR="001A4EFF" w:rsidRPr="0058536A" w:rsidRDefault="001A4EFF" w:rsidP="001A4EFF">
            <w:pPr>
              <w:spacing w:line="360" w:lineRule="auto"/>
              <w:jc w:val="center"/>
              <w:rPr>
                <w:color w:val="0D0D0D" w:themeColor="text1" w:themeTint="F2"/>
              </w:rPr>
            </w:pPr>
            <w:r w:rsidRPr="0058536A">
              <w:rPr>
                <w:color w:val="0D0D0D" w:themeColor="text1" w:themeTint="F2"/>
              </w:rPr>
              <w:t>(0.06)</w:t>
            </w:r>
          </w:p>
        </w:tc>
        <w:tc>
          <w:tcPr>
            <w:tcW w:w="592" w:type="pct"/>
            <w:vMerge/>
            <w:shd w:val="clear" w:color="auto" w:fill="C5E0B3" w:themeFill="accent6" w:themeFillTint="66"/>
            <w:vAlign w:val="center"/>
          </w:tcPr>
          <w:p w14:paraId="1AF7151E" w14:textId="77777777" w:rsidR="001A4EFF" w:rsidRPr="0058536A" w:rsidRDefault="001A4EFF" w:rsidP="001A4EFF">
            <w:pPr>
              <w:spacing w:line="360" w:lineRule="auto"/>
              <w:jc w:val="center"/>
              <w:rPr>
                <w:color w:val="0D0D0D" w:themeColor="text1" w:themeTint="F2"/>
              </w:rPr>
            </w:pPr>
          </w:p>
        </w:tc>
        <w:tc>
          <w:tcPr>
            <w:tcW w:w="877" w:type="pct"/>
            <w:vMerge/>
            <w:shd w:val="clear" w:color="auto" w:fill="C5E0B3" w:themeFill="accent6" w:themeFillTint="66"/>
            <w:vAlign w:val="center"/>
          </w:tcPr>
          <w:p w14:paraId="13F1E1B0" w14:textId="77777777" w:rsidR="001A4EFF" w:rsidRPr="0058536A" w:rsidRDefault="001A4EFF" w:rsidP="001A4EFF">
            <w:pPr>
              <w:spacing w:line="360" w:lineRule="auto"/>
              <w:jc w:val="center"/>
              <w:rPr>
                <w:color w:val="0D0D0D" w:themeColor="text1" w:themeTint="F2"/>
              </w:rPr>
            </w:pPr>
          </w:p>
        </w:tc>
      </w:tr>
    </w:tbl>
    <w:p w14:paraId="30C4E7F1" w14:textId="5A8FD65D" w:rsidR="001A4EFF" w:rsidRPr="00B24511" w:rsidRDefault="001A4EFF" w:rsidP="001A4EFF">
      <w:pPr>
        <w:autoSpaceDE w:val="0"/>
        <w:autoSpaceDN w:val="0"/>
        <w:adjustRightInd w:val="0"/>
        <w:spacing w:line="360" w:lineRule="auto"/>
        <w:ind w:left="360"/>
        <w:jc w:val="both"/>
        <w:rPr>
          <w:iCs/>
          <w:color w:val="0D0D0D" w:themeColor="text1" w:themeTint="F2"/>
        </w:rPr>
      </w:pPr>
      <w:r w:rsidRPr="00D05289">
        <w:rPr>
          <w:b/>
          <w:bCs/>
          <w:iCs/>
          <w:color w:val="0D0D0D" w:themeColor="text1" w:themeTint="F2"/>
        </w:rPr>
        <w:t>Supplementary Table1:</w:t>
      </w:r>
      <w:r w:rsidRPr="00B24511">
        <w:rPr>
          <w:iCs/>
          <w:color w:val="0D0D0D" w:themeColor="text1" w:themeTint="F2"/>
        </w:rPr>
        <w:t xml:space="preserve"> Polymorphic variations in BCL11A, HBS1L-MYB, </w:t>
      </w:r>
      <w:r w:rsidRPr="00B24511">
        <w:rPr>
          <w:rFonts w:eastAsiaTheme="minorHAnsi"/>
          <w:iCs/>
          <w:color w:val="0D0D0D" w:themeColor="text1" w:themeTint="F2"/>
          <w:lang w:val="en-GB" w:eastAsia="en-US"/>
        </w:rPr>
        <w:t>γ globin promoter region polymorphism</w:t>
      </w:r>
    </w:p>
    <w:p w14:paraId="45919CF5" w14:textId="77777777" w:rsidR="001A4EFF" w:rsidRPr="0058536A" w:rsidRDefault="001A4EFF" w:rsidP="001A4EFF">
      <w:pPr>
        <w:spacing w:line="360" w:lineRule="auto"/>
        <w:jc w:val="both"/>
        <w:rPr>
          <w:b/>
          <w:bCs/>
          <w:color w:val="0D0D0D" w:themeColor="text1" w:themeTint="F2"/>
        </w:rPr>
      </w:pPr>
    </w:p>
    <w:p w14:paraId="65B6699A" w14:textId="13B7437A" w:rsidR="001A4EFF" w:rsidRPr="00B24511" w:rsidRDefault="001A4EFF" w:rsidP="001A4EFF">
      <w:pPr>
        <w:spacing w:line="360" w:lineRule="auto"/>
        <w:jc w:val="center"/>
        <w:rPr>
          <w:iCs/>
          <w:color w:val="0D0D0D" w:themeColor="text1" w:themeTint="F2"/>
        </w:rPr>
      </w:pPr>
      <w:r w:rsidRPr="00D05289">
        <w:rPr>
          <w:b/>
          <w:bCs/>
          <w:iCs/>
          <w:color w:val="0D0D0D" w:themeColor="text1" w:themeTint="F2"/>
        </w:rPr>
        <w:lastRenderedPageBreak/>
        <w:t>Supplementary Table 2:</w:t>
      </w:r>
      <w:r w:rsidRPr="00B24511">
        <w:rPr>
          <w:iCs/>
          <w:color w:val="0D0D0D" w:themeColor="text1" w:themeTint="F2"/>
        </w:rPr>
        <w:t xml:space="preserve"> Effect of associated alpha thalassemia on the </w:t>
      </w:r>
      <w:proofErr w:type="spellStart"/>
      <w:r w:rsidRPr="00B24511">
        <w:rPr>
          <w:iCs/>
          <w:color w:val="0D0D0D" w:themeColor="text1" w:themeTint="F2"/>
        </w:rPr>
        <w:t>hematological</w:t>
      </w:r>
      <w:proofErr w:type="spellEnd"/>
      <w:r w:rsidRPr="00B24511">
        <w:rPr>
          <w:iCs/>
          <w:color w:val="0D0D0D" w:themeColor="text1" w:themeTint="F2"/>
        </w:rPr>
        <w:t xml:space="preserve"> parameters in SCD patients</w:t>
      </w:r>
    </w:p>
    <w:p w14:paraId="21FE206C" w14:textId="77777777" w:rsidR="001A4EFF" w:rsidRPr="0058536A" w:rsidRDefault="001A4EFF" w:rsidP="001A4EFF">
      <w:pPr>
        <w:spacing w:line="360" w:lineRule="auto"/>
        <w:rPr>
          <w:b/>
          <w:bCs/>
          <w:i/>
          <w:color w:val="0D0D0D" w:themeColor="text1" w:themeTint="F2"/>
        </w:rPr>
      </w:pPr>
    </w:p>
    <w:tbl>
      <w:tblPr>
        <w:tblStyle w:val="TableGrid"/>
        <w:tblW w:w="0" w:type="auto"/>
        <w:jc w:val="center"/>
        <w:tblLayout w:type="fixed"/>
        <w:tblLook w:val="04A0" w:firstRow="1" w:lastRow="0" w:firstColumn="1" w:lastColumn="0" w:noHBand="0" w:noVBand="1"/>
      </w:tblPr>
      <w:tblGrid>
        <w:gridCol w:w="2124"/>
        <w:gridCol w:w="2162"/>
        <w:gridCol w:w="2161"/>
        <w:gridCol w:w="1235"/>
      </w:tblGrid>
      <w:tr w:rsidR="001A4EFF" w:rsidRPr="0058536A" w14:paraId="04D14F4F" w14:textId="77777777" w:rsidTr="00E8457D">
        <w:trPr>
          <w:trHeight w:val="1303"/>
          <w:jc w:val="center"/>
        </w:trPr>
        <w:tc>
          <w:tcPr>
            <w:tcW w:w="2124" w:type="dxa"/>
            <w:shd w:val="clear" w:color="auto" w:fill="FFF2CC" w:themeFill="accent4" w:themeFillTint="33"/>
            <w:vAlign w:val="center"/>
          </w:tcPr>
          <w:p w14:paraId="2D2EA328"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Haematological parameters</w:t>
            </w:r>
          </w:p>
        </w:tc>
        <w:tc>
          <w:tcPr>
            <w:tcW w:w="2162" w:type="dxa"/>
            <w:shd w:val="clear" w:color="auto" w:fill="FFF2CC" w:themeFill="accent4" w:themeFillTint="33"/>
            <w:vAlign w:val="center"/>
          </w:tcPr>
          <w:p w14:paraId="7135F9CA"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SCD patients without alpha thalassemia trait</w:t>
            </w:r>
          </w:p>
          <w:p w14:paraId="3EBCA66E"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 xml:space="preserve">N=14 Median </w:t>
            </w:r>
          </w:p>
        </w:tc>
        <w:tc>
          <w:tcPr>
            <w:tcW w:w="2161" w:type="dxa"/>
            <w:shd w:val="clear" w:color="auto" w:fill="FFF2CC" w:themeFill="accent4" w:themeFillTint="33"/>
            <w:vAlign w:val="center"/>
          </w:tcPr>
          <w:p w14:paraId="6649A11A"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SCD patients with alpha thalassemia deletion</w:t>
            </w:r>
          </w:p>
          <w:p w14:paraId="31B645CD"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 xml:space="preserve">N=16 Median </w:t>
            </w:r>
          </w:p>
        </w:tc>
        <w:tc>
          <w:tcPr>
            <w:tcW w:w="1235" w:type="dxa"/>
            <w:shd w:val="clear" w:color="auto" w:fill="FFF2CC" w:themeFill="accent4" w:themeFillTint="33"/>
            <w:vAlign w:val="center"/>
          </w:tcPr>
          <w:p w14:paraId="38A09DC5" w14:textId="77777777" w:rsidR="001A4EFF" w:rsidRPr="0058536A" w:rsidRDefault="001A4EFF" w:rsidP="00E8457D">
            <w:pPr>
              <w:spacing w:line="360" w:lineRule="auto"/>
              <w:jc w:val="center"/>
              <w:rPr>
                <w:b/>
                <w:bCs/>
                <w:i/>
                <w:iCs/>
                <w:color w:val="0D0D0D" w:themeColor="text1" w:themeTint="F2"/>
              </w:rPr>
            </w:pPr>
            <w:r w:rsidRPr="0058536A">
              <w:rPr>
                <w:b/>
                <w:bCs/>
                <w:i/>
                <w:iCs/>
                <w:color w:val="0D0D0D" w:themeColor="text1" w:themeTint="F2"/>
              </w:rPr>
              <w:t>P value</w:t>
            </w:r>
          </w:p>
        </w:tc>
      </w:tr>
      <w:tr w:rsidR="001A4EFF" w:rsidRPr="0058536A" w14:paraId="1951436A" w14:textId="77777777" w:rsidTr="00E8457D">
        <w:trPr>
          <w:trHeight w:val="640"/>
          <w:jc w:val="center"/>
        </w:trPr>
        <w:tc>
          <w:tcPr>
            <w:tcW w:w="2124" w:type="dxa"/>
            <w:shd w:val="clear" w:color="auto" w:fill="FFF2CC" w:themeFill="accent4" w:themeFillTint="33"/>
            <w:vAlign w:val="center"/>
          </w:tcPr>
          <w:p w14:paraId="6CDC3AC6"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WBC (x103/</w:t>
            </w:r>
            <w:r w:rsidRPr="0058536A">
              <w:rPr>
                <w:b/>
                <w:bCs/>
                <w:color w:val="0D0D0D" w:themeColor="text1" w:themeTint="F2"/>
                <w:shd w:val="clear" w:color="auto" w:fill="FFF2CC" w:themeFill="accent4" w:themeFillTint="33"/>
              </w:rPr>
              <w:t>µ</w:t>
            </w:r>
            <w:r w:rsidRPr="0058536A">
              <w:rPr>
                <w:b/>
                <w:bCs/>
                <w:color w:val="0D0D0D" w:themeColor="text1" w:themeTint="F2"/>
              </w:rPr>
              <w:t>L)</w:t>
            </w:r>
          </w:p>
        </w:tc>
        <w:tc>
          <w:tcPr>
            <w:tcW w:w="2162" w:type="dxa"/>
            <w:vAlign w:val="center"/>
          </w:tcPr>
          <w:p w14:paraId="57C7BD28"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11.3 </w:t>
            </w:r>
          </w:p>
        </w:tc>
        <w:tc>
          <w:tcPr>
            <w:tcW w:w="2161" w:type="dxa"/>
            <w:vAlign w:val="center"/>
          </w:tcPr>
          <w:p w14:paraId="24B091DB"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9.15 </w:t>
            </w:r>
          </w:p>
        </w:tc>
        <w:tc>
          <w:tcPr>
            <w:tcW w:w="1235" w:type="dxa"/>
            <w:vAlign w:val="center"/>
          </w:tcPr>
          <w:p w14:paraId="24D84EBC" w14:textId="77777777" w:rsidR="001A4EFF" w:rsidRPr="0058536A" w:rsidRDefault="001A4EFF" w:rsidP="00E8457D">
            <w:pPr>
              <w:spacing w:line="360" w:lineRule="auto"/>
              <w:jc w:val="center"/>
              <w:rPr>
                <w:b/>
                <w:bCs/>
                <w:iCs/>
                <w:color w:val="0D0D0D" w:themeColor="text1" w:themeTint="F2"/>
              </w:rPr>
            </w:pPr>
            <w:r w:rsidRPr="0058536A">
              <w:rPr>
                <w:b/>
                <w:bCs/>
                <w:iCs/>
                <w:color w:val="0D0D0D" w:themeColor="text1" w:themeTint="F2"/>
              </w:rPr>
              <w:t>0.04</w:t>
            </w:r>
          </w:p>
        </w:tc>
      </w:tr>
      <w:tr w:rsidR="001A4EFF" w:rsidRPr="0058536A" w14:paraId="3C4FB648" w14:textId="77777777" w:rsidTr="00E8457D">
        <w:trPr>
          <w:trHeight w:val="640"/>
          <w:jc w:val="center"/>
        </w:trPr>
        <w:tc>
          <w:tcPr>
            <w:tcW w:w="2124" w:type="dxa"/>
            <w:shd w:val="clear" w:color="auto" w:fill="FFF2CC" w:themeFill="accent4" w:themeFillTint="33"/>
            <w:vAlign w:val="center"/>
          </w:tcPr>
          <w:p w14:paraId="5D93E710"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RBC (x106</w:t>
            </w:r>
            <w:r w:rsidRPr="0058536A">
              <w:rPr>
                <w:b/>
                <w:bCs/>
                <w:color w:val="0D0D0D" w:themeColor="text1" w:themeTint="F2"/>
                <w:shd w:val="clear" w:color="auto" w:fill="FFF2CC" w:themeFill="accent4" w:themeFillTint="33"/>
              </w:rPr>
              <w:t>/µL)</w:t>
            </w:r>
          </w:p>
        </w:tc>
        <w:tc>
          <w:tcPr>
            <w:tcW w:w="2162" w:type="dxa"/>
            <w:vAlign w:val="center"/>
          </w:tcPr>
          <w:p w14:paraId="0E143B70"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3.13</w:t>
            </w:r>
          </w:p>
        </w:tc>
        <w:tc>
          <w:tcPr>
            <w:tcW w:w="2161" w:type="dxa"/>
            <w:vAlign w:val="center"/>
          </w:tcPr>
          <w:p w14:paraId="3938FD5F"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3.65 </w:t>
            </w:r>
          </w:p>
        </w:tc>
        <w:tc>
          <w:tcPr>
            <w:tcW w:w="1235" w:type="dxa"/>
            <w:vAlign w:val="center"/>
          </w:tcPr>
          <w:p w14:paraId="5A5CFC81" w14:textId="77777777" w:rsidR="001A4EFF" w:rsidRPr="0058536A" w:rsidRDefault="001A4EFF" w:rsidP="00E8457D">
            <w:pPr>
              <w:spacing w:line="360" w:lineRule="auto"/>
              <w:jc w:val="center"/>
              <w:rPr>
                <w:b/>
                <w:bCs/>
                <w:iCs/>
                <w:color w:val="0D0D0D" w:themeColor="text1" w:themeTint="F2"/>
              </w:rPr>
            </w:pPr>
            <w:r w:rsidRPr="0058536A">
              <w:rPr>
                <w:b/>
                <w:bCs/>
                <w:iCs/>
                <w:color w:val="0D0D0D" w:themeColor="text1" w:themeTint="F2"/>
              </w:rPr>
              <w:t>0.05</w:t>
            </w:r>
          </w:p>
        </w:tc>
      </w:tr>
      <w:tr w:rsidR="001A4EFF" w:rsidRPr="0058536A" w14:paraId="2B11720A" w14:textId="77777777" w:rsidTr="00E8457D">
        <w:trPr>
          <w:trHeight w:val="640"/>
          <w:jc w:val="center"/>
        </w:trPr>
        <w:tc>
          <w:tcPr>
            <w:tcW w:w="2124" w:type="dxa"/>
            <w:shd w:val="clear" w:color="auto" w:fill="FFF2CC" w:themeFill="accent4" w:themeFillTint="33"/>
            <w:vAlign w:val="center"/>
          </w:tcPr>
          <w:p w14:paraId="5910C4B1"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Hb (g/dL)</w:t>
            </w:r>
          </w:p>
        </w:tc>
        <w:tc>
          <w:tcPr>
            <w:tcW w:w="2162" w:type="dxa"/>
            <w:vAlign w:val="center"/>
          </w:tcPr>
          <w:p w14:paraId="7356A0A6"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7.9 </w:t>
            </w:r>
          </w:p>
        </w:tc>
        <w:tc>
          <w:tcPr>
            <w:tcW w:w="2161" w:type="dxa"/>
            <w:vAlign w:val="center"/>
          </w:tcPr>
          <w:p w14:paraId="5D5E0527"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10.95 </w:t>
            </w:r>
          </w:p>
        </w:tc>
        <w:tc>
          <w:tcPr>
            <w:tcW w:w="1235" w:type="dxa"/>
            <w:vAlign w:val="center"/>
          </w:tcPr>
          <w:p w14:paraId="7AF884F4"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0.05</w:t>
            </w:r>
          </w:p>
        </w:tc>
      </w:tr>
      <w:tr w:rsidR="001A4EFF" w:rsidRPr="0058536A" w14:paraId="40AEF775" w14:textId="77777777" w:rsidTr="00E8457D">
        <w:trPr>
          <w:trHeight w:val="640"/>
          <w:jc w:val="center"/>
        </w:trPr>
        <w:tc>
          <w:tcPr>
            <w:tcW w:w="2124" w:type="dxa"/>
            <w:shd w:val="clear" w:color="auto" w:fill="FFF2CC" w:themeFill="accent4" w:themeFillTint="33"/>
            <w:vAlign w:val="center"/>
          </w:tcPr>
          <w:p w14:paraId="5750A49A"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MCV (</w:t>
            </w:r>
            <w:proofErr w:type="spellStart"/>
            <w:r w:rsidRPr="0058536A">
              <w:rPr>
                <w:b/>
                <w:bCs/>
                <w:color w:val="0D0D0D" w:themeColor="text1" w:themeTint="F2"/>
              </w:rPr>
              <w:t>fL</w:t>
            </w:r>
            <w:proofErr w:type="spellEnd"/>
            <w:r w:rsidRPr="0058536A">
              <w:rPr>
                <w:b/>
                <w:bCs/>
                <w:color w:val="0D0D0D" w:themeColor="text1" w:themeTint="F2"/>
              </w:rPr>
              <w:t>)</w:t>
            </w:r>
          </w:p>
        </w:tc>
        <w:tc>
          <w:tcPr>
            <w:tcW w:w="2162" w:type="dxa"/>
            <w:vAlign w:val="center"/>
          </w:tcPr>
          <w:p w14:paraId="4BC77FE9"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78.4 </w:t>
            </w:r>
          </w:p>
        </w:tc>
        <w:tc>
          <w:tcPr>
            <w:tcW w:w="2161" w:type="dxa"/>
            <w:vAlign w:val="center"/>
          </w:tcPr>
          <w:p w14:paraId="3F82F0ED"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86.04 </w:t>
            </w:r>
          </w:p>
        </w:tc>
        <w:tc>
          <w:tcPr>
            <w:tcW w:w="1235" w:type="dxa"/>
            <w:vAlign w:val="center"/>
          </w:tcPr>
          <w:p w14:paraId="1D61816D"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0.00004</w:t>
            </w:r>
          </w:p>
        </w:tc>
      </w:tr>
      <w:tr w:rsidR="001A4EFF" w:rsidRPr="0058536A" w14:paraId="00D38AE5" w14:textId="77777777" w:rsidTr="00E8457D">
        <w:trPr>
          <w:trHeight w:val="640"/>
          <w:jc w:val="center"/>
        </w:trPr>
        <w:tc>
          <w:tcPr>
            <w:tcW w:w="2124" w:type="dxa"/>
            <w:shd w:val="clear" w:color="auto" w:fill="FFF2CC" w:themeFill="accent4" w:themeFillTint="33"/>
            <w:vAlign w:val="center"/>
          </w:tcPr>
          <w:p w14:paraId="13581A93"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MCH (g/dL)</w:t>
            </w:r>
          </w:p>
        </w:tc>
        <w:tc>
          <w:tcPr>
            <w:tcW w:w="2162" w:type="dxa"/>
            <w:vAlign w:val="center"/>
          </w:tcPr>
          <w:p w14:paraId="36002F6D"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24.85 </w:t>
            </w:r>
          </w:p>
        </w:tc>
        <w:tc>
          <w:tcPr>
            <w:tcW w:w="2161" w:type="dxa"/>
            <w:vAlign w:val="center"/>
          </w:tcPr>
          <w:p w14:paraId="40284103"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29.64 </w:t>
            </w:r>
          </w:p>
        </w:tc>
        <w:tc>
          <w:tcPr>
            <w:tcW w:w="1235" w:type="dxa"/>
            <w:vAlign w:val="center"/>
          </w:tcPr>
          <w:p w14:paraId="6352F6D1"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0.00002</w:t>
            </w:r>
          </w:p>
        </w:tc>
      </w:tr>
      <w:tr w:rsidR="001A4EFF" w:rsidRPr="0058536A" w14:paraId="07A9A454" w14:textId="77777777" w:rsidTr="00E8457D">
        <w:trPr>
          <w:trHeight w:val="640"/>
          <w:jc w:val="center"/>
        </w:trPr>
        <w:tc>
          <w:tcPr>
            <w:tcW w:w="2124" w:type="dxa"/>
            <w:shd w:val="clear" w:color="auto" w:fill="FFF2CC" w:themeFill="accent4" w:themeFillTint="33"/>
            <w:vAlign w:val="center"/>
          </w:tcPr>
          <w:p w14:paraId="4E8413EF"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HbF (%)</w:t>
            </w:r>
          </w:p>
        </w:tc>
        <w:tc>
          <w:tcPr>
            <w:tcW w:w="2162" w:type="dxa"/>
            <w:vAlign w:val="center"/>
          </w:tcPr>
          <w:p w14:paraId="3BFDA020"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15.66 </w:t>
            </w:r>
          </w:p>
        </w:tc>
        <w:tc>
          <w:tcPr>
            <w:tcW w:w="2161" w:type="dxa"/>
            <w:vAlign w:val="center"/>
          </w:tcPr>
          <w:p w14:paraId="0BF4CAF0"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21.9 </w:t>
            </w:r>
          </w:p>
        </w:tc>
        <w:tc>
          <w:tcPr>
            <w:tcW w:w="1235" w:type="dxa"/>
            <w:vAlign w:val="center"/>
          </w:tcPr>
          <w:p w14:paraId="491A0E76"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0.01</w:t>
            </w:r>
          </w:p>
        </w:tc>
      </w:tr>
      <w:tr w:rsidR="001A4EFF" w:rsidRPr="0058536A" w14:paraId="0FEC688F" w14:textId="77777777" w:rsidTr="00E8457D">
        <w:trPr>
          <w:trHeight w:val="676"/>
          <w:jc w:val="center"/>
        </w:trPr>
        <w:tc>
          <w:tcPr>
            <w:tcW w:w="2124" w:type="dxa"/>
            <w:shd w:val="clear" w:color="auto" w:fill="FFF2CC" w:themeFill="accent4" w:themeFillTint="33"/>
            <w:vAlign w:val="center"/>
          </w:tcPr>
          <w:p w14:paraId="1211EDBB" w14:textId="77777777" w:rsidR="001A4EFF" w:rsidRPr="0058536A" w:rsidRDefault="001A4EFF" w:rsidP="00E8457D">
            <w:pPr>
              <w:spacing w:line="360" w:lineRule="auto"/>
              <w:jc w:val="center"/>
              <w:rPr>
                <w:b/>
                <w:bCs/>
                <w:color w:val="0D0D0D" w:themeColor="text1" w:themeTint="F2"/>
              </w:rPr>
            </w:pPr>
            <w:proofErr w:type="spellStart"/>
            <w:r w:rsidRPr="0058536A">
              <w:rPr>
                <w:b/>
                <w:bCs/>
                <w:color w:val="0D0D0D" w:themeColor="text1" w:themeTint="F2"/>
              </w:rPr>
              <w:t>HbS</w:t>
            </w:r>
            <w:proofErr w:type="spellEnd"/>
            <w:r w:rsidRPr="0058536A">
              <w:rPr>
                <w:b/>
                <w:bCs/>
                <w:color w:val="0D0D0D" w:themeColor="text1" w:themeTint="F2"/>
              </w:rPr>
              <w:t xml:space="preserve"> (%)</w:t>
            </w:r>
          </w:p>
        </w:tc>
        <w:tc>
          <w:tcPr>
            <w:tcW w:w="2162" w:type="dxa"/>
            <w:vAlign w:val="center"/>
          </w:tcPr>
          <w:p w14:paraId="54D9CFC9"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77.15 </w:t>
            </w:r>
          </w:p>
        </w:tc>
        <w:tc>
          <w:tcPr>
            <w:tcW w:w="2161" w:type="dxa"/>
            <w:vAlign w:val="center"/>
          </w:tcPr>
          <w:p w14:paraId="43053C58"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 xml:space="preserve">68.01 </w:t>
            </w:r>
          </w:p>
        </w:tc>
        <w:tc>
          <w:tcPr>
            <w:tcW w:w="1235" w:type="dxa"/>
            <w:vAlign w:val="center"/>
          </w:tcPr>
          <w:p w14:paraId="3AE8CC25" w14:textId="77777777" w:rsidR="001A4EFF" w:rsidRPr="0058536A" w:rsidRDefault="001A4EFF" w:rsidP="00E8457D">
            <w:pPr>
              <w:spacing w:line="360" w:lineRule="auto"/>
              <w:jc w:val="center"/>
              <w:rPr>
                <w:b/>
                <w:bCs/>
                <w:color w:val="0D0D0D" w:themeColor="text1" w:themeTint="F2"/>
              </w:rPr>
            </w:pPr>
            <w:r w:rsidRPr="0058536A">
              <w:rPr>
                <w:b/>
                <w:bCs/>
                <w:color w:val="0D0D0D" w:themeColor="text1" w:themeTint="F2"/>
              </w:rPr>
              <w:t>0.00001</w:t>
            </w:r>
          </w:p>
        </w:tc>
      </w:tr>
    </w:tbl>
    <w:p w14:paraId="7B73E381" w14:textId="6EDF33E2" w:rsidR="001A4EFF" w:rsidRDefault="001A4EFF" w:rsidP="001A4EFF">
      <w:pPr>
        <w:spacing w:line="360" w:lineRule="auto"/>
        <w:rPr>
          <w:color w:val="0D0D0D" w:themeColor="text1" w:themeTint="F2"/>
        </w:rPr>
      </w:pPr>
    </w:p>
    <w:p w14:paraId="1489971B" w14:textId="77777777" w:rsidR="001A4EFF" w:rsidRDefault="001A4EFF" w:rsidP="001A4EFF">
      <w:pPr>
        <w:spacing w:line="360" w:lineRule="auto"/>
        <w:rPr>
          <w:b/>
          <w:bCs/>
          <w:i/>
          <w:color w:val="0D0D0D" w:themeColor="text1" w:themeTint="F2"/>
        </w:rPr>
      </w:pPr>
      <w:r>
        <w:rPr>
          <w:b/>
          <w:bCs/>
          <w:i/>
          <w:color w:val="0D0D0D" w:themeColor="text1" w:themeTint="F2"/>
        </w:rPr>
        <w:t xml:space="preserve">                 </w:t>
      </w:r>
    </w:p>
    <w:p w14:paraId="4BAA8170" w14:textId="77777777" w:rsidR="001A4EFF" w:rsidRDefault="001A4EFF" w:rsidP="001A4EFF">
      <w:pPr>
        <w:spacing w:line="360" w:lineRule="auto"/>
        <w:rPr>
          <w:b/>
          <w:bCs/>
          <w:i/>
          <w:color w:val="0D0D0D" w:themeColor="text1" w:themeTint="F2"/>
        </w:rPr>
      </w:pPr>
    </w:p>
    <w:p w14:paraId="666E944C" w14:textId="77777777" w:rsidR="001A4EFF" w:rsidRDefault="001A4EFF" w:rsidP="001A4EFF">
      <w:pPr>
        <w:spacing w:line="360" w:lineRule="auto"/>
        <w:rPr>
          <w:b/>
          <w:bCs/>
          <w:i/>
          <w:color w:val="0D0D0D" w:themeColor="text1" w:themeTint="F2"/>
        </w:rPr>
      </w:pPr>
    </w:p>
    <w:p w14:paraId="094C9C3A" w14:textId="77777777" w:rsidR="001A4EFF" w:rsidRDefault="001A4EFF" w:rsidP="001A4EFF">
      <w:pPr>
        <w:spacing w:line="360" w:lineRule="auto"/>
        <w:rPr>
          <w:b/>
          <w:bCs/>
          <w:i/>
          <w:color w:val="0D0D0D" w:themeColor="text1" w:themeTint="F2"/>
        </w:rPr>
      </w:pPr>
    </w:p>
    <w:p w14:paraId="600E9126" w14:textId="77777777" w:rsidR="001A4EFF" w:rsidRDefault="001A4EFF" w:rsidP="001A4EFF">
      <w:pPr>
        <w:spacing w:line="360" w:lineRule="auto"/>
        <w:rPr>
          <w:b/>
          <w:bCs/>
          <w:i/>
          <w:color w:val="0D0D0D" w:themeColor="text1" w:themeTint="F2"/>
        </w:rPr>
      </w:pPr>
    </w:p>
    <w:p w14:paraId="1014802E" w14:textId="77777777" w:rsidR="001A4EFF" w:rsidRDefault="001A4EFF" w:rsidP="001A4EFF">
      <w:pPr>
        <w:spacing w:line="360" w:lineRule="auto"/>
        <w:rPr>
          <w:b/>
          <w:bCs/>
          <w:i/>
          <w:color w:val="0D0D0D" w:themeColor="text1" w:themeTint="F2"/>
        </w:rPr>
      </w:pPr>
    </w:p>
    <w:p w14:paraId="1F8B1662" w14:textId="77777777" w:rsidR="001A4EFF" w:rsidRDefault="001A4EFF" w:rsidP="001A4EFF">
      <w:pPr>
        <w:spacing w:line="360" w:lineRule="auto"/>
        <w:rPr>
          <w:b/>
          <w:bCs/>
          <w:i/>
          <w:color w:val="0D0D0D" w:themeColor="text1" w:themeTint="F2"/>
        </w:rPr>
      </w:pPr>
    </w:p>
    <w:p w14:paraId="64EFEDDD" w14:textId="77777777" w:rsidR="001A4EFF" w:rsidRDefault="001A4EFF" w:rsidP="001A4EFF">
      <w:pPr>
        <w:spacing w:line="360" w:lineRule="auto"/>
        <w:rPr>
          <w:b/>
          <w:bCs/>
          <w:i/>
          <w:color w:val="0D0D0D" w:themeColor="text1" w:themeTint="F2"/>
        </w:rPr>
      </w:pPr>
    </w:p>
    <w:p w14:paraId="04EE7348" w14:textId="77777777" w:rsidR="001A4EFF" w:rsidRDefault="001A4EFF" w:rsidP="001A4EFF">
      <w:pPr>
        <w:spacing w:line="360" w:lineRule="auto"/>
        <w:rPr>
          <w:b/>
          <w:bCs/>
          <w:i/>
          <w:color w:val="0D0D0D" w:themeColor="text1" w:themeTint="F2"/>
        </w:rPr>
      </w:pPr>
    </w:p>
    <w:p w14:paraId="25975552" w14:textId="77777777" w:rsidR="001A4EFF" w:rsidRDefault="001A4EFF" w:rsidP="001A4EFF">
      <w:pPr>
        <w:spacing w:line="360" w:lineRule="auto"/>
        <w:rPr>
          <w:b/>
          <w:bCs/>
          <w:i/>
          <w:color w:val="0D0D0D" w:themeColor="text1" w:themeTint="F2"/>
        </w:rPr>
      </w:pPr>
    </w:p>
    <w:p w14:paraId="52FAD4FA" w14:textId="77777777" w:rsidR="001A4EFF" w:rsidRDefault="001A4EFF" w:rsidP="001A4EFF">
      <w:pPr>
        <w:spacing w:line="360" w:lineRule="auto"/>
        <w:rPr>
          <w:b/>
          <w:bCs/>
          <w:i/>
          <w:color w:val="0D0D0D" w:themeColor="text1" w:themeTint="F2"/>
        </w:rPr>
      </w:pPr>
    </w:p>
    <w:p w14:paraId="7509B157" w14:textId="77777777" w:rsidR="001A4EFF" w:rsidRDefault="001A4EFF" w:rsidP="001A4EFF">
      <w:pPr>
        <w:spacing w:line="360" w:lineRule="auto"/>
        <w:rPr>
          <w:b/>
          <w:bCs/>
          <w:i/>
          <w:color w:val="0D0D0D" w:themeColor="text1" w:themeTint="F2"/>
        </w:rPr>
      </w:pPr>
    </w:p>
    <w:p w14:paraId="6B7C9DBD" w14:textId="77777777" w:rsidR="001A4EFF" w:rsidRDefault="001A4EFF" w:rsidP="001A4EFF">
      <w:pPr>
        <w:spacing w:line="360" w:lineRule="auto"/>
        <w:rPr>
          <w:b/>
          <w:bCs/>
          <w:i/>
          <w:color w:val="0D0D0D" w:themeColor="text1" w:themeTint="F2"/>
        </w:rPr>
      </w:pPr>
    </w:p>
    <w:p w14:paraId="1436AD83" w14:textId="77777777" w:rsidR="001A4EFF" w:rsidRDefault="001A4EFF" w:rsidP="001A4EFF">
      <w:pPr>
        <w:spacing w:line="360" w:lineRule="auto"/>
        <w:rPr>
          <w:b/>
          <w:bCs/>
          <w:i/>
          <w:color w:val="0D0D0D" w:themeColor="text1" w:themeTint="F2"/>
        </w:rPr>
      </w:pPr>
    </w:p>
    <w:p w14:paraId="3D8D13F9" w14:textId="7296869E" w:rsidR="001A4EFF" w:rsidRPr="00B24511" w:rsidRDefault="001A4EFF" w:rsidP="001A4EFF">
      <w:pPr>
        <w:spacing w:line="360" w:lineRule="auto"/>
        <w:jc w:val="center"/>
        <w:rPr>
          <w:iCs/>
          <w:color w:val="0D0D0D" w:themeColor="text1" w:themeTint="F2"/>
        </w:rPr>
      </w:pPr>
      <w:r w:rsidRPr="00D05289">
        <w:rPr>
          <w:b/>
          <w:bCs/>
          <w:iCs/>
          <w:color w:val="0D0D0D" w:themeColor="text1" w:themeTint="F2"/>
        </w:rPr>
        <w:lastRenderedPageBreak/>
        <w:t>Supplementary Table 3:</w:t>
      </w:r>
      <w:r w:rsidRPr="00B24511">
        <w:rPr>
          <w:iCs/>
          <w:color w:val="0D0D0D" w:themeColor="text1" w:themeTint="F2"/>
        </w:rPr>
        <w:t xml:space="preserve"> miRNA and  target gene interaction</w:t>
      </w:r>
    </w:p>
    <w:p w14:paraId="55172396" w14:textId="77777777" w:rsidR="001A4EFF" w:rsidRPr="0058536A" w:rsidRDefault="001A4EFF" w:rsidP="001A4EFF">
      <w:pPr>
        <w:spacing w:line="360" w:lineRule="auto"/>
        <w:rPr>
          <w:color w:val="0D0D0D" w:themeColor="text1" w:themeTint="F2"/>
        </w:rPr>
      </w:pPr>
    </w:p>
    <w:tbl>
      <w:tblPr>
        <w:tblStyle w:val="GridTable6ColourfulAccent3"/>
        <w:tblW w:w="9067" w:type="dxa"/>
        <w:tblLook w:val="04A0" w:firstRow="1" w:lastRow="0" w:firstColumn="1" w:lastColumn="0" w:noHBand="0" w:noVBand="1"/>
      </w:tblPr>
      <w:tblGrid>
        <w:gridCol w:w="1284"/>
        <w:gridCol w:w="5586"/>
        <w:gridCol w:w="2197"/>
      </w:tblGrid>
      <w:tr w:rsidR="001A4EFF" w:rsidRPr="0058536A" w14:paraId="08FDFB0C" w14:textId="77777777" w:rsidTr="00E8457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4" w:type="dxa"/>
          </w:tcPr>
          <w:p w14:paraId="73BD0AE1" w14:textId="77777777" w:rsidR="001A4EFF" w:rsidRPr="0058536A" w:rsidRDefault="001A4EFF" w:rsidP="00E8457D">
            <w:pPr>
              <w:spacing w:line="360" w:lineRule="auto"/>
              <w:jc w:val="center"/>
              <w:rPr>
                <w:i/>
                <w:iCs/>
                <w:color w:val="0D0D0D" w:themeColor="text1" w:themeTint="F2"/>
              </w:rPr>
            </w:pPr>
            <w:r w:rsidRPr="0058536A">
              <w:rPr>
                <w:i/>
                <w:iCs/>
                <w:color w:val="0D0D0D" w:themeColor="text1" w:themeTint="F2"/>
              </w:rPr>
              <w:t>miRNA</w:t>
            </w:r>
          </w:p>
        </w:tc>
        <w:tc>
          <w:tcPr>
            <w:tcW w:w="5586" w:type="dxa"/>
          </w:tcPr>
          <w:p w14:paraId="36574E54" w14:textId="77777777" w:rsidR="001A4EFF" w:rsidRPr="0058536A" w:rsidRDefault="001A4EFF" w:rsidP="00E8457D">
            <w:pPr>
              <w:spacing w:line="360" w:lineRule="auto"/>
              <w:jc w:val="center"/>
              <w:cnfStyle w:val="100000000000" w:firstRow="1" w:lastRow="0" w:firstColumn="0" w:lastColumn="0" w:oddVBand="0" w:evenVBand="0" w:oddHBand="0" w:evenHBand="0" w:firstRowFirstColumn="0" w:firstRowLastColumn="0" w:lastRowFirstColumn="0" w:lastRowLastColumn="0"/>
              <w:rPr>
                <w:i/>
                <w:iCs/>
                <w:color w:val="0D0D0D" w:themeColor="text1" w:themeTint="F2"/>
              </w:rPr>
            </w:pPr>
            <w:r w:rsidRPr="0058536A">
              <w:rPr>
                <w:i/>
                <w:iCs/>
                <w:color w:val="0D0D0D" w:themeColor="text1" w:themeTint="F2"/>
              </w:rPr>
              <w:t>Target genes</w:t>
            </w:r>
          </w:p>
        </w:tc>
        <w:tc>
          <w:tcPr>
            <w:tcW w:w="2197" w:type="dxa"/>
          </w:tcPr>
          <w:p w14:paraId="4E64B844" w14:textId="77777777" w:rsidR="001A4EFF" w:rsidRPr="0058536A" w:rsidRDefault="001A4EFF" w:rsidP="00E8457D">
            <w:pPr>
              <w:spacing w:line="360" w:lineRule="auto"/>
              <w:jc w:val="center"/>
              <w:cnfStyle w:val="100000000000" w:firstRow="1" w:lastRow="0" w:firstColumn="0" w:lastColumn="0" w:oddVBand="0" w:evenVBand="0" w:oddHBand="0" w:evenHBand="0" w:firstRowFirstColumn="0" w:firstRowLastColumn="0" w:lastRowFirstColumn="0" w:lastRowLastColumn="0"/>
              <w:rPr>
                <w:i/>
                <w:iCs/>
                <w:color w:val="0D0D0D" w:themeColor="text1" w:themeTint="F2"/>
              </w:rPr>
            </w:pPr>
            <w:r w:rsidRPr="0058536A">
              <w:rPr>
                <w:i/>
                <w:iCs/>
                <w:color w:val="0D0D0D" w:themeColor="text1" w:themeTint="F2"/>
              </w:rPr>
              <w:t>pathways</w:t>
            </w:r>
          </w:p>
        </w:tc>
      </w:tr>
      <w:tr w:rsidR="001A4EFF" w:rsidRPr="0058536A" w14:paraId="341348EA" w14:textId="77777777" w:rsidTr="00E845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4" w:type="dxa"/>
          </w:tcPr>
          <w:p w14:paraId="1294B5E2"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miR-96</w:t>
            </w:r>
          </w:p>
        </w:tc>
        <w:tc>
          <w:tcPr>
            <w:tcW w:w="5586" w:type="dxa"/>
          </w:tcPr>
          <w:p w14:paraId="6E124D41"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RCC2, NIFK, RBM27, RGS5, EIF4E, NUCKS1, HNRNPUL1, TAF13, SYNCRIP, FOXO1, NOTCH2, GSK3B, KDELR1, PITPNM, IGFR1, ACTN4, TAOK1, SPPL2A, CCND2, BCL2, ATXN1</w:t>
            </w:r>
          </w:p>
        </w:tc>
        <w:tc>
          <w:tcPr>
            <w:tcW w:w="2197" w:type="dxa"/>
          </w:tcPr>
          <w:p w14:paraId="4F2AB29E"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Erythropoiesis, Cancer pathways, P53 signalling, Focal adhesion, Cell cycle regulation, mTOR signalling</w:t>
            </w:r>
          </w:p>
        </w:tc>
      </w:tr>
      <w:tr w:rsidR="001A4EFF" w:rsidRPr="0058536A" w14:paraId="0978E51B" w14:textId="77777777" w:rsidTr="00E8457D">
        <w:trPr>
          <w:trHeight w:val="20"/>
        </w:trPr>
        <w:tc>
          <w:tcPr>
            <w:cnfStyle w:val="001000000000" w:firstRow="0" w:lastRow="0" w:firstColumn="1" w:lastColumn="0" w:oddVBand="0" w:evenVBand="0" w:oddHBand="0" w:evenHBand="0" w:firstRowFirstColumn="0" w:firstRowLastColumn="0" w:lastRowFirstColumn="0" w:lastRowLastColumn="0"/>
            <w:tcW w:w="1284" w:type="dxa"/>
          </w:tcPr>
          <w:p w14:paraId="62E119F7"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miR-29a</w:t>
            </w:r>
          </w:p>
        </w:tc>
        <w:tc>
          <w:tcPr>
            <w:tcW w:w="5586" w:type="dxa"/>
          </w:tcPr>
          <w:p w14:paraId="70ADF437"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RCC2, NIFK, NRIP1, MTPN, BMPR1A, ZNF460, GSK3B, FOXN3, HOXA10, PTEN, IGFN1, REL, EPHX2, CDK2, SYNCRIP,  CCND2, BCL2, CDK6, CALM3</w:t>
            </w:r>
          </w:p>
        </w:tc>
        <w:tc>
          <w:tcPr>
            <w:tcW w:w="2197" w:type="dxa"/>
          </w:tcPr>
          <w:p w14:paraId="5C7ED9DD"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Erythropoiesis, Cancer pathways, P53 signalling, Focal adhesion, Cell cycle regulation</w:t>
            </w:r>
          </w:p>
        </w:tc>
      </w:tr>
      <w:tr w:rsidR="001A4EFF" w:rsidRPr="0058536A" w14:paraId="738BBBD8" w14:textId="77777777" w:rsidTr="00E845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4" w:type="dxa"/>
          </w:tcPr>
          <w:p w14:paraId="7DF9ECE9"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miR-215</w:t>
            </w:r>
          </w:p>
        </w:tc>
        <w:tc>
          <w:tcPr>
            <w:tcW w:w="5586" w:type="dxa"/>
          </w:tcPr>
          <w:p w14:paraId="78029802"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NIFK, NRIP1, RFT1, FOXO1, PURA, RACGAP1, REL, HSPA4L, KDELR1, CMTM6, TEAD1, NLN, NUCKS, CFL2, KMT2A,  ORC1, IGFR1, CDKN2A, WNK1, HOXA10, ALDH9A1, BCL2, CCNE1, MDM4</w:t>
            </w:r>
          </w:p>
        </w:tc>
        <w:tc>
          <w:tcPr>
            <w:tcW w:w="2197" w:type="dxa"/>
          </w:tcPr>
          <w:p w14:paraId="168E7E30"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Erythropoiesis, Cancer pathways, P53 signalling, Cell cycle regulation</w:t>
            </w:r>
          </w:p>
        </w:tc>
      </w:tr>
      <w:tr w:rsidR="001A4EFF" w:rsidRPr="0058536A" w14:paraId="435D1F21" w14:textId="77777777" w:rsidTr="00E8457D">
        <w:trPr>
          <w:trHeight w:val="20"/>
        </w:trPr>
        <w:tc>
          <w:tcPr>
            <w:cnfStyle w:val="001000000000" w:firstRow="0" w:lastRow="0" w:firstColumn="1" w:lastColumn="0" w:oddVBand="0" w:evenVBand="0" w:oddHBand="0" w:evenHBand="0" w:firstRowFirstColumn="0" w:firstRowLastColumn="0" w:lastRowFirstColumn="0" w:lastRowLastColumn="0"/>
            <w:tcW w:w="1284" w:type="dxa"/>
          </w:tcPr>
          <w:p w14:paraId="52B24774"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miR-130b</w:t>
            </w:r>
          </w:p>
        </w:tc>
        <w:tc>
          <w:tcPr>
            <w:tcW w:w="5586" w:type="dxa"/>
          </w:tcPr>
          <w:p w14:paraId="1C6BFBE5"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RBM27, MTPN, RFT1, FOXO1, RANGAP1, IGF1, NOTCH2, EPHX2, HSPA8, CD44, POLR3D, KMT2A, PITPNM3, XPO4, TMLHE, WNK1, HNRNPUL1, HSP90B1, RACGAP1, CFL2, KDELR1, ATP6V1B2, ORC1, TAOK1, PTEN, CCND2, MAPK1</w:t>
            </w:r>
          </w:p>
        </w:tc>
        <w:tc>
          <w:tcPr>
            <w:tcW w:w="2197" w:type="dxa"/>
          </w:tcPr>
          <w:p w14:paraId="75AB2FFE"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Cancer pathways, P53 signalling, Focal adhesion, Cell cycle regulation, mTOR signalling</w:t>
            </w:r>
          </w:p>
        </w:tc>
      </w:tr>
      <w:tr w:rsidR="001A4EFF" w:rsidRPr="0058536A" w14:paraId="37BFE01A" w14:textId="77777777" w:rsidTr="00E845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4" w:type="dxa"/>
          </w:tcPr>
          <w:p w14:paraId="66801891"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miR-223</w:t>
            </w:r>
          </w:p>
        </w:tc>
        <w:tc>
          <w:tcPr>
            <w:tcW w:w="5586" w:type="dxa"/>
          </w:tcPr>
          <w:p w14:paraId="5B3B5BE0"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RGS5, BMPR1A, PURA, IGF1, CFL2, FBXW7, IGF1R, AR, CREBRF, TAOK1,  CCND1, TSC22D2</w:t>
            </w:r>
          </w:p>
        </w:tc>
        <w:tc>
          <w:tcPr>
            <w:tcW w:w="2197" w:type="dxa"/>
          </w:tcPr>
          <w:p w14:paraId="0F407B1E"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mTOR signalling, JAK-STAT signalling</w:t>
            </w:r>
          </w:p>
        </w:tc>
      </w:tr>
      <w:tr w:rsidR="001A4EFF" w:rsidRPr="0058536A" w14:paraId="42FAA0E0" w14:textId="77777777" w:rsidTr="00E8457D">
        <w:trPr>
          <w:trHeight w:val="20"/>
        </w:trPr>
        <w:tc>
          <w:tcPr>
            <w:cnfStyle w:val="001000000000" w:firstRow="0" w:lastRow="0" w:firstColumn="1" w:lastColumn="0" w:oddVBand="0" w:evenVBand="0" w:oddHBand="0" w:evenHBand="0" w:firstRowFirstColumn="0" w:firstRowLastColumn="0" w:lastRowFirstColumn="0" w:lastRowLastColumn="0"/>
            <w:tcW w:w="1284" w:type="dxa"/>
          </w:tcPr>
          <w:p w14:paraId="570513BF"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miR-16-1</w:t>
            </w:r>
          </w:p>
        </w:tc>
        <w:tc>
          <w:tcPr>
            <w:tcW w:w="5586" w:type="dxa"/>
          </w:tcPr>
          <w:p w14:paraId="78D3591B"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ZNF460, RFT1, RANGAP1, PURA, NUCKS1, HSP90B1, RACGAP1, NOTCH2, REL, CFL2, HSPAB, HSPA4L, TAF13, GSK3B, CD44, KMT2A, FBXW7, ATP6V1B2, IGF1R, XPO4, CDKN2A, ACTN4,CREBRF, HOXO10, ACTB, TAOK1, CCND2, MCL1, TSC22D2, BCL2,  BM1, CCNE1, FOXON3, SPPL2A, NLN, CCND1, ATXN1, NPM1, EIF2S3, C5orf51</w:t>
            </w:r>
          </w:p>
        </w:tc>
        <w:tc>
          <w:tcPr>
            <w:tcW w:w="2197" w:type="dxa"/>
          </w:tcPr>
          <w:p w14:paraId="5F0E4F07"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Erythropoiesis, Prostate cancer, P53 signalling, Focal adhesion Cell cycle regulation, mTOR signalling, NOD-like receptor signalling</w:t>
            </w:r>
          </w:p>
        </w:tc>
      </w:tr>
      <w:tr w:rsidR="001A4EFF" w:rsidRPr="0058536A" w14:paraId="46B6169B" w14:textId="77777777" w:rsidTr="00E845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84" w:type="dxa"/>
          </w:tcPr>
          <w:p w14:paraId="23FA8958"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miR-320</w:t>
            </w:r>
          </w:p>
        </w:tc>
        <w:tc>
          <w:tcPr>
            <w:tcW w:w="5586" w:type="dxa"/>
          </w:tcPr>
          <w:p w14:paraId="5D73B1E2"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 xml:space="preserve">HNRNPUL1, HSPA4L, KDELR1, POLR3D, KMT2A, ATV6V1B2, ORC1, IGFR1, CDKN2, WNK1, SYNCRIP, TEAD1, ACTN4, CREBRF, HOXA1, ACTB, PTEN, </w:t>
            </w:r>
            <w:r w:rsidRPr="0058536A">
              <w:rPr>
                <w:color w:val="0D0D0D" w:themeColor="text1" w:themeTint="F2"/>
              </w:rPr>
              <w:lastRenderedPageBreak/>
              <w:t>CCND2, MAPK1, MCL1, TSC22D2, CDK6, CALM3, BMI1, EZH2, ATXN1, NPM1, MET, C5orf51</w:t>
            </w:r>
          </w:p>
        </w:tc>
        <w:tc>
          <w:tcPr>
            <w:tcW w:w="2197" w:type="dxa"/>
          </w:tcPr>
          <w:p w14:paraId="3A7C1ECB"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lastRenderedPageBreak/>
              <w:t xml:space="preserve">Erythropoiesis, P53 signalling, Focal adhesion, cell cycle </w:t>
            </w:r>
            <w:r w:rsidRPr="0058536A">
              <w:rPr>
                <w:color w:val="0D0D0D" w:themeColor="text1" w:themeTint="F2"/>
              </w:rPr>
              <w:lastRenderedPageBreak/>
              <w:t>regulation, mTOR signalling</w:t>
            </w:r>
          </w:p>
        </w:tc>
      </w:tr>
      <w:tr w:rsidR="001A4EFF" w:rsidRPr="0058536A" w14:paraId="346BAED7" w14:textId="77777777" w:rsidTr="00E8457D">
        <w:trPr>
          <w:trHeight w:val="20"/>
        </w:trPr>
        <w:tc>
          <w:tcPr>
            <w:cnfStyle w:val="001000000000" w:firstRow="0" w:lastRow="0" w:firstColumn="1" w:lastColumn="0" w:oddVBand="0" w:evenVBand="0" w:oddHBand="0" w:evenHBand="0" w:firstRowFirstColumn="0" w:firstRowLastColumn="0" w:lastRowFirstColumn="0" w:lastRowLastColumn="0"/>
            <w:tcW w:w="1284" w:type="dxa"/>
          </w:tcPr>
          <w:p w14:paraId="528E0F60"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lastRenderedPageBreak/>
              <w:t>miR-494</w:t>
            </w:r>
          </w:p>
        </w:tc>
        <w:tc>
          <w:tcPr>
            <w:tcW w:w="5586" w:type="dxa"/>
          </w:tcPr>
          <w:p w14:paraId="2EF0B243"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PITPNM3, CREBRF, PTEN, ALDH9A1, EIP2S3, IGFR1, TMLHE, SYNCRIP, HOXA10, MAPK1, CCND1, BCL2, BMI1, ATXN1, MDM4</w:t>
            </w:r>
          </w:p>
        </w:tc>
        <w:tc>
          <w:tcPr>
            <w:tcW w:w="2197" w:type="dxa"/>
          </w:tcPr>
          <w:p w14:paraId="62F38CC1" w14:textId="77777777" w:rsidR="001A4EFF" w:rsidRPr="0058536A" w:rsidRDefault="001A4EFF" w:rsidP="00E8457D">
            <w:pPr>
              <w:spacing w:line="360" w:lineRule="auto"/>
              <w:jc w:val="center"/>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58536A">
              <w:rPr>
                <w:color w:val="0D0D0D" w:themeColor="text1" w:themeTint="F2"/>
              </w:rPr>
              <w:t>Erythropoiesis, Focal adhesion, mTOR signalling, NOD-like receptor signalling</w:t>
            </w:r>
          </w:p>
        </w:tc>
      </w:tr>
      <w:tr w:rsidR="001A4EFF" w:rsidRPr="0058536A" w14:paraId="46ED665E" w14:textId="77777777" w:rsidTr="00E8457D">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284" w:type="dxa"/>
          </w:tcPr>
          <w:p w14:paraId="221F4912" w14:textId="77777777" w:rsidR="001A4EFF" w:rsidRPr="0058536A" w:rsidRDefault="001A4EFF" w:rsidP="00E8457D">
            <w:pPr>
              <w:spacing w:line="360" w:lineRule="auto"/>
              <w:jc w:val="center"/>
              <w:rPr>
                <w:color w:val="0D0D0D" w:themeColor="text1" w:themeTint="F2"/>
              </w:rPr>
            </w:pPr>
            <w:r w:rsidRPr="0058536A">
              <w:rPr>
                <w:color w:val="0D0D0D" w:themeColor="text1" w:themeTint="F2"/>
              </w:rPr>
              <w:t>miR-144</w:t>
            </w:r>
          </w:p>
        </w:tc>
        <w:tc>
          <w:tcPr>
            <w:tcW w:w="5586" w:type="dxa"/>
          </w:tcPr>
          <w:p w14:paraId="2542FEA6"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TAF13, FBXW7, CMTM6, WNK1, HOXA10, TAOK1, PTEN, NLN, MCL1, ATXN1, EZH2, EIF2S3, MET,  CCNE1, MDM4, C5orf51</w:t>
            </w:r>
          </w:p>
        </w:tc>
        <w:tc>
          <w:tcPr>
            <w:tcW w:w="2197" w:type="dxa"/>
          </w:tcPr>
          <w:p w14:paraId="162FE83F" w14:textId="77777777" w:rsidR="001A4EFF" w:rsidRPr="0058536A" w:rsidRDefault="001A4EFF" w:rsidP="00E8457D">
            <w:pPr>
              <w:spacing w:line="360" w:lineRule="auto"/>
              <w:jc w:val="center"/>
              <w:cnfStyle w:val="000000100000" w:firstRow="0" w:lastRow="0" w:firstColumn="0" w:lastColumn="0" w:oddVBand="0" w:evenVBand="0" w:oddHBand="1" w:evenHBand="0" w:firstRowFirstColumn="0" w:firstRowLastColumn="0" w:lastRowFirstColumn="0" w:lastRowLastColumn="0"/>
              <w:rPr>
                <w:color w:val="0D0D0D" w:themeColor="text1" w:themeTint="F2"/>
              </w:rPr>
            </w:pPr>
            <w:r w:rsidRPr="0058536A">
              <w:rPr>
                <w:color w:val="0D0D0D" w:themeColor="text1" w:themeTint="F2"/>
              </w:rPr>
              <w:t>Focal adhesion, Cell cycle regulation</w:t>
            </w:r>
          </w:p>
        </w:tc>
      </w:tr>
    </w:tbl>
    <w:p w14:paraId="1C7D07CE" w14:textId="4C4D90DD" w:rsidR="001A4EFF" w:rsidRDefault="001A4EFF" w:rsidP="001A4EFF">
      <w:pPr>
        <w:spacing w:line="360" w:lineRule="auto"/>
        <w:rPr>
          <w:color w:val="0D0D0D" w:themeColor="text1" w:themeTint="F2"/>
        </w:rPr>
      </w:pPr>
    </w:p>
    <w:p w14:paraId="56BB46B3" w14:textId="699427C0" w:rsidR="00752BF3" w:rsidRDefault="00752BF3" w:rsidP="001A4EFF">
      <w:pPr>
        <w:spacing w:line="360" w:lineRule="auto"/>
        <w:rPr>
          <w:color w:val="0D0D0D" w:themeColor="text1" w:themeTint="F2"/>
        </w:rPr>
      </w:pPr>
    </w:p>
    <w:p w14:paraId="73C5F213" w14:textId="0BE4B060" w:rsidR="00752BF3" w:rsidRDefault="00752BF3" w:rsidP="001A4EFF">
      <w:pPr>
        <w:spacing w:line="360" w:lineRule="auto"/>
        <w:rPr>
          <w:color w:val="0D0D0D" w:themeColor="text1" w:themeTint="F2"/>
        </w:rPr>
      </w:pPr>
    </w:p>
    <w:p w14:paraId="5F4F14E3" w14:textId="77E12346" w:rsidR="00752BF3" w:rsidRDefault="00752BF3" w:rsidP="001A4EFF">
      <w:pPr>
        <w:spacing w:line="360" w:lineRule="auto"/>
        <w:rPr>
          <w:color w:val="0D0D0D" w:themeColor="text1" w:themeTint="F2"/>
        </w:rPr>
      </w:pPr>
    </w:p>
    <w:p w14:paraId="13133A54" w14:textId="63B172C5" w:rsidR="00752BF3" w:rsidRDefault="00752BF3" w:rsidP="001A4EFF">
      <w:pPr>
        <w:spacing w:line="360" w:lineRule="auto"/>
        <w:rPr>
          <w:color w:val="0D0D0D" w:themeColor="text1" w:themeTint="F2"/>
        </w:rPr>
      </w:pPr>
    </w:p>
    <w:p w14:paraId="298CC9A2" w14:textId="19200C11" w:rsidR="00752BF3" w:rsidRDefault="00752BF3" w:rsidP="001A4EFF">
      <w:pPr>
        <w:spacing w:line="360" w:lineRule="auto"/>
        <w:rPr>
          <w:color w:val="0D0D0D" w:themeColor="text1" w:themeTint="F2"/>
        </w:rPr>
      </w:pPr>
    </w:p>
    <w:p w14:paraId="7D7BB533" w14:textId="0DE35B3E" w:rsidR="00752BF3" w:rsidRDefault="00752BF3" w:rsidP="001A4EFF">
      <w:pPr>
        <w:spacing w:line="360" w:lineRule="auto"/>
        <w:rPr>
          <w:color w:val="0D0D0D" w:themeColor="text1" w:themeTint="F2"/>
        </w:rPr>
      </w:pPr>
    </w:p>
    <w:p w14:paraId="66301AC9" w14:textId="5E8072E0" w:rsidR="00752BF3" w:rsidRDefault="00752BF3" w:rsidP="001A4EFF">
      <w:pPr>
        <w:spacing w:line="360" w:lineRule="auto"/>
        <w:rPr>
          <w:color w:val="0D0D0D" w:themeColor="text1" w:themeTint="F2"/>
        </w:rPr>
      </w:pPr>
    </w:p>
    <w:p w14:paraId="00C3DDC3" w14:textId="751F21E8" w:rsidR="00752BF3" w:rsidRDefault="00752BF3" w:rsidP="001A4EFF">
      <w:pPr>
        <w:spacing w:line="360" w:lineRule="auto"/>
        <w:rPr>
          <w:color w:val="0D0D0D" w:themeColor="text1" w:themeTint="F2"/>
        </w:rPr>
      </w:pPr>
    </w:p>
    <w:p w14:paraId="4664B798" w14:textId="20E42068" w:rsidR="00752BF3" w:rsidRDefault="00752BF3" w:rsidP="001A4EFF">
      <w:pPr>
        <w:spacing w:line="360" w:lineRule="auto"/>
        <w:rPr>
          <w:color w:val="0D0D0D" w:themeColor="text1" w:themeTint="F2"/>
        </w:rPr>
      </w:pPr>
    </w:p>
    <w:p w14:paraId="6ABBF59E" w14:textId="47CAA54F" w:rsidR="00752BF3" w:rsidRDefault="00752BF3" w:rsidP="001A4EFF">
      <w:pPr>
        <w:spacing w:line="360" w:lineRule="auto"/>
        <w:rPr>
          <w:color w:val="0D0D0D" w:themeColor="text1" w:themeTint="F2"/>
        </w:rPr>
      </w:pPr>
    </w:p>
    <w:p w14:paraId="4434ABA7" w14:textId="33AA0B59" w:rsidR="00752BF3" w:rsidRDefault="00752BF3" w:rsidP="001A4EFF">
      <w:pPr>
        <w:spacing w:line="360" w:lineRule="auto"/>
        <w:rPr>
          <w:color w:val="0D0D0D" w:themeColor="text1" w:themeTint="F2"/>
        </w:rPr>
      </w:pPr>
    </w:p>
    <w:p w14:paraId="1D821B78" w14:textId="23647EAC" w:rsidR="00752BF3" w:rsidRDefault="00752BF3" w:rsidP="001A4EFF">
      <w:pPr>
        <w:spacing w:line="360" w:lineRule="auto"/>
        <w:rPr>
          <w:color w:val="0D0D0D" w:themeColor="text1" w:themeTint="F2"/>
        </w:rPr>
      </w:pPr>
    </w:p>
    <w:p w14:paraId="615C492D" w14:textId="2C702222" w:rsidR="00752BF3" w:rsidRDefault="00752BF3" w:rsidP="001A4EFF">
      <w:pPr>
        <w:spacing w:line="360" w:lineRule="auto"/>
        <w:rPr>
          <w:color w:val="0D0D0D" w:themeColor="text1" w:themeTint="F2"/>
        </w:rPr>
      </w:pPr>
    </w:p>
    <w:p w14:paraId="64DA4392" w14:textId="245F3459" w:rsidR="00752BF3" w:rsidRDefault="00752BF3" w:rsidP="001A4EFF">
      <w:pPr>
        <w:spacing w:line="360" w:lineRule="auto"/>
        <w:rPr>
          <w:color w:val="0D0D0D" w:themeColor="text1" w:themeTint="F2"/>
        </w:rPr>
      </w:pPr>
    </w:p>
    <w:p w14:paraId="7367FAEB" w14:textId="77777777" w:rsidR="00752BF3" w:rsidRPr="0058536A" w:rsidRDefault="00752BF3" w:rsidP="001A4EFF">
      <w:pPr>
        <w:spacing w:line="360" w:lineRule="auto"/>
        <w:rPr>
          <w:color w:val="0D0D0D" w:themeColor="text1" w:themeTint="F2"/>
        </w:rPr>
      </w:pPr>
    </w:p>
    <w:p w14:paraId="03D659D8" w14:textId="77777777" w:rsidR="001A4EFF" w:rsidRPr="0058536A" w:rsidRDefault="001A4EFF" w:rsidP="001A4EFF">
      <w:pPr>
        <w:spacing w:line="360" w:lineRule="auto"/>
        <w:rPr>
          <w:color w:val="0D0D0D" w:themeColor="text1" w:themeTint="F2"/>
        </w:rPr>
      </w:pPr>
    </w:p>
    <w:p w14:paraId="27EBB67D" w14:textId="77777777" w:rsidR="001A4EFF" w:rsidRPr="0058536A" w:rsidRDefault="001A4EFF" w:rsidP="001A4EFF">
      <w:pPr>
        <w:spacing w:line="360" w:lineRule="auto"/>
        <w:rPr>
          <w:color w:val="0D0D0D" w:themeColor="text1" w:themeTint="F2"/>
        </w:rPr>
      </w:pPr>
    </w:p>
    <w:p w14:paraId="43DF58BB" w14:textId="7C369C06" w:rsidR="00810ED9" w:rsidRDefault="001A4EFF">
      <w:pPr>
        <w:rPr>
          <w:noProof/>
          <w:color w:val="0D0D0D" w:themeColor="text1" w:themeTint="F2"/>
        </w:rPr>
      </w:pPr>
      <w:r>
        <w:rPr>
          <w:noProof/>
          <w:color w:val="0D0D0D" w:themeColor="text1" w:themeTint="F2"/>
        </w:rPr>
        <w:lastRenderedPageBreak/>
        <w:drawing>
          <wp:inline distT="0" distB="0" distL="0" distR="0" wp14:anchorId="098ADC55" wp14:editId="3FC94C13">
            <wp:extent cx="5727700" cy="3117737"/>
            <wp:effectExtent l="25400" t="25400" r="25400"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 cstate="screen">
                      <a:extLst>
                        <a:ext uri="{28A0092B-C50C-407E-A947-70E740481C1C}">
                          <a14:useLocalDpi xmlns:a14="http://schemas.microsoft.com/office/drawing/2010/main"/>
                        </a:ext>
                      </a:extLst>
                    </a:blip>
                    <a:srcRect/>
                    <a:stretch/>
                  </pic:blipFill>
                  <pic:spPr bwMode="auto">
                    <a:xfrm>
                      <a:off x="0" y="0"/>
                      <a:ext cx="5727700" cy="311773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560C838C" w14:textId="391F64F5" w:rsidR="001A4EFF" w:rsidRPr="001A4EFF" w:rsidRDefault="001A4EFF" w:rsidP="001A4EFF"/>
    <w:p w14:paraId="0470CF58" w14:textId="76CF0941" w:rsidR="001A4EFF" w:rsidRPr="001A4EFF" w:rsidRDefault="001A4EFF" w:rsidP="001A4EFF"/>
    <w:p w14:paraId="7FA2FBD8" w14:textId="2AA489C7" w:rsidR="001A4EFF" w:rsidRDefault="001A4EFF" w:rsidP="001A4EFF">
      <w:pPr>
        <w:rPr>
          <w:noProof/>
          <w:color w:val="0D0D0D" w:themeColor="text1" w:themeTint="F2"/>
        </w:rPr>
      </w:pPr>
    </w:p>
    <w:p w14:paraId="76A92279" w14:textId="5F7C9FBE" w:rsidR="001A4EFF" w:rsidRPr="001D2CE6" w:rsidRDefault="001A4EFF" w:rsidP="001A4EFF">
      <w:pPr>
        <w:spacing w:line="360" w:lineRule="auto"/>
        <w:rPr>
          <w:color w:val="0D0D0D" w:themeColor="text1" w:themeTint="F2"/>
        </w:rPr>
      </w:pPr>
      <w:r w:rsidRPr="00D05289">
        <w:rPr>
          <w:b/>
          <w:bCs/>
          <w:color w:val="0D0D0D" w:themeColor="text1" w:themeTint="F2"/>
        </w:rPr>
        <w:t>Supplementary figure 1:</w:t>
      </w:r>
      <w:r w:rsidRPr="001D2CE6">
        <w:rPr>
          <w:color w:val="0D0D0D" w:themeColor="text1" w:themeTint="F2"/>
        </w:rPr>
        <w:t xml:space="preserve"> Flow cytometric analysis for CD71+ cells. (1A) Identification of CD71+ cells (logarithmic scale) (1B) Histogram depicting unstained CD71+ cells (1C) Histogram depicting stained CD71+ cells. The % stained CD71+ cells was found to be 69.9%</w:t>
      </w:r>
    </w:p>
    <w:p w14:paraId="4B09267F" w14:textId="77777777" w:rsidR="001A4EFF" w:rsidRPr="001D2CE6" w:rsidRDefault="001A4EFF" w:rsidP="001A4EFF">
      <w:pPr>
        <w:spacing w:line="360" w:lineRule="auto"/>
        <w:rPr>
          <w:color w:val="0D0D0D" w:themeColor="text1" w:themeTint="F2"/>
        </w:rPr>
      </w:pPr>
    </w:p>
    <w:p w14:paraId="054657F6" w14:textId="23C3DDEF" w:rsidR="001A4EFF" w:rsidRDefault="001A4EFF" w:rsidP="00752BF3">
      <w:pPr>
        <w:ind w:firstLine="720"/>
        <w:jc w:val="center"/>
      </w:pPr>
      <w:r>
        <w:rPr>
          <w:noProof/>
          <w:color w:val="0D0D0D" w:themeColor="text1" w:themeTint="F2"/>
        </w:rPr>
        <w:drawing>
          <wp:inline distT="0" distB="0" distL="0" distR="0" wp14:anchorId="4995015E" wp14:editId="7462498A">
            <wp:extent cx="3043488" cy="3235591"/>
            <wp:effectExtent l="12700" t="12700" r="1778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cstate="screen">
                      <a:extLst>
                        <a:ext uri="{28A0092B-C50C-407E-A947-70E740481C1C}">
                          <a14:useLocalDpi xmlns:a14="http://schemas.microsoft.com/office/drawing/2010/main"/>
                        </a:ext>
                      </a:extLst>
                    </a:blip>
                    <a:srcRect l="23518" t="12034" r="23364" b="12677"/>
                    <a:stretch/>
                  </pic:blipFill>
                  <pic:spPr bwMode="auto">
                    <a:xfrm>
                      <a:off x="0" y="0"/>
                      <a:ext cx="3044473" cy="32366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C25D70B" w14:textId="42B783D5" w:rsidR="001A4EFF" w:rsidRDefault="001A4EFF" w:rsidP="001A4EFF">
      <w:pPr>
        <w:ind w:firstLine="720"/>
      </w:pPr>
    </w:p>
    <w:p w14:paraId="3A862077" w14:textId="234D590B" w:rsidR="001A4EFF" w:rsidRPr="001D2CE6" w:rsidRDefault="001A4EFF" w:rsidP="001A4EFF">
      <w:pPr>
        <w:spacing w:line="360" w:lineRule="auto"/>
        <w:jc w:val="both"/>
        <w:rPr>
          <w:color w:val="0D0D0D" w:themeColor="text1" w:themeTint="F2"/>
        </w:rPr>
      </w:pPr>
      <w:r w:rsidRPr="00D05289">
        <w:rPr>
          <w:b/>
          <w:bCs/>
          <w:color w:val="0D0D0D" w:themeColor="text1" w:themeTint="F2"/>
        </w:rPr>
        <w:t>Supplementary figure 2:</w:t>
      </w:r>
      <w:r w:rsidRPr="001D2CE6">
        <w:rPr>
          <w:color w:val="0D0D0D" w:themeColor="text1" w:themeTint="F2"/>
        </w:rPr>
        <w:t xml:space="preserve"> Protein-protein interaction network of genes regulating  </w:t>
      </w:r>
      <w:r w:rsidRPr="001D2CE6">
        <w:rPr>
          <w:rFonts w:eastAsiaTheme="minorHAnsi"/>
          <w:color w:val="0D0D0D" w:themeColor="text1" w:themeTint="F2"/>
          <w:lang w:val="en-GB" w:eastAsia="en-US"/>
        </w:rPr>
        <w:t>γ</w:t>
      </w:r>
      <w:r w:rsidRPr="001D2CE6">
        <w:rPr>
          <w:color w:val="0D0D0D" w:themeColor="text1" w:themeTint="F2"/>
        </w:rPr>
        <w:t xml:space="preserve"> globin. PPI network was constructed using STRING software which consisted of 11 nodes and 34 </w:t>
      </w:r>
      <w:r w:rsidRPr="001D2CE6">
        <w:rPr>
          <w:color w:val="0D0D0D" w:themeColor="text1" w:themeTint="F2"/>
        </w:rPr>
        <w:lastRenderedPageBreak/>
        <w:t xml:space="preserve">edges with PPI enrichment p value (p&lt;0.0001). In PPI network the identified hub genes were </w:t>
      </w:r>
      <w:r w:rsidRPr="001D2CE6">
        <w:rPr>
          <w:color w:val="0D0D0D" w:themeColor="text1" w:themeTint="F2"/>
          <w:shd w:val="clear" w:color="auto" w:fill="FFFFFF"/>
        </w:rPr>
        <w:t xml:space="preserve">BCL11A, N2RF2, SOX6, KLF1, MYB, RBBP4, RBBP7, MBD3L1, DNMT1, HDAC1, GATA1 </w:t>
      </w:r>
      <w:r w:rsidRPr="001D2CE6">
        <w:rPr>
          <w:color w:val="0D0D0D" w:themeColor="text1" w:themeTint="F2"/>
        </w:rPr>
        <w:t xml:space="preserve">which are essential modulators of </w:t>
      </w:r>
      <w:proofErr w:type="spellStart"/>
      <w:r w:rsidRPr="001D2CE6">
        <w:rPr>
          <w:color w:val="0D0D0D" w:themeColor="text1" w:themeTint="F2"/>
        </w:rPr>
        <w:t>fetal</w:t>
      </w:r>
      <w:proofErr w:type="spellEnd"/>
      <w:r w:rsidRPr="001D2CE6">
        <w:rPr>
          <w:color w:val="0D0D0D" w:themeColor="text1" w:themeTint="F2"/>
        </w:rPr>
        <w:t xml:space="preserve"> </w:t>
      </w:r>
      <w:proofErr w:type="spellStart"/>
      <w:r w:rsidRPr="001D2CE6">
        <w:rPr>
          <w:color w:val="0D0D0D" w:themeColor="text1" w:themeTint="F2"/>
        </w:rPr>
        <w:t>hemoglobin</w:t>
      </w:r>
      <w:proofErr w:type="spellEnd"/>
      <w:r w:rsidRPr="001D2CE6">
        <w:rPr>
          <w:color w:val="0D0D0D" w:themeColor="text1" w:themeTint="F2"/>
        </w:rPr>
        <w:t>.</w:t>
      </w:r>
    </w:p>
    <w:p w14:paraId="695DAE18" w14:textId="49ECCA46" w:rsidR="001A4EFF" w:rsidRPr="001D2CE6" w:rsidRDefault="001A4EFF" w:rsidP="001A4EFF">
      <w:pPr>
        <w:spacing w:line="360" w:lineRule="auto"/>
        <w:jc w:val="both"/>
        <w:rPr>
          <w:color w:val="0D0D0D" w:themeColor="text1" w:themeTint="F2"/>
        </w:rPr>
      </w:pPr>
    </w:p>
    <w:p w14:paraId="1C18CD6D" w14:textId="7E8D9AF2" w:rsidR="001A4EFF" w:rsidRPr="00534ADF" w:rsidRDefault="001A4EFF" w:rsidP="001A4EFF">
      <w:pPr>
        <w:spacing w:line="360" w:lineRule="auto"/>
        <w:jc w:val="both"/>
        <w:rPr>
          <w:b/>
          <w:bCs/>
          <w:i/>
          <w:iCs/>
          <w:color w:val="0D0D0D" w:themeColor="text1" w:themeTint="F2"/>
        </w:rPr>
      </w:pPr>
      <w:r>
        <w:rPr>
          <w:noProof/>
          <w:color w:val="0D0D0D" w:themeColor="text1" w:themeTint="F2"/>
        </w:rPr>
        <w:drawing>
          <wp:inline distT="0" distB="0" distL="0" distR="0" wp14:anchorId="197E39A4" wp14:editId="1A7608A5">
            <wp:extent cx="5149516" cy="5305425"/>
            <wp:effectExtent l="12700" t="12700" r="698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 cstate="screen">
                      <a:extLst>
                        <a:ext uri="{28A0092B-C50C-407E-A947-70E740481C1C}">
                          <a14:useLocalDpi xmlns:a14="http://schemas.microsoft.com/office/drawing/2010/main"/>
                        </a:ext>
                      </a:extLst>
                    </a:blip>
                    <a:srcRect l="27530" r="30190"/>
                    <a:stretch/>
                  </pic:blipFill>
                  <pic:spPr bwMode="auto">
                    <a:xfrm>
                      <a:off x="0" y="0"/>
                      <a:ext cx="5202412" cy="53599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04B9F1" w14:textId="77777777" w:rsidR="001A4EFF" w:rsidRPr="001D2CE6" w:rsidRDefault="001A4EFF" w:rsidP="001A4EFF">
      <w:pPr>
        <w:spacing w:line="360" w:lineRule="auto"/>
        <w:jc w:val="both"/>
        <w:rPr>
          <w:color w:val="0D0D0D" w:themeColor="text1" w:themeTint="F2"/>
        </w:rPr>
      </w:pPr>
      <w:r w:rsidRPr="00D05289">
        <w:rPr>
          <w:b/>
          <w:bCs/>
          <w:color w:val="0D0D0D" w:themeColor="text1" w:themeTint="F2"/>
        </w:rPr>
        <w:t>Supplementary figure 3:</w:t>
      </w:r>
      <w:r w:rsidRPr="001D2CE6">
        <w:rPr>
          <w:color w:val="0D0D0D" w:themeColor="text1" w:themeTint="F2"/>
        </w:rPr>
        <w:t xml:space="preserve"> miRNA-mRNA network construction using </w:t>
      </w:r>
      <w:proofErr w:type="spellStart"/>
      <w:r w:rsidRPr="001D2CE6">
        <w:rPr>
          <w:color w:val="0D0D0D" w:themeColor="text1" w:themeTint="F2"/>
        </w:rPr>
        <w:t>miRNet</w:t>
      </w:r>
      <w:proofErr w:type="spellEnd"/>
      <w:r w:rsidRPr="001D2CE6">
        <w:rPr>
          <w:color w:val="0D0D0D" w:themeColor="text1" w:themeTint="F2"/>
        </w:rPr>
        <w:t xml:space="preserve"> software. The miRNA target genes were identified using </w:t>
      </w:r>
      <w:proofErr w:type="spellStart"/>
      <w:r w:rsidRPr="001D2CE6">
        <w:rPr>
          <w:color w:val="0D0D0D" w:themeColor="text1" w:themeTint="F2"/>
        </w:rPr>
        <w:t>miRNet</w:t>
      </w:r>
      <w:proofErr w:type="spellEnd"/>
      <w:r w:rsidRPr="001D2CE6">
        <w:rPr>
          <w:color w:val="0D0D0D" w:themeColor="text1" w:themeTint="F2"/>
        </w:rPr>
        <w:t xml:space="preserve"> web tool. The target miRNA genes identified were significantly (p&lt;0.0001) enriched in pathways such as erythropoiesis, cell cycle regulation, mTOR signalling, JAK-STAT pathway and cancer pathways. miRNA-target interaction networks constructed for each miRNA is based on the node ‘degree’ and ‘betweenness’ of miRNA and target gene. </w:t>
      </w:r>
    </w:p>
    <w:p w14:paraId="15495D1F" w14:textId="30CF7A67" w:rsidR="001A4EFF" w:rsidRDefault="001A4EFF" w:rsidP="00752BF3">
      <w:pPr>
        <w:ind w:firstLine="720"/>
        <w:jc w:val="center"/>
      </w:pPr>
      <w:r>
        <w:rPr>
          <w:b/>
          <w:bCs/>
          <w:noProof/>
          <w:color w:val="0D0D0D" w:themeColor="text1" w:themeTint="F2"/>
        </w:rPr>
        <w:lastRenderedPageBreak/>
        <w:drawing>
          <wp:inline distT="0" distB="0" distL="0" distR="0" wp14:anchorId="194E3F8F" wp14:editId="3B663748">
            <wp:extent cx="5137524" cy="4295775"/>
            <wp:effectExtent l="12700" t="12700" r="190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a:ext>
                      </a:extLst>
                    </a:blip>
                    <a:stretch>
                      <a:fillRect/>
                    </a:stretch>
                  </pic:blipFill>
                  <pic:spPr>
                    <a:xfrm>
                      <a:off x="0" y="0"/>
                      <a:ext cx="5144164" cy="4301327"/>
                    </a:xfrm>
                    <a:prstGeom prst="rect">
                      <a:avLst/>
                    </a:prstGeom>
                    <a:ln>
                      <a:solidFill>
                        <a:schemeClr val="tx1"/>
                      </a:solidFill>
                    </a:ln>
                  </pic:spPr>
                </pic:pic>
              </a:graphicData>
            </a:graphic>
          </wp:inline>
        </w:drawing>
      </w:r>
    </w:p>
    <w:p w14:paraId="22978F92" w14:textId="2B6B98D3" w:rsidR="001A4EFF" w:rsidRDefault="001A4EFF" w:rsidP="001A4EFF">
      <w:pPr>
        <w:ind w:firstLine="720"/>
      </w:pPr>
    </w:p>
    <w:p w14:paraId="0153F443" w14:textId="77777777" w:rsidR="001A4EFF" w:rsidRPr="001D2CE6" w:rsidRDefault="001A4EFF" w:rsidP="001A4EFF">
      <w:pPr>
        <w:spacing w:line="360" w:lineRule="auto"/>
        <w:jc w:val="both"/>
        <w:rPr>
          <w:color w:val="0D0D0D" w:themeColor="text1" w:themeTint="F2"/>
        </w:rPr>
      </w:pPr>
      <w:r w:rsidRPr="00D05289">
        <w:rPr>
          <w:b/>
          <w:bCs/>
          <w:color w:val="0D0D0D" w:themeColor="text1" w:themeTint="F2"/>
        </w:rPr>
        <w:t xml:space="preserve">Supplementary figure 4: </w:t>
      </w:r>
      <w:r w:rsidRPr="001D2CE6">
        <w:rPr>
          <w:color w:val="0D0D0D" w:themeColor="text1" w:themeTint="F2"/>
        </w:rPr>
        <w:t>Evaluation of ‘F cells’ and identification of apoptosis rate in miRNA transfected K562 cells. (4A) Gating strategy of K562 cells (linear scale) (4B)Unstained K562 cells as negative control (4C)Histogram depicts stained ‘F cells’ using anti-HbF FITC labelled antibody in K562 cells. The percent F cells were found to be 57.1%. (4D) Evaluation of apoptosis rate in non-transfected K562 cells using FITC labelled-Annexin V antibody and Propidium Iodide which was found to be 0.1%. (4E) Evaluation of apoptosis rate in miRNA transfected K562 cells using FITC labelled-Annexin V antibody and Propidium Iodide which was found to be 7.9%.</w:t>
      </w:r>
    </w:p>
    <w:p w14:paraId="59D2A6C0" w14:textId="2DD0C6B6" w:rsidR="001A4EFF" w:rsidRDefault="001A4EFF" w:rsidP="001A4EFF">
      <w:pPr>
        <w:ind w:firstLine="720"/>
        <w:rPr>
          <w:noProof/>
          <w:color w:val="0D0D0D" w:themeColor="text1" w:themeTint="F2"/>
        </w:rPr>
      </w:pPr>
      <w:r>
        <w:rPr>
          <w:noProof/>
          <w:color w:val="0D0D0D" w:themeColor="text1" w:themeTint="F2"/>
        </w:rPr>
        <w:lastRenderedPageBreak/>
        <w:drawing>
          <wp:inline distT="0" distB="0" distL="0" distR="0" wp14:anchorId="2A318D10" wp14:editId="49FD7042">
            <wp:extent cx="3957593" cy="3175635"/>
            <wp:effectExtent l="12700" t="12700" r="1778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 cstate="screen">
                      <a:extLst>
                        <a:ext uri="{28A0092B-C50C-407E-A947-70E740481C1C}">
                          <a14:useLocalDpi xmlns:a14="http://schemas.microsoft.com/office/drawing/2010/main"/>
                        </a:ext>
                      </a:extLst>
                    </a:blip>
                    <a:srcRect l="15958" t="12315" r="14973" b="13796"/>
                    <a:stretch/>
                  </pic:blipFill>
                  <pic:spPr bwMode="auto">
                    <a:xfrm>
                      <a:off x="0" y="0"/>
                      <a:ext cx="3958678" cy="31765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D640617" w14:textId="414A6F41" w:rsidR="001A4EFF" w:rsidRPr="001A4EFF" w:rsidRDefault="001A4EFF" w:rsidP="001A4EFF"/>
    <w:p w14:paraId="5F9AF4B7" w14:textId="56AB0418" w:rsidR="001A4EFF" w:rsidRDefault="001A4EFF" w:rsidP="001A4EFF">
      <w:pPr>
        <w:rPr>
          <w:noProof/>
          <w:color w:val="0D0D0D" w:themeColor="text1" w:themeTint="F2"/>
        </w:rPr>
      </w:pPr>
    </w:p>
    <w:p w14:paraId="76B5A506" w14:textId="4DC87093" w:rsidR="001A4EFF" w:rsidRPr="001D2CE6" w:rsidRDefault="001A4EFF" w:rsidP="00C619E1">
      <w:pPr>
        <w:spacing w:line="360" w:lineRule="auto"/>
        <w:jc w:val="both"/>
        <w:rPr>
          <w:color w:val="0D0D0D" w:themeColor="text1" w:themeTint="F2"/>
        </w:rPr>
      </w:pPr>
      <w:r w:rsidRPr="00D05289">
        <w:rPr>
          <w:b/>
          <w:bCs/>
          <w:color w:val="0D0D0D" w:themeColor="text1" w:themeTint="F2"/>
        </w:rPr>
        <w:t>Supplementary figure 5:</w:t>
      </w:r>
      <w:r w:rsidRPr="001D2CE6">
        <w:rPr>
          <w:color w:val="0D0D0D" w:themeColor="text1" w:themeTint="F2"/>
        </w:rPr>
        <w:t xml:space="preserve"> Transfection of miR-16-1 mimic in CD34+ cells in SCD patient. Transfection of miR-16-1 mimics resulted into significant upregulation of  y globin gene (6.6 folds) and downregulation of BCL11A (2.1 folds) and KLF-1 (5.1 folds) gene. </w:t>
      </w:r>
    </w:p>
    <w:p w14:paraId="3188E073" w14:textId="77777777" w:rsidR="001A4EFF" w:rsidRPr="001D2CE6" w:rsidRDefault="001A4EFF" w:rsidP="00C619E1">
      <w:pPr>
        <w:tabs>
          <w:tab w:val="left" w:pos="9360"/>
        </w:tabs>
        <w:spacing w:line="360" w:lineRule="auto"/>
        <w:ind w:left="360"/>
        <w:jc w:val="both"/>
        <w:rPr>
          <w:color w:val="0D0D0D" w:themeColor="text1" w:themeTint="F2"/>
        </w:rPr>
      </w:pPr>
      <w:r w:rsidRPr="001D2CE6">
        <w:rPr>
          <w:color w:val="0D0D0D" w:themeColor="text1" w:themeTint="F2"/>
        </w:rPr>
        <w:t xml:space="preserve">*Significant at p&lt;0.001, **Significant at p≤0.0001 </w:t>
      </w:r>
    </w:p>
    <w:p w14:paraId="79C8F0F8" w14:textId="6B176C9F" w:rsidR="001A4EFF" w:rsidRPr="001D2CE6" w:rsidRDefault="001A4EFF" w:rsidP="001A4EFF">
      <w:pPr>
        <w:tabs>
          <w:tab w:val="left" w:pos="2288"/>
        </w:tabs>
      </w:pPr>
    </w:p>
    <w:sectPr w:rsidR="001A4EFF" w:rsidRPr="001D2CE6" w:rsidSect="00AC502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FF"/>
    <w:rsid w:val="00091E62"/>
    <w:rsid w:val="001A4EFF"/>
    <w:rsid w:val="001D2CE6"/>
    <w:rsid w:val="005C4B60"/>
    <w:rsid w:val="00752BF3"/>
    <w:rsid w:val="00945E47"/>
    <w:rsid w:val="00AC502E"/>
    <w:rsid w:val="00B24511"/>
    <w:rsid w:val="00C619E1"/>
    <w:rsid w:val="00D052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0159CBD"/>
  <w15:chartTrackingRefBased/>
  <w15:docId w15:val="{393271BF-F8E8-B642-A691-EC4A7CC8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EF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3">
    <w:name w:val="Grid Table 6 Colorful Accent 3"/>
    <w:basedOn w:val="TableNormal"/>
    <w:uiPriority w:val="51"/>
    <w:rsid w:val="001A4EFF"/>
    <w:rPr>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273635">
      <w:bodyDiv w:val="1"/>
      <w:marLeft w:val="0"/>
      <w:marRight w:val="0"/>
      <w:marTop w:val="0"/>
      <w:marBottom w:val="0"/>
      <w:divBdr>
        <w:top w:val="none" w:sz="0" w:space="0" w:color="auto"/>
        <w:left w:val="none" w:sz="0" w:space="0" w:color="auto"/>
        <w:bottom w:val="none" w:sz="0" w:space="0" w:color="auto"/>
        <w:right w:val="none" w:sz="0" w:space="0" w:color="auto"/>
      </w:divBdr>
      <w:divsChild>
        <w:div w:id="1191918625">
          <w:marLeft w:val="0"/>
          <w:marRight w:val="0"/>
          <w:marTop w:val="0"/>
          <w:marBottom w:val="0"/>
          <w:divBdr>
            <w:top w:val="none" w:sz="0" w:space="0" w:color="auto"/>
            <w:left w:val="none" w:sz="0" w:space="0" w:color="auto"/>
            <w:bottom w:val="none" w:sz="0" w:space="0" w:color="auto"/>
            <w:right w:val="none" w:sz="0" w:space="0" w:color="auto"/>
          </w:divBdr>
        </w:div>
        <w:div w:id="2112822215">
          <w:marLeft w:val="0"/>
          <w:marRight w:val="0"/>
          <w:marTop w:val="0"/>
          <w:marBottom w:val="0"/>
          <w:divBdr>
            <w:top w:val="none" w:sz="0" w:space="0" w:color="auto"/>
            <w:left w:val="none" w:sz="0" w:space="0" w:color="auto"/>
            <w:bottom w:val="none" w:sz="0" w:space="0" w:color="auto"/>
            <w:right w:val="none" w:sz="0" w:space="0" w:color="auto"/>
          </w:divBdr>
          <w:divsChild>
            <w:div w:id="1725130745">
              <w:marLeft w:val="0"/>
              <w:marRight w:val="0"/>
              <w:marTop w:val="0"/>
              <w:marBottom w:val="0"/>
              <w:divBdr>
                <w:top w:val="none" w:sz="0" w:space="0" w:color="auto"/>
                <w:left w:val="none" w:sz="0" w:space="0" w:color="auto"/>
                <w:bottom w:val="none" w:sz="0" w:space="0" w:color="auto"/>
                <w:right w:val="none" w:sz="0" w:space="0" w:color="auto"/>
              </w:divBdr>
            </w:div>
            <w:div w:id="1691684859">
              <w:marLeft w:val="0"/>
              <w:marRight w:val="0"/>
              <w:marTop w:val="0"/>
              <w:marBottom w:val="0"/>
              <w:divBdr>
                <w:top w:val="none" w:sz="0" w:space="0" w:color="auto"/>
                <w:left w:val="none" w:sz="0" w:space="0" w:color="auto"/>
                <w:bottom w:val="none" w:sz="0" w:space="0" w:color="auto"/>
                <w:right w:val="none" w:sz="0" w:space="0" w:color="auto"/>
              </w:divBdr>
            </w:div>
            <w:div w:id="711687455">
              <w:marLeft w:val="0"/>
              <w:marRight w:val="0"/>
              <w:marTop w:val="0"/>
              <w:marBottom w:val="0"/>
              <w:divBdr>
                <w:top w:val="none" w:sz="0" w:space="0" w:color="auto"/>
                <w:left w:val="none" w:sz="0" w:space="0" w:color="auto"/>
                <w:bottom w:val="none" w:sz="0" w:space="0" w:color="auto"/>
                <w:right w:val="none" w:sz="0" w:space="0" w:color="auto"/>
              </w:divBdr>
            </w:div>
            <w:div w:id="726613820">
              <w:marLeft w:val="0"/>
              <w:marRight w:val="0"/>
              <w:marTop w:val="0"/>
              <w:marBottom w:val="0"/>
              <w:divBdr>
                <w:top w:val="none" w:sz="0" w:space="0" w:color="auto"/>
                <w:left w:val="none" w:sz="0" w:space="0" w:color="auto"/>
                <w:bottom w:val="none" w:sz="0" w:space="0" w:color="auto"/>
                <w:right w:val="none" w:sz="0" w:space="0" w:color="auto"/>
              </w:divBdr>
            </w:div>
            <w:div w:id="2102331620">
              <w:marLeft w:val="0"/>
              <w:marRight w:val="0"/>
              <w:marTop w:val="0"/>
              <w:marBottom w:val="0"/>
              <w:divBdr>
                <w:top w:val="none" w:sz="0" w:space="0" w:color="auto"/>
                <w:left w:val="none" w:sz="0" w:space="0" w:color="auto"/>
                <w:bottom w:val="none" w:sz="0" w:space="0" w:color="auto"/>
                <w:right w:val="none" w:sz="0" w:space="0" w:color="auto"/>
              </w:divBdr>
            </w:div>
            <w:div w:id="5378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2022-06-06T17:28:00Z</dcterms:created>
  <dcterms:modified xsi:type="dcterms:W3CDTF">2022-06-10T10:57:00Z</dcterms:modified>
</cp:coreProperties>
</file>