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E4EC8D" w14:textId="77777777" w:rsidR="00686BFE" w:rsidRPr="00A57C44" w:rsidRDefault="00686BFE" w:rsidP="00686BFE">
      <w:pPr>
        <w:spacing w:after="120"/>
        <w:jc w:val="both"/>
        <w:rPr>
          <w:b/>
          <w:bCs/>
          <w:sz w:val="20"/>
          <w:szCs w:val="20"/>
          <w:lang w:val="en-US"/>
        </w:rPr>
      </w:pPr>
      <w:r>
        <w:rPr>
          <w:b/>
          <w:bCs/>
          <w:sz w:val="20"/>
          <w:szCs w:val="20"/>
          <w:bdr w:val="nil"/>
          <w:lang w:val="en-US"/>
        </w:rPr>
        <w:t>3. RESULTS</w:t>
      </w:r>
    </w:p>
    <w:p w14:paraId="09539CC4" w14:textId="77777777" w:rsidR="00686BFE" w:rsidRPr="00A57C44" w:rsidRDefault="00686BFE" w:rsidP="00686BFE">
      <w:pPr>
        <w:spacing w:after="120" w:line="480" w:lineRule="auto"/>
        <w:jc w:val="both"/>
        <w:rPr>
          <w:sz w:val="20"/>
          <w:szCs w:val="20"/>
          <w:lang w:val="en-US"/>
        </w:rPr>
      </w:pPr>
      <w:r>
        <w:rPr>
          <w:sz w:val="20"/>
          <w:szCs w:val="20"/>
          <w:highlight w:val="yellow"/>
          <w:bdr w:val="nil"/>
          <w:lang w:val="en-US"/>
        </w:rPr>
        <w:t>Eighteen patients were excluded from the sample for dropping out during the collection period, resulting in a sample of 114 participants</w:t>
      </w:r>
      <w:r>
        <w:rPr>
          <w:sz w:val="20"/>
          <w:szCs w:val="20"/>
          <w:bdr w:val="nil"/>
          <w:lang w:val="en-US"/>
        </w:rPr>
        <w:t xml:space="preserve"> at 76.81% test power. From the 114 patients included in the sample, 16 (14%) were men diagnosed with prostate cancer who used bicalutamide and 98 (86%) were women diagnosed with breast cancer who used anastrozole. The average age was 64.88 (EP +/- 0.87) years, whereas the minimum age was 43 years and the maximum age was 86 years.</w:t>
      </w:r>
    </w:p>
    <w:p w14:paraId="67B1BFE0" w14:textId="77777777" w:rsidR="00686BFE" w:rsidRPr="00A57C44" w:rsidRDefault="00686BFE" w:rsidP="00686BFE">
      <w:pPr>
        <w:spacing w:after="120" w:line="480" w:lineRule="auto"/>
        <w:jc w:val="both"/>
        <w:rPr>
          <w:sz w:val="20"/>
          <w:szCs w:val="20"/>
          <w:lang w:val="en-US"/>
        </w:rPr>
      </w:pPr>
      <w:r>
        <w:rPr>
          <w:sz w:val="20"/>
          <w:szCs w:val="20"/>
          <w:bdr w:val="nil"/>
          <w:lang w:val="en-US"/>
        </w:rPr>
        <w:t xml:space="preserve">Besides antineoplastic drugs, 92 patients (80.7%) used some other medication, especially for cardiovascular diseases or mental disorders. These medications were used before cancer treatment by 70 (76.1%) patients. </w:t>
      </w:r>
      <w:r>
        <w:rPr>
          <w:sz w:val="20"/>
          <w:szCs w:val="20"/>
          <w:highlight w:val="yellow"/>
          <w:bdr w:val="nil"/>
          <w:lang w:val="en-US"/>
        </w:rPr>
        <w:t>Table 1 shows the association between the presence of xerostomia reported by patients, before and after starting hormone therapy. The chi-square test presented a statistically significant result (p=0.005)</w:t>
      </w:r>
      <w:r>
        <w:rPr>
          <w:sz w:val="20"/>
          <w:szCs w:val="20"/>
          <w:bdr w:val="nil"/>
          <w:lang w:val="en-US"/>
        </w:rPr>
        <w:t>.</w:t>
      </w:r>
    </w:p>
    <w:p w14:paraId="291AE8D1" w14:textId="77777777" w:rsidR="00686BFE" w:rsidRPr="00A57C44" w:rsidRDefault="00686BFE" w:rsidP="00686BFE">
      <w:pPr>
        <w:spacing w:after="120" w:line="480" w:lineRule="auto"/>
        <w:jc w:val="both"/>
        <w:rPr>
          <w:sz w:val="20"/>
          <w:szCs w:val="20"/>
          <w:lang w:val="en-US"/>
        </w:rPr>
      </w:pPr>
      <w:r>
        <w:rPr>
          <w:sz w:val="20"/>
          <w:szCs w:val="20"/>
          <w:bdr w:val="nil"/>
          <w:lang w:val="en-US"/>
        </w:rPr>
        <w:t xml:space="preserve">Table 1: </w:t>
      </w:r>
      <w:r>
        <w:rPr>
          <w:sz w:val="20"/>
          <w:szCs w:val="20"/>
          <w:highlight w:val="yellow"/>
          <w:bdr w:val="nil"/>
          <w:lang w:val="en-US"/>
        </w:rPr>
        <w:t>Association between the presence of xerostomia reported by patients, before and after starting hormone therapy.</w:t>
      </w:r>
    </w:p>
    <w:p w14:paraId="086257BF" w14:textId="77777777" w:rsidR="00686BFE" w:rsidRPr="00A57C44" w:rsidRDefault="00686BFE" w:rsidP="00686BFE">
      <w:pPr>
        <w:spacing w:after="120" w:line="480" w:lineRule="auto"/>
        <w:jc w:val="both"/>
        <w:rPr>
          <w:sz w:val="20"/>
          <w:szCs w:val="20"/>
          <w:lang w:val="en-US"/>
        </w:rPr>
      </w:pPr>
      <w:r>
        <w:rPr>
          <w:sz w:val="20"/>
          <w:szCs w:val="20"/>
          <w:highlight w:val="yellow"/>
          <w:bdr w:val="nil"/>
          <w:lang w:val="en-US"/>
        </w:rPr>
        <w:t>Decreased resting salivary flow was observed in 65 (85.1%) patients and stimulated salivary flow was observed in 97 (85.1%) patients</w:t>
      </w:r>
      <w:r>
        <w:rPr>
          <w:sz w:val="20"/>
          <w:szCs w:val="20"/>
          <w:bdr w:val="nil"/>
          <w:lang w:val="en-US"/>
        </w:rPr>
        <w:t xml:space="preserve">. The mean resting salivary flow volume for the patients using anastrozole was 0.13 mL/min (EP </w:t>
      </w:r>
      <m:oMath>
        <m:r>
          <w:rPr>
            <w:rFonts w:ascii="Cambria Math" w:hAnsi="Cambria Math"/>
            <w:sz w:val="20"/>
            <w:szCs w:val="20"/>
            <w:lang w:val="en-US"/>
          </w:rPr>
          <m:t>±0.12)</m:t>
        </m:r>
      </m:oMath>
      <w:r>
        <w:rPr>
          <w:sz w:val="20"/>
          <w:szCs w:val="20"/>
          <w:bdr w:val="nil"/>
          <w:lang w:val="en-US"/>
        </w:rPr>
        <w:t xml:space="preserve">), while the mean stimulated salivary flow volume was 0.51 mL/min (EP </w:t>
      </w:r>
      <m:oMath>
        <m:r>
          <w:rPr>
            <w:rFonts w:ascii="Cambria Math" w:hAnsi="Cambria Math"/>
            <w:sz w:val="20"/>
            <w:szCs w:val="20"/>
            <w:lang w:val="en-US"/>
          </w:rPr>
          <m:t>±0.35</m:t>
        </m:r>
      </m:oMath>
      <w:r>
        <w:rPr>
          <w:sz w:val="20"/>
          <w:szCs w:val="20"/>
          <w:bdr w:val="nil"/>
          <w:lang w:val="en-US"/>
        </w:rPr>
        <w:t xml:space="preserve">). In patients using bicalutamide, the mean resting salivary flow volume was 0.24 mL/min (EP </w:t>
      </w:r>
      <m:oMath>
        <m:r>
          <w:rPr>
            <w:rFonts w:ascii="Cambria Math" w:hAnsi="Cambria Math"/>
            <w:sz w:val="20"/>
            <w:szCs w:val="20"/>
            <w:lang w:val="en-US"/>
          </w:rPr>
          <m:t>±0.70)</m:t>
        </m:r>
      </m:oMath>
      <w:r>
        <w:rPr>
          <w:sz w:val="20"/>
          <w:szCs w:val="20"/>
          <w:bdr w:val="nil"/>
          <w:lang w:val="en-US"/>
        </w:rPr>
        <w:t xml:space="preserve">), while the mean stimulated salivary flow volume was 0.97 mL/min (EP </w:t>
      </w:r>
      <m:oMath>
        <m:r>
          <w:rPr>
            <w:rFonts w:ascii="Cambria Math" w:hAnsi="Cambria Math"/>
            <w:sz w:val="20"/>
            <w:szCs w:val="20"/>
            <w:lang w:val="en-US"/>
          </w:rPr>
          <m:t>±0.23</m:t>
        </m:r>
      </m:oMath>
      <w:r>
        <w:rPr>
          <w:sz w:val="20"/>
          <w:szCs w:val="20"/>
          <w:bdr w:val="nil"/>
          <w:lang w:val="en-US"/>
        </w:rPr>
        <w:t>). The stimulated salivary flow volume presented a statistically significant result between the different groups; p = 0.0001 (CI: -0.0/0.05).</w:t>
      </w:r>
    </w:p>
    <w:p w14:paraId="3FCCE83E" w14:textId="77777777" w:rsidR="00686BFE" w:rsidRPr="00A57C44" w:rsidRDefault="00686BFE" w:rsidP="00686BFE">
      <w:pPr>
        <w:spacing w:after="120" w:line="480" w:lineRule="auto"/>
        <w:jc w:val="both"/>
        <w:rPr>
          <w:sz w:val="20"/>
          <w:szCs w:val="20"/>
          <w:lang w:val="en-US"/>
        </w:rPr>
      </w:pPr>
      <w:r>
        <w:rPr>
          <w:sz w:val="20"/>
          <w:szCs w:val="20"/>
          <w:bdr w:val="nil"/>
          <w:lang w:val="en-US"/>
        </w:rPr>
        <w:t>Table 2 shows the association between the type of hormone therapy drugs used and the presence of resting hyposalivation and stimulated hyposalivation, revealing a statistically significant result for stimulated hyposalivation (p=0.015).</w:t>
      </w:r>
    </w:p>
    <w:p w14:paraId="32F672A8" w14:textId="77777777" w:rsidR="00686BFE" w:rsidRPr="00A57C44" w:rsidRDefault="00686BFE" w:rsidP="00686BFE">
      <w:pPr>
        <w:spacing w:after="120"/>
        <w:jc w:val="both"/>
        <w:rPr>
          <w:sz w:val="20"/>
          <w:szCs w:val="20"/>
          <w:lang w:val="en-US"/>
        </w:rPr>
      </w:pPr>
      <w:r>
        <w:rPr>
          <w:sz w:val="20"/>
          <w:szCs w:val="20"/>
          <w:bdr w:val="nil"/>
          <w:lang w:val="en-US"/>
        </w:rPr>
        <w:t xml:space="preserve">Table </w:t>
      </w:r>
      <w:r>
        <w:rPr>
          <w:b/>
          <w:bCs/>
          <w:sz w:val="20"/>
          <w:szCs w:val="20"/>
          <w:bdr w:val="nil"/>
          <w:lang w:val="en-US"/>
        </w:rPr>
        <w:t>2.</w:t>
      </w:r>
      <w:r>
        <w:rPr>
          <w:sz w:val="20"/>
          <w:szCs w:val="20"/>
          <w:bdr w:val="nil"/>
          <w:lang w:val="en-US"/>
        </w:rPr>
        <w:t xml:space="preserve"> Association between hormone therapy drugs and resting and stimulated hyposalivation</w:t>
      </w:r>
      <m:oMath>
        <m:sSup>
          <m:sSup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pPr>
          <m:e>
            <m:r>
              <w:rPr>
                <w:rFonts w:ascii="Cambria Math" w:hAnsi="Cambria Math"/>
                <w:sz w:val="20"/>
                <w:szCs w:val="20"/>
                <w:lang w:val="en-US"/>
              </w:rPr>
              <m:t xml:space="preserve"> </m:t>
            </m:r>
            <m:r>
              <w:rPr>
                <w:rFonts w:ascii="Cambria Math" w:hAnsi="Cambria Math"/>
                <w:sz w:val="20"/>
                <w:szCs w:val="20"/>
              </w:rPr>
              <m:t>Test</m:t>
            </m:r>
            <m:r>
              <w:rPr>
                <w:rFonts w:ascii="Cambria Math" w:hAnsi="Cambria Math"/>
                <w:sz w:val="20"/>
                <w:szCs w:val="20"/>
                <w:lang w:val="en-US"/>
              </w:rPr>
              <m:t xml:space="preserve">- </m:t>
            </m:r>
            <m:r>
              <w:rPr>
                <w:rFonts w:ascii="Cambria Math" w:hAnsi="Cambria Math"/>
                <w:sz w:val="20"/>
                <w:szCs w:val="20"/>
              </w:rPr>
              <m:t>χ</m:t>
            </m:r>
          </m:e>
          <m:sup>
            <m:r>
              <w:rPr>
                <w:rFonts w:ascii="Cambria Math" w:hAnsi="Cambria Math"/>
                <w:sz w:val="20"/>
                <w:szCs w:val="20"/>
                <w:lang w:val="en-US"/>
              </w:rPr>
              <m:t>2</m:t>
            </m:r>
          </m:sup>
        </m:sSup>
        <m:r>
          <w:rPr>
            <w:rFonts w:ascii="Cambria Math" w:hAnsi="Cambria Math"/>
            <w:sz w:val="20"/>
            <w:szCs w:val="20"/>
            <w:lang w:val="en-US"/>
          </w:rPr>
          <m:t xml:space="preserve"> </m:t>
        </m:r>
      </m:oMath>
      <w:r>
        <w:rPr>
          <w:sz w:val="20"/>
          <w:szCs w:val="20"/>
          <w:bdr w:val="nil"/>
          <w:lang w:val="en-US"/>
        </w:rPr>
        <w:t>.</w:t>
      </w:r>
    </w:p>
    <w:p w14:paraId="33997298" w14:textId="77777777" w:rsidR="00686BFE" w:rsidRPr="00A57C44" w:rsidRDefault="00686BFE" w:rsidP="00686BFE">
      <w:pPr>
        <w:spacing w:after="120"/>
        <w:jc w:val="both"/>
        <w:rPr>
          <w:sz w:val="20"/>
          <w:szCs w:val="20"/>
          <w:lang w:val="en-US"/>
        </w:rPr>
      </w:pPr>
    </w:p>
    <w:p w14:paraId="20CE09B6" w14:textId="77777777" w:rsidR="00686BFE" w:rsidRPr="00A57C44" w:rsidRDefault="00686BFE" w:rsidP="00686BFE">
      <w:pPr>
        <w:spacing w:after="120" w:line="480" w:lineRule="auto"/>
        <w:jc w:val="both"/>
        <w:rPr>
          <w:sz w:val="20"/>
          <w:szCs w:val="20"/>
          <w:lang w:val="en-US"/>
        </w:rPr>
      </w:pPr>
      <w:r>
        <w:rPr>
          <w:sz w:val="20"/>
          <w:szCs w:val="20"/>
          <w:bdr w:val="nil"/>
          <w:lang w:val="en-US"/>
        </w:rPr>
        <w:t xml:space="preserve">When considering the association between the use of hormone therapy drugs, the presence of hyposalivation regardless of salivary flow stimulus, and the presence of xerostomia, the </w:t>
      </w:r>
      <m:oMath>
        <m:sSup>
          <m:sSup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pPr>
          <m:e>
            <m:r>
              <w:rPr>
                <w:rFonts w:ascii="Cambria Math" w:hAnsi="Cambria Math"/>
                <w:sz w:val="20"/>
                <w:szCs w:val="20"/>
                <w:lang w:val="en-US"/>
              </w:rPr>
              <m:t xml:space="preserve"> </m:t>
            </m:r>
            <m:r>
              <w:rPr>
                <w:rFonts w:ascii="Cambria Math" w:hAnsi="Cambria Math"/>
                <w:sz w:val="20"/>
                <w:szCs w:val="20"/>
              </w:rPr>
              <m:t>Test</m:t>
            </m:r>
            <m:r>
              <w:rPr>
                <w:rFonts w:ascii="Cambria Math" w:hAnsi="Cambria Math"/>
                <w:sz w:val="20"/>
                <w:szCs w:val="20"/>
                <w:lang w:val="en-US"/>
              </w:rPr>
              <m:t xml:space="preserve">- </m:t>
            </m:r>
            <m:r>
              <w:rPr>
                <w:rFonts w:ascii="Cambria Math" w:hAnsi="Cambria Math"/>
                <w:sz w:val="20"/>
                <w:szCs w:val="20"/>
              </w:rPr>
              <m:t>χ</m:t>
            </m:r>
          </m:e>
          <m:sup>
            <m:r>
              <w:rPr>
                <w:rFonts w:ascii="Cambria Math" w:hAnsi="Cambria Math"/>
                <w:sz w:val="20"/>
                <w:szCs w:val="20"/>
                <w:lang w:val="en-US"/>
              </w:rPr>
              <m:t>2</m:t>
            </m:r>
          </m:sup>
        </m:sSup>
        <m:r>
          <w:rPr>
            <w:rFonts w:ascii="Cambria Math" w:hAnsi="Cambria Math"/>
            <w:sz w:val="20"/>
            <w:szCs w:val="20"/>
            <w:lang w:val="en-US"/>
          </w:rPr>
          <m:t xml:space="preserve"> </m:t>
        </m:r>
      </m:oMath>
      <w:r>
        <w:rPr>
          <w:sz w:val="20"/>
          <w:szCs w:val="20"/>
          <w:bdr w:val="nil"/>
          <w:lang w:val="en-US"/>
        </w:rPr>
        <w:t>presented a statistically significant result (p = 0.049; p = 0.001, respectively), as shown in Table 3.</w:t>
      </w:r>
    </w:p>
    <w:p w14:paraId="1B575274" w14:textId="77777777" w:rsidR="00686BFE" w:rsidRPr="00A57C44" w:rsidRDefault="00686BFE" w:rsidP="00686BFE">
      <w:pPr>
        <w:spacing w:after="120"/>
        <w:jc w:val="both"/>
        <w:rPr>
          <w:sz w:val="20"/>
          <w:szCs w:val="20"/>
          <w:lang w:val="en-US"/>
        </w:rPr>
      </w:pPr>
      <w:r>
        <w:rPr>
          <w:sz w:val="20"/>
          <w:szCs w:val="20"/>
          <w:bdr w:val="nil"/>
          <w:lang w:val="en-US"/>
        </w:rPr>
        <w:t xml:space="preserve">Table </w:t>
      </w:r>
      <w:r>
        <w:rPr>
          <w:b/>
          <w:bCs/>
          <w:sz w:val="20"/>
          <w:szCs w:val="20"/>
          <w:bdr w:val="nil"/>
          <w:lang w:val="en-US"/>
        </w:rPr>
        <w:t>3</w:t>
      </w:r>
      <w:r>
        <w:rPr>
          <w:sz w:val="20"/>
          <w:szCs w:val="20"/>
          <w:bdr w:val="nil"/>
          <w:lang w:val="en-US"/>
        </w:rPr>
        <w:t>: Association between hyposalivation and hormone therapy drug</w:t>
      </w:r>
      <m:oMath>
        <m:sSup>
          <m:sSup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pPr>
          <m:e>
            <m:r>
              <w:rPr>
                <w:rFonts w:ascii="Cambria Math" w:hAnsi="Cambria Math"/>
                <w:sz w:val="20"/>
                <w:szCs w:val="20"/>
                <w:lang w:val="en-US"/>
              </w:rPr>
              <m:t xml:space="preserve"> </m:t>
            </m:r>
            <m:r>
              <w:rPr>
                <w:rFonts w:ascii="Cambria Math" w:hAnsi="Cambria Math"/>
                <w:sz w:val="20"/>
                <w:szCs w:val="20"/>
              </w:rPr>
              <m:t>Test</m:t>
            </m:r>
            <m:r>
              <w:rPr>
                <w:rFonts w:ascii="Cambria Math" w:hAnsi="Cambria Math"/>
                <w:sz w:val="20"/>
                <w:szCs w:val="20"/>
                <w:lang w:val="en-US"/>
              </w:rPr>
              <m:t xml:space="preserve">- </m:t>
            </m:r>
            <m:r>
              <w:rPr>
                <w:rFonts w:ascii="Cambria Math" w:hAnsi="Cambria Math"/>
                <w:sz w:val="20"/>
                <w:szCs w:val="20"/>
              </w:rPr>
              <m:t>χ</m:t>
            </m:r>
          </m:e>
          <m:sup>
            <m:r>
              <w:rPr>
                <w:rFonts w:ascii="Cambria Math" w:hAnsi="Cambria Math"/>
                <w:sz w:val="20"/>
                <w:szCs w:val="20"/>
                <w:lang w:val="en-US"/>
              </w:rPr>
              <m:t>2</m:t>
            </m:r>
          </m:sup>
        </m:sSup>
      </m:oMath>
    </w:p>
    <w:p w14:paraId="320E7409" w14:textId="77777777" w:rsidR="00386883" w:rsidRDefault="00686BFE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6BFE"/>
    <w:rsid w:val="00316534"/>
    <w:rsid w:val="00686BFE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A6CE70"/>
  <w15:chartTrackingRefBased/>
  <w15:docId w15:val="{FE18FE90-BCE9-4A30-B908-6A26B3BD62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6B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355</Words>
  <Characters>2029</Characters>
  <Application>Microsoft Office Word</Application>
  <DocSecurity>0</DocSecurity>
  <Lines>16</Lines>
  <Paragraphs>4</Paragraphs>
  <ScaleCrop>false</ScaleCrop>
  <Company/>
  <LinksUpToDate>false</LinksUpToDate>
  <CharactersWithSpaces>2380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2020-08-14T18:01:00Z</dcterms:created>
  <dcterms:modified xsi:type="dcterms:W3CDTF">2020-08-14T18:01:00Z</dcterms:modified>
</cp:coreProperties>
</file>