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7"/>
        <w:gridCol w:w="1688"/>
        <w:gridCol w:w="1680"/>
        <w:gridCol w:w="1818"/>
        <w:gridCol w:w="2054"/>
        <w:gridCol w:w="2075"/>
        <w:gridCol w:w="3026"/>
      </w:tblGrid>
      <w:tr w:rsidR="000E5D28" w:rsidRPr="000E5D28" w14:paraId="35460EB1" w14:textId="77777777" w:rsidTr="00137A93">
        <w:trPr>
          <w:trHeight w:val="540"/>
        </w:trPr>
        <w:tc>
          <w:tcPr>
            <w:tcW w:w="0" w:type="auto"/>
            <w:gridSpan w:val="7"/>
            <w:tcBorders>
              <w:bottom w:val="single" w:sz="4" w:space="0" w:color="auto"/>
            </w:tcBorders>
            <w:hideMark/>
          </w:tcPr>
          <w:p w14:paraId="1BB62214" w14:textId="77777777" w:rsidR="000E5D28" w:rsidRPr="000E5D28" w:rsidRDefault="000E5D28" w:rsidP="000E5D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5D28">
              <w:rPr>
                <w:rFonts w:ascii="Times New Roman" w:hAnsi="Times New Roman" w:cs="Times New Roman"/>
                <w:sz w:val="24"/>
                <w:szCs w:val="24"/>
              </w:rPr>
              <w:t xml:space="preserve">Table 2. Proportion and Median Survival among Patients of Breast Cancer </w:t>
            </w:r>
            <w:proofErr w:type="gramStart"/>
            <w:r w:rsidRPr="000E5D28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proofErr w:type="gramEnd"/>
            <w:r w:rsidRPr="000E5D28">
              <w:rPr>
                <w:rFonts w:ascii="Times New Roman" w:hAnsi="Times New Roman" w:cs="Times New Roman"/>
                <w:sz w:val="24"/>
                <w:szCs w:val="24"/>
              </w:rPr>
              <w:t xml:space="preserve"> Identified Liver Metastases by Subtype (</w:t>
            </w:r>
            <w:r w:rsidRPr="000E5D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FUSCC</w:t>
            </w:r>
            <w:r w:rsidRPr="000E5D2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E5D28" w:rsidRPr="000E5D28" w14:paraId="40BB0769" w14:textId="77777777" w:rsidTr="00134E17">
        <w:trPr>
          <w:trHeight w:val="480"/>
        </w:trPr>
        <w:tc>
          <w:tcPr>
            <w:tcW w:w="1635" w:type="dxa"/>
            <w:vMerge w:val="restart"/>
            <w:tcBorders>
              <w:top w:val="single" w:sz="4" w:space="0" w:color="auto"/>
            </w:tcBorders>
            <w:hideMark/>
          </w:tcPr>
          <w:p w14:paraId="5BAE6355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bookmarkStart w:id="0" w:name="_GoBack"/>
            <w:r w:rsidRPr="000E5D28">
              <w:rPr>
                <w:rFonts w:ascii="Times New Roman" w:hAnsi="Times New Roman" w:cs="Times New Roman"/>
                <w:szCs w:val="21"/>
              </w:rPr>
              <w:t>Subtype</w:t>
            </w:r>
          </w:p>
        </w:tc>
        <w:tc>
          <w:tcPr>
            <w:tcW w:w="5289" w:type="dxa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C259536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Patients of Liver Metastases, No. (%)</w:t>
            </w:r>
          </w:p>
        </w:tc>
        <w:tc>
          <w:tcPr>
            <w:tcW w:w="7034" w:type="dxa"/>
            <w:gridSpan w:val="3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8DA1095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Survival </w:t>
            </w:r>
            <w:proofErr w:type="spellStart"/>
            <w:proofErr w:type="gramStart"/>
            <w:r w:rsidR="00D375F2" w:rsidRPr="00D375F2">
              <w:rPr>
                <w:rFonts w:ascii="Times New Roman" w:hAnsi="Times New Roman" w:cs="Times New Roman"/>
                <w:sz w:val="24"/>
                <w:vertAlign w:val="superscript"/>
              </w:rPr>
              <w:t>a</w:t>
            </w:r>
            <w:proofErr w:type="spellEnd"/>
            <w:r w:rsidRPr="000E5D28">
              <w:rPr>
                <w:rFonts w:ascii="Times New Roman" w:hAnsi="Times New Roman" w:cs="Times New Roman"/>
                <w:szCs w:val="21"/>
              </w:rPr>
              <w:t xml:space="preserve">  Among</w:t>
            </w:r>
            <w:proofErr w:type="gramEnd"/>
            <w:r w:rsidRPr="000E5D28">
              <w:rPr>
                <w:rFonts w:ascii="Times New Roman" w:hAnsi="Times New Roman" w:cs="Times New Roman"/>
                <w:szCs w:val="21"/>
              </w:rPr>
              <w:t xml:space="preserve"> Patients With Liver Metastases, Median (95% CI), mo</w:t>
            </w:r>
            <w:r>
              <w:rPr>
                <w:rFonts w:ascii="Times New Roman" w:hAnsi="Times New Roman" w:cs="Times New Roman"/>
                <w:szCs w:val="21"/>
              </w:rPr>
              <w:t>nths</w:t>
            </w:r>
            <w:r w:rsidRPr="000E5D28">
              <w:rPr>
                <w:rFonts w:ascii="Times New Roman" w:hAnsi="Times New Roman" w:cs="Times New Roman"/>
                <w:szCs w:val="21"/>
              </w:rPr>
              <w:t xml:space="preserve">  </w:t>
            </w:r>
          </w:p>
        </w:tc>
      </w:tr>
      <w:tr w:rsidR="000E5D28" w:rsidRPr="000E5D28" w14:paraId="46EDAC54" w14:textId="77777777" w:rsidTr="00137A93">
        <w:trPr>
          <w:trHeight w:val="987"/>
        </w:trPr>
        <w:tc>
          <w:tcPr>
            <w:tcW w:w="1635" w:type="dxa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2181478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0D62AD1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With Breast Cancer Liver Metastases</w:t>
            </w:r>
          </w:p>
        </w:tc>
        <w:tc>
          <w:tcPr>
            <w:tcW w:w="171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3356AFE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With First Liver</w:t>
            </w:r>
          </w:p>
          <w:p w14:paraId="73566EA8" w14:textId="77777777" w:rsidR="000E5D28" w:rsidRPr="000E5D28" w:rsidRDefault="000E5D28" w:rsidP="00BC18EE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 xml:space="preserve">Metastases </w:t>
            </w:r>
            <w:r w:rsidR="00D375F2" w:rsidRPr="00D375F2">
              <w:rPr>
                <w:rFonts w:ascii="Times New Roman" w:hAnsi="Times New Roman" w:cs="Times New Roman"/>
                <w:sz w:val="24"/>
                <w:vertAlign w:val="superscript"/>
              </w:rPr>
              <w:t>b</w:t>
            </w:r>
            <w:r w:rsidRPr="000E5D28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85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5E021CF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 xml:space="preserve">With Subsequent Liver Metastases </w:t>
            </w:r>
            <w:r w:rsidR="00D375F2" w:rsidRPr="00D375F2">
              <w:rPr>
                <w:rFonts w:ascii="Times New Roman" w:hAnsi="Times New Roman" w:cs="Times New Roman"/>
                <w:sz w:val="24"/>
                <w:vertAlign w:val="superscript"/>
              </w:rPr>
              <w:t>C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7DE8EE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Among Entire population</w:t>
            </w:r>
          </w:p>
        </w:tc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35DA711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With First Liver</w:t>
            </w:r>
          </w:p>
          <w:p w14:paraId="3ADED7EC" w14:textId="77777777" w:rsidR="000E5D28" w:rsidRPr="000E5D28" w:rsidRDefault="000E5D28" w:rsidP="00E9207C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Metastases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20E3AAD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With Subsequent Liver Metastases</w:t>
            </w:r>
          </w:p>
        </w:tc>
      </w:tr>
      <w:bookmarkEnd w:id="0"/>
      <w:tr w:rsidR="000E5D28" w:rsidRPr="000E5D28" w14:paraId="06D122CD" w14:textId="77777777" w:rsidTr="00137A93">
        <w:trPr>
          <w:trHeight w:val="540"/>
        </w:trPr>
        <w:tc>
          <w:tcPr>
            <w:tcW w:w="1635" w:type="dxa"/>
            <w:tcBorders>
              <w:top w:val="single" w:sz="4" w:space="0" w:color="auto"/>
            </w:tcBorders>
            <w:hideMark/>
          </w:tcPr>
          <w:p w14:paraId="26F8F62C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HR+/HER2-</w:t>
            </w:r>
          </w:p>
        </w:tc>
        <w:tc>
          <w:tcPr>
            <w:tcW w:w="1721" w:type="dxa"/>
            <w:tcBorders>
              <w:top w:val="single" w:sz="4" w:space="0" w:color="auto"/>
            </w:tcBorders>
            <w:hideMark/>
          </w:tcPr>
          <w:p w14:paraId="3808BFCA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767(44.39)</w:t>
            </w:r>
          </w:p>
        </w:tc>
        <w:tc>
          <w:tcPr>
            <w:tcW w:w="1712" w:type="dxa"/>
            <w:tcBorders>
              <w:top w:val="single" w:sz="4" w:space="0" w:color="auto"/>
            </w:tcBorders>
            <w:hideMark/>
          </w:tcPr>
          <w:p w14:paraId="42B27F00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414(38.09)</w:t>
            </w:r>
          </w:p>
        </w:tc>
        <w:tc>
          <w:tcPr>
            <w:tcW w:w="1856" w:type="dxa"/>
            <w:tcBorders>
              <w:top w:val="single" w:sz="4" w:space="0" w:color="auto"/>
            </w:tcBorders>
            <w:hideMark/>
          </w:tcPr>
          <w:p w14:paraId="54BEFBF0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353(55.07)</w:t>
            </w:r>
          </w:p>
        </w:tc>
        <w:tc>
          <w:tcPr>
            <w:tcW w:w="2100" w:type="dxa"/>
            <w:tcBorders>
              <w:top w:val="single" w:sz="4" w:space="0" w:color="auto"/>
            </w:tcBorders>
            <w:hideMark/>
          </w:tcPr>
          <w:p w14:paraId="3DD41754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28.53(26.10-31.80)</w:t>
            </w:r>
          </w:p>
        </w:tc>
        <w:tc>
          <w:tcPr>
            <w:tcW w:w="2122" w:type="dxa"/>
            <w:tcBorders>
              <w:top w:val="single" w:sz="4" w:space="0" w:color="auto"/>
            </w:tcBorders>
            <w:hideMark/>
          </w:tcPr>
          <w:p w14:paraId="0C8FD5FF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38.30(32.30-44.17)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0511615F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18.47(16.93-23.27)</w:t>
            </w:r>
          </w:p>
        </w:tc>
      </w:tr>
      <w:tr w:rsidR="000E5D28" w:rsidRPr="000E5D28" w14:paraId="0B287309" w14:textId="77777777" w:rsidTr="00D375F2">
        <w:trPr>
          <w:trHeight w:val="540"/>
        </w:trPr>
        <w:tc>
          <w:tcPr>
            <w:tcW w:w="1635" w:type="dxa"/>
            <w:hideMark/>
          </w:tcPr>
          <w:p w14:paraId="2030C92C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HR+/HER2+</w:t>
            </w:r>
          </w:p>
        </w:tc>
        <w:tc>
          <w:tcPr>
            <w:tcW w:w="1721" w:type="dxa"/>
            <w:hideMark/>
          </w:tcPr>
          <w:p w14:paraId="0AA26764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305(17.65)</w:t>
            </w:r>
          </w:p>
        </w:tc>
        <w:tc>
          <w:tcPr>
            <w:tcW w:w="1712" w:type="dxa"/>
            <w:hideMark/>
          </w:tcPr>
          <w:p w14:paraId="136528F8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215(19.78)</w:t>
            </w:r>
          </w:p>
        </w:tc>
        <w:tc>
          <w:tcPr>
            <w:tcW w:w="1856" w:type="dxa"/>
            <w:hideMark/>
          </w:tcPr>
          <w:p w14:paraId="2AE16A11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90(14.04)</w:t>
            </w:r>
          </w:p>
        </w:tc>
        <w:tc>
          <w:tcPr>
            <w:tcW w:w="2100" w:type="dxa"/>
            <w:hideMark/>
          </w:tcPr>
          <w:p w14:paraId="24AEDBF4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34.00(29.40-40.30)</w:t>
            </w:r>
          </w:p>
        </w:tc>
        <w:tc>
          <w:tcPr>
            <w:tcW w:w="2122" w:type="dxa"/>
            <w:hideMark/>
          </w:tcPr>
          <w:p w14:paraId="6338E7F2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42.43(38.17-58.50)</w:t>
            </w:r>
          </w:p>
        </w:tc>
        <w:tc>
          <w:tcPr>
            <w:tcW w:w="0" w:type="auto"/>
            <w:hideMark/>
          </w:tcPr>
          <w:p w14:paraId="1927139F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20.87(16.30-29.30)</w:t>
            </w:r>
          </w:p>
        </w:tc>
      </w:tr>
      <w:tr w:rsidR="000E5D28" w:rsidRPr="000E5D28" w14:paraId="5CEA03D9" w14:textId="77777777" w:rsidTr="00D375F2">
        <w:trPr>
          <w:trHeight w:val="540"/>
        </w:trPr>
        <w:tc>
          <w:tcPr>
            <w:tcW w:w="1635" w:type="dxa"/>
            <w:hideMark/>
          </w:tcPr>
          <w:p w14:paraId="29D1E38F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HR-/HER2+</w:t>
            </w:r>
          </w:p>
        </w:tc>
        <w:tc>
          <w:tcPr>
            <w:tcW w:w="1721" w:type="dxa"/>
            <w:hideMark/>
          </w:tcPr>
          <w:p w14:paraId="74139CC5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321(18.58)</w:t>
            </w:r>
          </w:p>
        </w:tc>
        <w:tc>
          <w:tcPr>
            <w:tcW w:w="1712" w:type="dxa"/>
            <w:hideMark/>
          </w:tcPr>
          <w:p w14:paraId="2F7217C5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249(22.91)</w:t>
            </w:r>
          </w:p>
        </w:tc>
        <w:tc>
          <w:tcPr>
            <w:tcW w:w="1856" w:type="dxa"/>
            <w:hideMark/>
          </w:tcPr>
          <w:p w14:paraId="4706B11D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72(11.23)</w:t>
            </w:r>
          </w:p>
        </w:tc>
        <w:tc>
          <w:tcPr>
            <w:tcW w:w="2100" w:type="dxa"/>
            <w:hideMark/>
          </w:tcPr>
          <w:p w14:paraId="66C5897D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33.60(27.33-38.03)</w:t>
            </w:r>
          </w:p>
        </w:tc>
        <w:tc>
          <w:tcPr>
            <w:tcW w:w="2122" w:type="dxa"/>
            <w:hideMark/>
          </w:tcPr>
          <w:p w14:paraId="43386617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35.47(29.93-42.37)</w:t>
            </w:r>
          </w:p>
        </w:tc>
        <w:tc>
          <w:tcPr>
            <w:tcW w:w="0" w:type="auto"/>
            <w:hideMark/>
          </w:tcPr>
          <w:p w14:paraId="65B1467D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18.77(13.77-45.40)</w:t>
            </w:r>
          </w:p>
        </w:tc>
      </w:tr>
      <w:tr w:rsidR="000E5D28" w:rsidRPr="000E5D28" w14:paraId="741EDDED" w14:textId="77777777" w:rsidTr="00D375F2">
        <w:trPr>
          <w:trHeight w:val="540"/>
        </w:trPr>
        <w:tc>
          <w:tcPr>
            <w:tcW w:w="1635" w:type="dxa"/>
            <w:hideMark/>
          </w:tcPr>
          <w:p w14:paraId="18A27EE4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Triple-negative</w:t>
            </w:r>
          </w:p>
        </w:tc>
        <w:tc>
          <w:tcPr>
            <w:tcW w:w="1721" w:type="dxa"/>
            <w:hideMark/>
          </w:tcPr>
          <w:p w14:paraId="2CEAA940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270(15.63)</w:t>
            </w:r>
          </w:p>
        </w:tc>
        <w:tc>
          <w:tcPr>
            <w:tcW w:w="1712" w:type="dxa"/>
            <w:hideMark/>
          </w:tcPr>
          <w:p w14:paraId="416BCD79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170(15.63)</w:t>
            </w:r>
          </w:p>
        </w:tc>
        <w:tc>
          <w:tcPr>
            <w:tcW w:w="1856" w:type="dxa"/>
            <w:hideMark/>
          </w:tcPr>
          <w:p w14:paraId="5FB670E6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100(15.60)</w:t>
            </w:r>
          </w:p>
        </w:tc>
        <w:tc>
          <w:tcPr>
            <w:tcW w:w="2100" w:type="dxa"/>
            <w:hideMark/>
          </w:tcPr>
          <w:p w14:paraId="75160E81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15.63(12.50-19.47)</w:t>
            </w:r>
          </w:p>
        </w:tc>
        <w:tc>
          <w:tcPr>
            <w:tcW w:w="2122" w:type="dxa"/>
            <w:hideMark/>
          </w:tcPr>
          <w:p w14:paraId="6A375ABB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20.20(16.60-23.37)</w:t>
            </w:r>
          </w:p>
        </w:tc>
        <w:tc>
          <w:tcPr>
            <w:tcW w:w="0" w:type="auto"/>
            <w:hideMark/>
          </w:tcPr>
          <w:p w14:paraId="68A0991D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9.10(8.20-13.50)</w:t>
            </w:r>
          </w:p>
        </w:tc>
      </w:tr>
      <w:tr w:rsidR="000E5D28" w:rsidRPr="000E5D28" w14:paraId="7E50F8F8" w14:textId="77777777" w:rsidTr="00D375F2">
        <w:trPr>
          <w:trHeight w:val="540"/>
        </w:trPr>
        <w:tc>
          <w:tcPr>
            <w:tcW w:w="1635" w:type="dxa"/>
            <w:hideMark/>
          </w:tcPr>
          <w:p w14:paraId="5F34B89E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721" w:type="dxa"/>
            <w:hideMark/>
          </w:tcPr>
          <w:p w14:paraId="049B786B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65(3.76)</w:t>
            </w:r>
          </w:p>
        </w:tc>
        <w:tc>
          <w:tcPr>
            <w:tcW w:w="1712" w:type="dxa"/>
            <w:hideMark/>
          </w:tcPr>
          <w:p w14:paraId="5B674D61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39(3.59)</w:t>
            </w:r>
          </w:p>
        </w:tc>
        <w:tc>
          <w:tcPr>
            <w:tcW w:w="1856" w:type="dxa"/>
            <w:hideMark/>
          </w:tcPr>
          <w:p w14:paraId="25105808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26(4.06)</w:t>
            </w:r>
          </w:p>
        </w:tc>
        <w:tc>
          <w:tcPr>
            <w:tcW w:w="2100" w:type="dxa"/>
            <w:hideMark/>
          </w:tcPr>
          <w:p w14:paraId="7F0E03EB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18.90(14.87-34.87)</w:t>
            </w:r>
          </w:p>
        </w:tc>
        <w:tc>
          <w:tcPr>
            <w:tcW w:w="2122" w:type="dxa"/>
            <w:hideMark/>
          </w:tcPr>
          <w:p w14:paraId="57B9467B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23.30(14.17-NA)</w:t>
            </w:r>
          </w:p>
        </w:tc>
        <w:tc>
          <w:tcPr>
            <w:tcW w:w="0" w:type="auto"/>
            <w:hideMark/>
          </w:tcPr>
          <w:p w14:paraId="79D1BD1D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15.67(13.30-NA)</w:t>
            </w:r>
          </w:p>
        </w:tc>
      </w:tr>
      <w:tr w:rsidR="000E5D28" w:rsidRPr="000E5D28" w14:paraId="24EB47D1" w14:textId="77777777" w:rsidTr="00134E17">
        <w:trPr>
          <w:trHeight w:val="555"/>
        </w:trPr>
        <w:tc>
          <w:tcPr>
            <w:tcW w:w="1635" w:type="dxa"/>
            <w:tcBorders>
              <w:bottom w:val="single" w:sz="4" w:space="0" w:color="auto"/>
            </w:tcBorders>
            <w:hideMark/>
          </w:tcPr>
          <w:p w14:paraId="036C309E" w14:textId="77777777" w:rsidR="000E5D28" w:rsidRPr="000E5D28" w:rsidRDefault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All subtypes</w:t>
            </w:r>
          </w:p>
        </w:tc>
        <w:tc>
          <w:tcPr>
            <w:tcW w:w="1721" w:type="dxa"/>
            <w:tcBorders>
              <w:bottom w:val="single" w:sz="4" w:space="0" w:color="auto"/>
            </w:tcBorders>
            <w:hideMark/>
          </w:tcPr>
          <w:p w14:paraId="6891CDE0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1728(100)</w:t>
            </w:r>
          </w:p>
        </w:tc>
        <w:tc>
          <w:tcPr>
            <w:tcW w:w="1712" w:type="dxa"/>
            <w:tcBorders>
              <w:bottom w:val="single" w:sz="4" w:space="0" w:color="auto"/>
            </w:tcBorders>
            <w:hideMark/>
          </w:tcPr>
          <w:p w14:paraId="3C93F838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1087(100)</w:t>
            </w:r>
          </w:p>
        </w:tc>
        <w:tc>
          <w:tcPr>
            <w:tcW w:w="1856" w:type="dxa"/>
            <w:tcBorders>
              <w:bottom w:val="single" w:sz="4" w:space="0" w:color="auto"/>
            </w:tcBorders>
            <w:hideMark/>
          </w:tcPr>
          <w:p w14:paraId="13A66120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641(100)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hideMark/>
          </w:tcPr>
          <w:p w14:paraId="70E8C7DD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27.30(25.57-29.40)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hideMark/>
          </w:tcPr>
          <w:p w14:paraId="2D484ED1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33.80(31.20-37.73)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4A046032" w14:textId="77777777" w:rsidR="000E5D28" w:rsidRPr="000E5D28" w:rsidRDefault="000E5D28" w:rsidP="000E5D28">
            <w:pPr>
              <w:rPr>
                <w:rFonts w:ascii="Times New Roman" w:hAnsi="Times New Roman" w:cs="Times New Roman"/>
                <w:szCs w:val="21"/>
              </w:rPr>
            </w:pPr>
            <w:r w:rsidRPr="000E5D28">
              <w:rPr>
                <w:rFonts w:ascii="Times New Roman" w:hAnsi="Times New Roman" w:cs="Times New Roman"/>
                <w:szCs w:val="21"/>
              </w:rPr>
              <w:t>17.47(16.30-19.77)</w:t>
            </w:r>
          </w:p>
        </w:tc>
      </w:tr>
    </w:tbl>
    <w:p w14:paraId="712ED4BF" w14:textId="77777777" w:rsidR="00FA22DF" w:rsidRPr="00D375F2" w:rsidRDefault="00D375F2">
      <w:pPr>
        <w:rPr>
          <w:rFonts w:ascii="Times New Roman" w:hAnsi="Times New Roman" w:cs="Times New Roman"/>
        </w:rPr>
      </w:pPr>
      <w:r w:rsidRPr="00D375F2">
        <w:rPr>
          <w:rFonts w:ascii="Times New Roman" w:hAnsi="Times New Roman" w:cs="Times New Roman"/>
        </w:rPr>
        <w:t>NOTE. HER2, human epidermal growth factor receptor 2; HR, hormo</w:t>
      </w:r>
      <w:r>
        <w:rPr>
          <w:rFonts w:ascii="Times New Roman" w:hAnsi="Times New Roman" w:cs="Times New Roman"/>
        </w:rPr>
        <w:t xml:space="preserve">ne receptor; NA, Not Available; </w:t>
      </w:r>
      <w:r w:rsidRPr="00D375F2">
        <w:rPr>
          <w:rFonts w:ascii="Times New Roman" w:hAnsi="Times New Roman" w:cs="Times New Roman"/>
        </w:rPr>
        <w:t>+</w:t>
      </w:r>
      <w:r>
        <w:rPr>
          <w:rFonts w:ascii="Times New Roman" w:hAnsi="Times New Roman" w:cs="Times New Roman"/>
        </w:rPr>
        <w:t xml:space="preserve"> </w:t>
      </w:r>
      <w:r w:rsidRPr="00D375F2">
        <w:rPr>
          <w:rFonts w:ascii="Times New Roman" w:hAnsi="Times New Roman" w:cs="Times New Roman"/>
        </w:rPr>
        <w:t xml:space="preserve">Denotes positive; </w:t>
      </w:r>
      <w:r w:rsidRPr="00D375F2">
        <w:rPr>
          <w:rFonts w:ascii="Times New Roman" w:eastAsia="微软雅黑" w:hAnsi="Times New Roman" w:cs="Times New Roman"/>
        </w:rPr>
        <w:t>−</w:t>
      </w:r>
      <w:r>
        <w:rPr>
          <w:rFonts w:ascii="Times New Roman" w:eastAsia="微软雅黑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denotes negative</w:t>
      </w:r>
      <w:r w:rsidRPr="00D375F2">
        <w:rPr>
          <w:rFonts w:ascii="Times New Roman" w:hAnsi="Times New Roman" w:cs="Times New Roman"/>
        </w:rPr>
        <w:t xml:space="preserve">; </w:t>
      </w:r>
      <w:r w:rsidRPr="00D375F2">
        <w:rPr>
          <w:rFonts w:ascii="Times New Roman" w:hAnsi="Times New Roman" w:cs="Times New Roman"/>
          <w:sz w:val="24"/>
          <w:vertAlign w:val="superscript"/>
        </w:rPr>
        <w:t>a</w:t>
      </w:r>
      <w:r w:rsidRPr="00D375F2">
        <w:rPr>
          <w:rFonts w:ascii="Times New Roman" w:hAnsi="Times New Roman" w:cs="Times New Roman"/>
        </w:rPr>
        <w:t xml:space="preserve">, Time from diagnosis of liver metastases; </w:t>
      </w:r>
      <w:r w:rsidRPr="00D375F2">
        <w:rPr>
          <w:rFonts w:ascii="Times New Roman" w:hAnsi="Times New Roman" w:cs="Times New Roman"/>
          <w:sz w:val="24"/>
          <w:vertAlign w:val="superscript"/>
        </w:rPr>
        <w:t>b</w:t>
      </w:r>
      <w:r w:rsidRPr="00D375F2">
        <w:rPr>
          <w:rFonts w:ascii="Times New Roman" w:hAnsi="Times New Roman" w:cs="Times New Roman"/>
        </w:rPr>
        <w:t xml:space="preserve">, including the presence of liver metastases at initial diagnosis or liver metastases as the first metastatic site; </w:t>
      </w:r>
      <w:r w:rsidRPr="00D375F2">
        <w:rPr>
          <w:rFonts w:ascii="Times New Roman" w:hAnsi="Times New Roman" w:cs="Times New Roman"/>
          <w:sz w:val="24"/>
          <w:vertAlign w:val="superscript"/>
        </w:rPr>
        <w:t>C</w:t>
      </w:r>
      <w:r w:rsidRPr="00D375F2">
        <w:rPr>
          <w:rFonts w:ascii="Times New Roman" w:hAnsi="Times New Roman" w:cs="Times New Roman"/>
        </w:rPr>
        <w:t>, including the presence of liver metastases during the subsequent clinical course; CI, confidence interval</w:t>
      </w:r>
    </w:p>
    <w:sectPr w:rsidR="00FA22DF" w:rsidRPr="00D375F2" w:rsidSect="00A7611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C72CE2" w14:textId="77777777" w:rsidR="00333152" w:rsidRDefault="00333152" w:rsidP="00A7611D">
      <w:r>
        <w:separator/>
      </w:r>
    </w:p>
  </w:endnote>
  <w:endnote w:type="continuationSeparator" w:id="0">
    <w:p w14:paraId="5F9E8854" w14:textId="77777777" w:rsidR="00333152" w:rsidRDefault="00333152" w:rsidP="00A761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6D30A1" w14:textId="77777777" w:rsidR="00333152" w:rsidRDefault="00333152" w:rsidP="00A7611D">
      <w:r>
        <w:separator/>
      </w:r>
    </w:p>
  </w:footnote>
  <w:footnote w:type="continuationSeparator" w:id="0">
    <w:p w14:paraId="3F38C2DF" w14:textId="77777777" w:rsidR="00333152" w:rsidRDefault="00333152" w:rsidP="00A761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47FE"/>
    <w:rsid w:val="000E5D28"/>
    <w:rsid w:val="00134E17"/>
    <w:rsid w:val="00137A93"/>
    <w:rsid w:val="00333152"/>
    <w:rsid w:val="003D47FE"/>
    <w:rsid w:val="0044684C"/>
    <w:rsid w:val="00A7611D"/>
    <w:rsid w:val="00CA6375"/>
    <w:rsid w:val="00D375F2"/>
    <w:rsid w:val="00FA2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E223FF"/>
  <w15:chartTrackingRefBased/>
  <w15:docId w15:val="{357F0174-5AB9-47AC-8D1C-3C5273479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61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61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61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611D"/>
    <w:rPr>
      <w:sz w:val="18"/>
      <w:szCs w:val="18"/>
    </w:rPr>
  </w:style>
  <w:style w:type="table" w:styleId="a7">
    <w:name w:val="Table Grid"/>
    <w:basedOn w:val="a1"/>
    <w:uiPriority w:val="39"/>
    <w:rsid w:val="000E5D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96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2019-12-19T12:15:00Z</dcterms:created>
  <dcterms:modified xsi:type="dcterms:W3CDTF">2020-02-04T02:46:00Z</dcterms:modified>
</cp:coreProperties>
</file>