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59E22" w14:textId="60B79E49" w:rsidR="00664EB0" w:rsidRPr="008906CA" w:rsidRDefault="00664EB0" w:rsidP="00E754DF">
      <w:pPr>
        <w:adjustRightInd w:val="0"/>
        <w:snapToGrid w:val="0"/>
        <w:spacing w:afterLines="50" w:after="120"/>
        <w:rPr>
          <w:rFonts w:ascii="Times New Roman" w:eastAsiaTheme="minorEastAsia" w:hAnsi="Times New Roman" w:cs="Times New Roman"/>
          <w:b/>
          <w:bCs/>
        </w:rPr>
      </w:pPr>
      <w:r w:rsidRPr="008906CA">
        <w:rPr>
          <w:rFonts w:ascii="Times New Roman" w:eastAsiaTheme="minorEastAsia" w:hAnsi="Times New Roman" w:cs="Times New Roman"/>
          <w:b/>
          <w:bCs/>
        </w:rPr>
        <w:t xml:space="preserve">Supplementary </w:t>
      </w:r>
      <w:r w:rsidR="009F47E7">
        <w:rPr>
          <w:rFonts w:ascii="Times New Roman" w:eastAsiaTheme="minorEastAsia" w:hAnsi="Times New Roman" w:cs="Times New Roman"/>
          <w:b/>
          <w:bCs/>
        </w:rPr>
        <w:t>I</w:t>
      </w:r>
      <w:r w:rsidRPr="008906CA">
        <w:rPr>
          <w:rFonts w:ascii="Times New Roman" w:eastAsiaTheme="minorEastAsia" w:hAnsi="Times New Roman" w:cs="Times New Roman"/>
          <w:b/>
          <w:bCs/>
        </w:rPr>
        <w:t>nformation</w:t>
      </w:r>
    </w:p>
    <w:p w14:paraId="29E29A8C" w14:textId="77777777" w:rsidR="00A25F28" w:rsidRDefault="00A25F28" w:rsidP="00A25F28">
      <w:pPr>
        <w:rPr>
          <w:rFonts w:ascii="Times New Roman" w:eastAsiaTheme="minorEastAsia" w:hAnsi="Times New Roman" w:cs="Times New Roman"/>
          <w:b/>
          <w:bCs/>
        </w:rPr>
      </w:pPr>
    </w:p>
    <w:p w14:paraId="5DABD3AB" w14:textId="77777777" w:rsidR="0016596D" w:rsidRPr="00134012" w:rsidRDefault="00A25F28" w:rsidP="00A25F28">
      <w:pPr>
        <w:rPr>
          <w:rFonts w:ascii="Times New Roman" w:eastAsiaTheme="minorEastAsia" w:hAnsi="Times New Roman" w:cs="Times New Roman"/>
          <w:szCs w:val="24"/>
        </w:rPr>
      </w:pPr>
      <w:r w:rsidRPr="00134012">
        <w:rPr>
          <w:rFonts w:ascii="Times New Roman" w:eastAsiaTheme="minorEastAsia" w:hAnsi="Times New Roman" w:cs="Times New Roman"/>
          <w:szCs w:val="24"/>
        </w:rPr>
        <w:t xml:space="preserve">Article title: </w:t>
      </w:r>
    </w:p>
    <w:p w14:paraId="017157D8" w14:textId="151B918F" w:rsidR="00A25F28" w:rsidRPr="00134012" w:rsidRDefault="00A25F28" w:rsidP="00A25F28">
      <w:pPr>
        <w:rPr>
          <w:rFonts w:ascii="Times New Roman" w:hAnsi="Times New Roman" w:cs="Times New Roman"/>
          <w:szCs w:val="24"/>
        </w:rPr>
      </w:pPr>
      <w:r w:rsidRPr="00134012">
        <w:rPr>
          <w:rFonts w:ascii="Times New Roman" w:hAnsi="Times New Roman" w:cs="Times New Roman"/>
          <w:szCs w:val="24"/>
        </w:rPr>
        <w:t>Empirical Analysis of Normal Selenium Level in Taiwanese</w:t>
      </w:r>
    </w:p>
    <w:p w14:paraId="4D30EACD" w14:textId="77777777" w:rsidR="00134012" w:rsidRDefault="00134012" w:rsidP="00A25F28">
      <w:pPr>
        <w:rPr>
          <w:rFonts w:ascii="Times New Roman" w:eastAsiaTheme="minorEastAsia" w:hAnsi="Times New Roman" w:cs="Times New Roman"/>
          <w:szCs w:val="24"/>
        </w:rPr>
      </w:pPr>
    </w:p>
    <w:p w14:paraId="67D9443C" w14:textId="013AF0B4" w:rsidR="0016596D" w:rsidRPr="00134012" w:rsidRDefault="00A25F28" w:rsidP="00A25F28">
      <w:pPr>
        <w:rPr>
          <w:rFonts w:ascii="Times New Roman" w:eastAsiaTheme="minorEastAsia" w:hAnsi="Times New Roman" w:cs="Times New Roman"/>
          <w:szCs w:val="24"/>
        </w:rPr>
      </w:pPr>
      <w:r w:rsidRPr="00134012">
        <w:rPr>
          <w:rFonts w:ascii="Times New Roman" w:eastAsiaTheme="minorEastAsia" w:hAnsi="Times New Roman" w:cs="Times New Roman" w:hint="eastAsia"/>
          <w:szCs w:val="24"/>
        </w:rPr>
        <w:t>J</w:t>
      </w:r>
      <w:r w:rsidRPr="00134012">
        <w:rPr>
          <w:rFonts w:ascii="Times New Roman" w:eastAsiaTheme="minorEastAsia" w:hAnsi="Times New Roman" w:cs="Times New Roman"/>
          <w:szCs w:val="24"/>
        </w:rPr>
        <w:t xml:space="preserve">ournal name: </w:t>
      </w:r>
    </w:p>
    <w:p w14:paraId="74439B69" w14:textId="5A712792" w:rsidR="00A25F28" w:rsidRPr="00134012" w:rsidRDefault="00442A3A" w:rsidP="00A25F28">
      <w:pPr>
        <w:rPr>
          <w:rFonts w:ascii="Times New Roman" w:eastAsiaTheme="minorEastAsia" w:hAnsi="Times New Roman" w:cs="Times New Roman"/>
          <w:szCs w:val="24"/>
        </w:rPr>
      </w:pPr>
      <w:r>
        <w:rPr>
          <w:rFonts w:ascii="Times New Roman" w:eastAsiaTheme="minorEastAsia" w:hAnsi="Times New Roman" w:cs="Times New Roman" w:hint="eastAsia"/>
          <w:szCs w:val="24"/>
        </w:rPr>
        <w:t>Sc</w:t>
      </w:r>
      <w:r>
        <w:rPr>
          <w:rFonts w:ascii="Times New Roman" w:eastAsiaTheme="minorEastAsia" w:hAnsi="Times New Roman" w:cs="Times New Roman"/>
          <w:szCs w:val="24"/>
        </w:rPr>
        <w:t>ientific Reports</w:t>
      </w:r>
    </w:p>
    <w:p w14:paraId="430CD84E" w14:textId="77777777" w:rsidR="00134012" w:rsidRDefault="00134012" w:rsidP="00A25F28">
      <w:pPr>
        <w:rPr>
          <w:rFonts w:ascii="Times New Roman" w:hAnsi="Times New Roman" w:cs="Times New Roman"/>
          <w:szCs w:val="24"/>
        </w:rPr>
      </w:pPr>
    </w:p>
    <w:p w14:paraId="4B9AC88F" w14:textId="68ACAA44" w:rsidR="0016596D" w:rsidRPr="00134012" w:rsidRDefault="0016596D" w:rsidP="00A25F28">
      <w:pPr>
        <w:rPr>
          <w:rFonts w:ascii="Times New Roman" w:hAnsi="Times New Roman" w:cs="Times New Roman"/>
          <w:szCs w:val="24"/>
        </w:rPr>
      </w:pPr>
      <w:r w:rsidRPr="00134012">
        <w:rPr>
          <w:rFonts w:ascii="Times New Roman" w:hAnsi="Times New Roman" w:cs="Times New Roman"/>
          <w:szCs w:val="24"/>
        </w:rPr>
        <w:t xml:space="preserve">Authors: </w:t>
      </w:r>
    </w:p>
    <w:p w14:paraId="60ADEFD9" w14:textId="7A7C2277" w:rsidR="00A25F28" w:rsidRPr="00134012" w:rsidRDefault="0052298F" w:rsidP="00A25F28">
      <w:pPr>
        <w:rPr>
          <w:rFonts w:ascii="Times New Roman" w:hAnsi="Times New Roman" w:cs="Times New Roman"/>
          <w:szCs w:val="24"/>
        </w:rPr>
      </w:pPr>
      <w:r w:rsidRPr="00134012">
        <w:rPr>
          <w:rFonts w:ascii="Times New Roman" w:hAnsi="Times New Roman" w:cs="Times New Roman"/>
          <w:szCs w:val="24"/>
        </w:rPr>
        <w:t>Du-Shieng Chien</w:t>
      </w:r>
      <w:r w:rsidRPr="00134012">
        <w:rPr>
          <w:rFonts w:ascii="Times New Roman" w:hAnsi="Times New Roman" w:cs="Times New Roman"/>
          <w:szCs w:val="24"/>
          <w:vertAlign w:val="superscript"/>
        </w:rPr>
        <w:t>1</w:t>
      </w:r>
      <w:r w:rsidR="00A25F28" w:rsidRPr="00134012">
        <w:rPr>
          <w:rFonts w:ascii="Times New Roman" w:hAnsi="Times New Roman" w:cs="Times New Roman"/>
          <w:szCs w:val="24"/>
        </w:rPr>
        <w:t>, Ting-Yu Chao</w:t>
      </w:r>
      <w:r w:rsidR="00A25F28" w:rsidRPr="00134012">
        <w:rPr>
          <w:rFonts w:ascii="Times New Roman" w:hAnsi="Times New Roman" w:cs="Times New Roman"/>
          <w:szCs w:val="24"/>
          <w:vertAlign w:val="superscript"/>
        </w:rPr>
        <w:t>1</w:t>
      </w:r>
      <w:r w:rsidR="00A25F28" w:rsidRPr="00134012">
        <w:rPr>
          <w:rFonts w:ascii="Times New Roman" w:hAnsi="Times New Roman" w:cs="Times New Roman"/>
          <w:szCs w:val="24"/>
        </w:rPr>
        <w:t>, Yen-Ling Chen</w:t>
      </w:r>
      <w:r w:rsidR="00A25F28" w:rsidRPr="00134012">
        <w:rPr>
          <w:rFonts w:ascii="Times New Roman" w:hAnsi="Times New Roman" w:cs="Times New Roman"/>
          <w:szCs w:val="24"/>
          <w:vertAlign w:val="superscript"/>
        </w:rPr>
        <w:t>1</w:t>
      </w:r>
      <w:r w:rsidR="00A25F28" w:rsidRPr="00134012">
        <w:rPr>
          <w:rFonts w:ascii="Times New Roman" w:hAnsi="Times New Roman" w:cs="Times New Roman"/>
          <w:szCs w:val="24"/>
        </w:rPr>
        <w:t>, Yi-Wen Chu</w:t>
      </w:r>
      <w:r w:rsidR="00A25F28" w:rsidRPr="00134012">
        <w:rPr>
          <w:rFonts w:ascii="Times New Roman" w:hAnsi="Times New Roman" w:cs="Times New Roman"/>
          <w:szCs w:val="24"/>
          <w:vertAlign w:val="superscript"/>
        </w:rPr>
        <w:t>1</w:t>
      </w:r>
      <w:r w:rsidR="00A25F28" w:rsidRPr="00134012">
        <w:rPr>
          <w:rFonts w:ascii="Times New Roman" w:hAnsi="Times New Roman" w:cs="Times New Roman"/>
          <w:szCs w:val="24"/>
        </w:rPr>
        <w:t xml:space="preserve"> </w:t>
      </w:r>
    </w:p>
    <w:p w14:paraId="61C7B5D8" w14:textId="77777777" w:rsidR="00134012" w:rsidRDefault="00134012" w:rsidP="0016596D">
      <w:pPr>
        <w:rPr>
          <w:rFonts w:ascii="Times New Roman" w:hAnsi="Times New Roman" w:cs="Times New Roman"/>
          <w:szCs w:val="24"/>
        </w:rPr>
      </w:pPr>
    </w:p>
    <w:p w14:paraId="4432D4CA" w14:textId="5ED30DDD" w:rsidR="0016596D" w:rsidRPr="00134012" w:rsidRDefault="0016596D" w:rsidP="0016596D">
      <w:pPr>
        <w:rPr>
          <w:rFonts w:ascii="Times New Roman" w:hAnsi="Times New Roman" w:cs="Times New Roman"/>
          <w:szCs w:val="24"/>
        </w:rPr>
      </w:pPr>
      <w:r w:rsidRPr="00134012">
        <w:rPr>
          <w:rFonts w:ascii="Times New Roman" w:hAnsi="Times New Roman" w:cs="Times New Roman"/>
          <w:szCs w:val="24"/>
        </w:rPr>
        <w:t>Corresponding author:</w:t>
      </w:r>
    </w:p>
    <w:p w14:paraId="6D1A1D26" w14:textId="77777777" w:rsidR="0016596D" w:rsidRPr="00134012" w:rsidRDefault="0016596D" w:rsidP="0016596D">
      <w:pPr>
        <w:rPr>
          <w:rFonts w:ascii="Times New Roman" w:hAnsi="Times New Roman" w:cs="Times New Roman"/>
          <w:szCs w:val="24"/>
        </w:rPr>
      </w:pPr>
      <w:r w:rsidRPr="00134012">
        <w:rPr>
          <w:rFonts w:ascii="Times New Roman" w:hAnsi="Times New Roman" w:cs="Times New Roman"/>
          <w:szCs w:val="24"/>
        </w:rPr>
        <w:t>Du-Shieng Chien: dschien@trx.com.tw</w:t>
      </w:r>
    </w:p>
    <w:p w14:paraId="5C0C08F6" w14:textId="77777777" w:rsidR="00A25F28" w:rsidRPr="00154C8C" w:rsidRDefault="00A25F28" w:rsidP="00A25F28">
      <w:pPr>
        <w:rPr>
          <w:rFonts w:ascii="Times New Roman" w:hAnsi="Times New Roman" w:cs="Times New Roman"/>
        </w:rPr>
      </w:pPr>
      <w:r w:rsidRPr="00154C8C">
        <w:rPr>
          <w:rFonts w:ascii="Times New Roman" w:hAnsi="Times New Roman" w:cs="Times New Roman"/>
          <w:vertAlign w:val="superscript"/>
        </w:rPr>
        <w:t>1</w:t>
      </w:r>
      <w:r w:rsidRPr="00154C8C">
        <w:rPr>
          <w:rFonts w:ascii="Times New Roman" w:hAnsi="Times New Roman" w:cs="Times New Roman"/>
        </w:rPr>
        <w:t>TaiRx Inc., 6F-1, No. 66, Sanchong Rd., Nangang Dist., 115602, Taipei City, Taiwan</w:t>
      </w:r>
    </w:p>
    <w:p w14:paraId="54C0B516" w14:textId="77777777" w:rsidR="00A25F28" w:rsidRPr="00154C8C" w:rsidRDefault="00A25F28" w:rsidP="00A25F28">
      <w:pPr>
        <w:rPr>
          <w:rFonts w:ascii="Times New Roman" w:hAnsi="Times New Roman" w:cs="Times New Roman"/>
        </w:rPr>
      </w:pPr>
    </w:p>
    <w:p w14:paraId="2B433E50" w14:textId="77777777" w:rsidR="00134012" w:rsidRDefault="00134012">
      <w:pPr>
        <w:rPr>
          <w:rFonts w:ascii="Times New Roman" w:eastAsiaTheme="minorEastAsia" w:hAnsi="Times New Roman" w:cs="Times New Roman"/>
          <w:b/>
          <w:bCs/>
        </w:rPr>
      </w:pPr>
      <w:r>
        <w:rPr>
          <w:rFonts w:ascii="Times New Roman" w:eastAsiaTheme="minorEastAsia" w:hAnsi="Times New Roman" w:cs="Times New Roman"/>
          <w:b/>
          <w:bCs/>
        </w:rPr>
        <w:br w:type="page"/>
      </w:r>
    </w:p>
    <w:p w14:paraId="493B23C0" w14:textId="77777777" w:rsidR="00134012" w:rsidRDefault="00134012" w:rsidP="00E754DF">
      <w:pPr>
        <w:adjustRightInd w:val="0"/>
        <w:snapToGrid w:val="0"/>
        <w:spacing w:afterLines="50" w:after="120"/>
        <w:rPr>
          <w:rFonts w:ascii="Times New Roman" w:eastAsiaTheme="minorEastAsia" w:hAnsi="Times New Roman" w:cs="Times New Roman"/>
          <w:b/>
          <w:bCs/>
        </w:rPr>
        <w:sectPr w:rsidR="00134012" w:rsidSect="00134012">
          <w:headerReference w:type="default" r:id="rId8"/>
          <w:footerReference w:type="default" r:id="rId9"/>
          <w:pgSz w:w="11906" w:h="16838" w:code="9"/>
          <w:pgMar w:top="1440" w:right="1797" w:bottom="1440" w:left="1797" w:header="1134" w:footer="992" w:gutter="0"/>
          <w:cols w:space="425"/>
          <w:docGrid w:linePitch="360"/>
        </w:sectPr>
      </w:pPr>
    </w:p>
    <w:p w14:paraId="6BEE25F4" w14:textId="7AFF328D" w:rsidR="00664EB0" w:rsidRPr="008906CA" w:rsidRDefault="00664EB0" w:rsidP="00E754DF">
      <w:pPr>
        <w:adjustRightInd w:val="0"/>
        <w:snapToGrid w:val="0"/>
        <w:spacing w:afterLines="50" w:after="120"/>
        <w:rPr>
          <w:rFonts w:ascii="Times New Roman" w:eastAsiaTheme="minorEastAsia" w:hAnsi="Times New Roman" w:cs="Times New Roman"/>
          <w:kern w:val="52"/>
          <w:szCs w:val="52"/>
        </w:rPr>
      </w:pPr>
      <w:r w:rsidRPr="008906CA">
        <w:rPr>
          <w:rFonts w:ascii="Times New Roman" w:eastAsiaTheme="minorEastAsia" w:hAnsi="Times New Roman" w:cs="Times New Roman"/>
          <w:b/>
          <w:bCs/>
        </w:rPr>
        <w:lastRenderedPageBreak/>
        <w:t>Table S1</w:t>
      </w:r>
      <w:r w:rsidRPr="008906CA">
        <w:rPr>
          <w:rFonts w:ascii="Times New Roman" w:hAnsi="Times New Roman" w:cs="Times New Roman"/>
        </w:rPr>
        <w:t xml:space="preserve"> Summary of reference</w:t>
      </w:r>
      <w:r w:rsidR="00746A70">
        <w:rPr>
          <w:rFonts w:ascii="Times New Roman" w:hAnsi="Times New Roman" w:cs="Times New Roman"/>
        </w:rPr>
        <w:t xml:space="preserve"> studie</w:t>
      </w:r>
      <w:r w:rsidRPr="008906CA">
        <w:rPr>
          <w:rFonts w:ascii="Times New Roman" w:hAnsi="Times New Roman" w:cs="Times New Roman"/>
        </w:rPr>
        <w:t xml:space="preserve">s reporting serum Se </w:t>
      </w:r>
      <w:r w:rsidR="00746A70">
        <w:rPr>
          <w:rFonts w:ascii="Times New Roman" w:hAnsi="Times New Roman" w:cs="Times New Roman"/>
        </w:rPr>
        <w:t xml:space="preserve">concentrations </w:t>
      </w:r>
      <w:r w:rsidRPr="008906CA">
        <w:rPr>
          <w:rFonts w:ascii="Times New Roman" w:hAnsi="Times New Roman" w:cs="Times New Roman"/>
        </w:rPr>
        <w:t>in Taiwanese adults</w:t>
      </w:r>
    </w:p>
    <w:tbl>
      <w:tblPr>
        <w:tblStyle w:val="a5"/>
        <w:tblW w:w="13948" w:type="dxa"/>
        <w:tblLook w:val="04A0" w:firstRow="1" w:lastRow="0" w:firstColumn="1" w:lastColumn="0" w:noHBand="0" w:noVBand="1"/>
      </w:tblPr>
      <w:tblGrid>
        <w:gridCol w:w="1027"/>
        <w:gridCol w:w="2478"/>
        <w:gridCol w:w="992"/>
        <w:gridCol w:w="851"/>
        <w:gridCol w:w="820"/>
        <w:gridCol w:w="993"/>
        <w:gridCol w:w="1283"/>
        <w:gridCol w:w="2977"/>
        <w:gridCol w:w="2527"/>
      </w:tblGrid>
      <w:tr w:rsidR="00664EB0" w:rsidRPr="008906CA" w14:paraId="266F6B92" w14:textId="77777777" w:rsidTr="00E52573">
        <w:trPr>
          <w:trHeight w:val="700"/>
          <w:tblHeader/>
        </w:trPr>
        <w:tc>
          <w:tcPr>
            <w:tcW w:w="989" w:type="dxa"/>
            <w:vAlign w:val="center"/>
            <w:hideMark/>
          </w:tcPr>
          <w:p w14:paraId="2A32F15C"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 xml:space="preserve">Reference </w:t>
            </w:r>
          </w:p>
        </w:tc>
        <w:tc>
          <w:tcPr>
            <w:tcW w:w="2488" w:type="dxa"/>
            <w:vAlign w:val="center"/>
          </w:tcPr>
          <w:p w14:paraId="7F6229AA"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Title</w:t>
            </w:r>
          </w:p>
        </w:tc>
        <w:tc>
          <w:tcPr>
            <w:tcW w:w="992" w:type="dxa"/>
            <w:vAlign w:val="center"/>
            <w:hideMark/>
          </w:tcPr>
          <w:p w14:paraId="73E55764" w14:textId="31A3A989" w:rsidR="00664EB0" w:rsidRPr="008906CA" w:rsidRDefault="00F1422B" w:rsidP="00E754DF">
            <w:pPr>
              <w:adjustRightInd w:val="0"/>
              <w:snapToGrid w:val="0"/>
              <w:spacing w:beforeLines="0" w:afterLines="0"/>
              <w:jc w:val="center"/>
              <w:rPr>
                <w:rFonts w:ascii="Times New Roman" w:hAnsi="Times New Roman" w:cs="Times New Roman"/>
                <w:sz w:val="20"/>
                <w:szCs w:val="20"/>
              </w:rPr>
            </w:pPr>
            <w:r w:rsidRPr="008906CA">
              <w:rPr>
                <w:rFonts w:ascii="Times New Roman" w:eastAsiaTheme="minorEastAsia" w:hAnsi="Times New Roman" w:cs="Times New Roman"/>
                <w:sz w:val="20"/>
                <w:szCs w:val="20"/>
              </w:rPr>
              <w:t>N</w:t>
            </w:r>
          </w:p>
        </w:tc>
        <w:tc>
          <w:tcPr>
            <w:tcW w:w="851" w:type="dxa"/>
            <w:noWrap/>
            <w:vAlign w:val="center"/>
            <w:hideMark/>
          </w:tcPr>
          <w:p w14:paraId="40568240"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Mean (μg/L)</w:t>
            </w:r>
          </w:p>
        </w:tc>
        <w:tc>
          <w:tcPr>
            <w:tcW w:w="821" w:type="dxa"/>
            <w:vAlign w:val="center"/>
          </w:tcPr>
          <w:p w14:paraId="51CFB2E1"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SD (μg/L)</w:t>
            </w:r>
          </w:p>
        </w:tc>
        <w:tc>
          <w:tcPr>
            <w:tcW w:w="993" w:type="dxa"/>
            <w:noWrap/>
            <w:vAlign w:val="center"/>
            <w:hideMark/>
          </w:tcPr>
          <w:p w14:paraId="280E5594"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Range (μg/L)</w:t>
            </w:r>
          </w:p>
        </w:tc>
        <w:tc>
          <w:tcPr>
            <w:tcW w:w="1283" w:type="dxa"/>
            <w:noWrap/>
            <w:vAlign w:val="center"/>
            <w:hideMark/>
          </w:tcPr>
          <w:p w14:paraId="48F5E190"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Bioanalytical method</w:t>
            </w:r>
          </w:p>
        </w:tc>
        <w:tc>
          <w:tcPr>
            <w:tcW w:w="2993" w:type="dxa"/>
            <w:vAlign w:val="center"/>
          </w:tcPr>
          <w:p w14:paraId="1BDB2024"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Remarks</w:t>
            </w:r>
          </w:p>
        </w:tc>
        <w:tc>
          <w:tcPr>
            <w:tcW w:w="2538" w:type="dxa"/>
            <w:vAlign w:val="center"/>
          </w:tcPr>
          <w:p w14:paraId="406CBBDA" w14:textId="605A9A97" w:rsidR="00664EB0" w:rsidRPr="008906CA" w:rsidRDefault="00BC21E5" w:rsidP="00E754DF">
            <w:pPr>
              <w:adjustRightInd w:val="0"/>
              <w:snapToGrid w:val="0"/>
              <w:spacing w:beforeLines="0" w:afterLines="0"/>
              <w:jc w:val="center"/>
              <w:rPr>
                <w:rFonts w:ascii="Times New Roman" w:eastAsiaTheme="minorEastAsia" w:hAnsi="Times New Roman" w:cs="Times New Roman"/>
                <w:sz w:val="20"/>
                <w:szCs w:val="20"/>
              </w:rPr>
            </w:pPr>
            <w:r>
              <w:rPr>
                <w:rFonts w:ascii="Times New Roman" w:eastAsiaTheme="minorEastAsia" w:hAnsi="Times New Roman" w:cs="Times New Roman"/>
                <w:sz w:val="20"/>
                <w:szCs w:val="20"/>
              </w:rPr>
              <w:t>Main r</w:t>
            </w:r>
            <w:r w:rsidR="00664EB0" w:rsidRPr="008906CA">
              <w:rPr>
                <w:rFonts w:ascii="Times New Roman" w:eastAsiaTheme="minorEastAsia" w:hAnsi="Times New Roman" w:cs="Times New Roman"/>
                <w:sz w:val="20"/>
                <w:szCs w:val="20"/>
              </w:rPr>
              <w:t>easons for exclusion</w:t>
            </w:r>
          </w:p>
        </w:tc>
      </w:tr>
      <w:tr w:rsidR="00664EB0" w:rsidRPr="008906CA" w14:paraId="722C23D5" w14:textId="77777777" w:rsidTr="00E52573">
        <w:trPr>
          <w:trHeight w:val="299"/>
        </w:trPr>
        <w:tc>
          <w:tcPr>
            <w:tcW w:w="989" w:type="dxa"/>
            <w:noWrap/>
          </w:tcPr>
          <w:p w14:paraId="1B7E7D8F"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 xml:space="preserve">Chou et al. 1996 </w:t>
            </w:r>
          </w:p>
        </w:tc>
        <w:tc>
          <w:tcPr>
            <w:tcW w:w="2488" w:type="dxa"/>
          </w:tcPr>
          <w:p w14:paraId="5EA38F4B"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Differences in serum selenium and blood glutathione peroxidase levels between healthy subjects and dilated cardiomyopathy patients in central Taiwan.</w:t>
            </w:r>
          </w:p>
        </w:tc>
        <w:tc>
          <w:tcPr>
            <w:tcW w:w="992" w:type="dxa"/>
            <w:noWrap/>
          </w:tcPr>
          <w:p w14:paraId="43BD20DD"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31</w:t>
            </w:r>
          </w:p>
        </w:tc>
        <w:tc>
          <w:tcPr>
            <w:tcW w:w="851" w:type="dxa"/>
            <w:noWrap/>
          </w:tcPr>
          <w:p w14:paraId="49A29859"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47.2</w:t>
            </w:r>
          </w:p>
        </w:tc>
        <w:tc>
          <w:tcPr>
            <w:tcW w:w="821" w:type="dxa"/>
          </w:tcPr>
          <w:p w14:paraId="7DBB74E8"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14.7</w:t>
            </w:r>
          </w:p>
        </w:tc>
        <w:tc>
          <w:tcPr>
            <w:tcW w:w="993" w:type="dxa"/>
            <w:noWrap/>
          </w:tcPr>
          <w:p w14:paraId="1B80DBAC" w14:textId="0EA58249"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397824D6" w14:textId="7E83EFD3"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AAS</w:t>
            </w:r>
          </w:p>
        </w:tc>
        <w:tc>
          <w:tcPr>
            <w:tcW w:w="2993" w:type="dxa"/>
          </w:tcPr>
          <w:p w14:paraId="5129E6EE"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Control group (adults aged 15-43 years old without hypertension and CVD) in Central Taiwan to assess the association between Se and dilated cardiomyopathy.</w:t>
            </w:r>
          </w:p>
        </w:tc>
        <w:tc>
          <w:tcPr>
            <w:tcW w:w="2538" w:type="dxa"/>
          </w:tcPr>
          <w:p w14:paraId="4F8D1359" w14:textId="793BE4FB"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eastAsiaTheme="minorEastAsia" w:hAnsi="Times New Roman" w:cs="Times New Roman"/>
                <w:color w:val="000000" w:themeColor="text1"/>
                <w:sz w:val="20"/>
                <w:szCs w:val="18"/>
              </w:rPr>
              <w:t>Small sample size (</w:t>
            </w:r>
            <w:r w:rsidRPr="008906CA">
              <w:rPr>
                <w:rFonts w:ascii="Times New Roman" w:eastAsiaTheme="minorEastAsia" w:hAnsi="Times New Roman" w:cs="Times New Roman"/>
                <w:color w:val="000000" w:themeColor="text1"/>
                <w:sz w:val="20"/>
                <w:szCs w:val="18"/>
              </w:rPr>
              <w:sym w:font="Symbol" w:char="F0A3"/>
            </w:r>
            <w:r w:rsidRPr="008906CA">
              <w:rPr>
                <w:rFonts w:ascii="Times New Roman" w:eastAsiaTheme="minorEastAsia" w:hAnsi="Times New Roman" w:cs="Times New Roman"/>
                <w:color w:val="000000" w:themeColor="text1"/>
                <w:sz w:val="20"/>
                <w:szCs w:val="18"/>
              </w:rPr>
              <w:t xml:space="preserve"> </w:t>
            </w:r>
            <w:r w:rsidRPr="008906CA">
              <w:rPr>
                <w:rFonts w:ascii="Times New Roman" w:hAnsi="Times New Roman" w:cs="Times New Roman"/>
                <w:sz w:val="20"/>
                <w:szCs w:val="18"/>
              </w:rPr>
              <w:t xml:space="preserve">100); </w:t>
            </w:r>
            <w:r w:rsidRPr="008906CA">
              <w:rPr>
                <w:rFonts w:ascii="Times New Roman" w:eastAsiaTheme="minorEastAsia" w:hAnsi="Times New Roman" w:cs="Times New Roman"/>
                <w:sz w:val="20"/>
                <w:szCs w:val="20"/>
              </w:rPr>
              <w:t>Se levels not assessed by ICP-MS</w:t>
            </w:r>
            <w:r w:rsidR="000D3C72" w:rsidRPr="008906CA">
              <w:rPr>
                <w:rFonts w:ascii="Times New Roman" w:eastAsiaTheme="minorEastAsia" w:hAnsi="Times New Roman" w:cs="Times New Roman"/>
                <w:sz w:val="20"/>
                <w:szCs w:val="20"/>
                <w:vertAlign w:val="superscript"/>
              </w:rPr>
              <w:t>c</w:t>
            </w:r>
          </w:p>
        </w:tc>
      </w:tr>
      <w:tr w:rsidR="00664EB0" w:rsidRPr="008906CA" w14:paraId="3D8566C4" w14:textId="77777777" w:rsidTr="00E52573">
        <w:trPr>
          <w:trHeight w:val="299"/>
        </w:trPr>
        <w:tc>
          <w:tcPr>
            <w:tcW w:w="989" w:type="dxa"/>
            <w:noWrap/>
          </w:tcPr>
          <w:p w14:paraId="22678ECD"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Kuo et al. 2002</w:t>
            </w:r>
          </w:p>
        </w:tc>
        <w:tc>
          <w:tcPr>
            <w:tcW w:w="2488" w:type="dxa"/>
          </w:tcPr>
          <w:p w14:paraId="79DE2204"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Serum and tissue trace elements in patients with breast cancer in Taiwan.</w:t>
            </w:r>
          </w:p>
        </w:tc>
        <w:tc>
          <w:tcPr>
            <w:tcW w:w="992" w:type="dxa"/>
            <w:noWrap/>
          </w:tcPr>
          <w:p w14:paraId="59CBE199"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26</w:t>
            </w:r>
          </w:p>
        </w:tc>
        <w:tc>
          <w:tcPr>
            <w:tcW w:w="851" w:type="dxa"/>
            <w:noWrap/>
          </w:tcPr>
          <w:p w14:paraId="7D9A8504"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99.5</w:t>
            </w:r>
          </w:p>
        </w:tc>
        <w:tc>
          <w:tcPr>
            <w:tcW w:w="821" w:type="dxa"/>
          </w:tcPr>
          <w:p w14:paraId="2BEDF3E0"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25.8</w:t>
            </w:r>
          </w:p>
        </w:tc>
        <w:tc>
          <w:tcPr>
            <w:tcW w:w="993" w:type="dxa"/>
            <w:noWrap/>
          </w:tcPr>
          <w:p w14:paraId="62B190F2"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51127313"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AAS</w:t>
            </w:r>
          </w:p>
        </w:tc>
        <w:tc>
          <w:tcPr>
            <w:tcW w:w="2993" w:type="dxa"/>
          </w:tcPr>
          <w:p w14:paraId="4BD56D9A"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hAnsi="Times New Roman" w:cs="Times New Roman"/>
                <w:sz w:val="20"/>
                <w:szCs w:val="20"/>
              </w:rPr>
              <w:t>The study compared zinc, copper, selenium, and iron levels in the serum of breast tumor patients in central Taiwan. The mean Se conc represented 80% of the subjects in the control group aged 18-50 years old.</w:t>
            </w:r>
          </w:p>
        </w:tc>
        <w:tc>
          <w:tcPr>
            <w:tcW w:w="2538" w:type="dxa"/>
          </w:tcPr>
          <w:p w14:paraId="55DA94A5"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eastAsiaTheme="minorEastAsia" w:hAnsi="Times New Roman" w:cs="Times New Roman"/>
                <w:color w:val="000000" w:themeColor="text1"/>
                <w:sz w:val="20"/>
                <w:szCs w:val="18"/>
              </w:rPr>
              <w:t>Small sample size (</w:t>
            </w:r>
            <w:r w:rsidRPr="008906CA">
              <w:rPr>
                <w:rFonts w:ascii="Times New Roman" w:eastAsiaTheme="minorEastAsia" w:hAnsi="Times New Roman" w:cs="Times New Roman"/>
                <w:color w:val="000000" w:themeColor="text1"/>
                <w:sz w:val="20"/>
                <w:szCs w:val="18"/>
              </w:rPr>
              <w:sym w:font="Symbol" w:char="F0A3"/>
            </w:r>
            <w:r w:rsidRPr="008906CA">
              <w:rPr>
                <w:rFonts w:ascii="Times New Roman" w:eastAsiaTheme="minorEastAsia" w:hAnsi="Times New Roman" w:cs="Times New Roman"/>
                <w:color w:val="000000" w:themeColor="text1"/>
                <w:sz w:val="20"/>
                <w:szCs w:val="18"/>
              </w:rPr>
              <w:t xml:space="preserve"> </w:t>
            </w:r>
            <w:r w:rsidRPr="008906CA">
              <w:rPr>
                <w:rFonts w:ascii="Times New Roman" w:hAnsi="Times New Roman" w:cs="Times New Roman"/>
                <w:sz w:val="20"/>
                <w:szCs w:val="18"/>
              </w:rPr>
              <w:t xml:space="preserve">100); </w:t>
            </w:r>
            <w:r w:rsidRPr="008906CA">
              <w:rPr>
                <w:rFonts w:ascii="Times New Roman" w:eastAsiaTheme="minorEastAsia" w:hAnsi="Times New Roman" w:cs="Times New Roman"/>
                <w:sz w:val="20"/>
                <w:szCs w:val="20"/>
              </w:rPr>
              <w:t>Se levels not assessed by ICP-MS</w:t>
            </w:r>
          </w:p>
        </w:tc>
      </w:tr>
      <w:tr w:rsidR="00664EB0" w:rsidRPr="008906CA" w14:paraId="6184AD18" w14:textId="77777777" w:rsidTr="00E52573">
        <w:trPr>
          <w:trHeight w:val="299"/>
        </w:trPr>
        <w:tc>
          <w:tcPr>
            <w:tcW w:w="989" w:type="dxa"/>
            <w:noWrap/>
          </w:tcPr>
          <w:p w14:paraId="41C44B77"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Hsueh et al. 2003</w:t>
            </w:r>
          </w:p>
        </w:tc>
        <w:tc>
          <w:tcPr>
            <w:tcW w:w="2488" w:type="dxa"/>
          </w:tcPr>
          <w:p w14:paraId="228FDB0A"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Determinants of inorganic arsenic methylation capability among residents of the Lanyang Basin, Taiwan: arsenic and selenium exposure &amp; alcohol consumption.</w:t>
            </w:r>
          </w:p>
        </w:tc>
        <w:tc>
          <w:tcPr>
            <w:tcW w:w="992" w:type="dxa"/>
            <w:noWrap/>
          </w:tcPr>
          <w:p w14:paraId="03D2DB10"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252</w:t>
            </w:r>
          </w:p>
        </w:tc>
        <w:tc>
          <w:tcPr>
            <w:tcW w:w="851" w:type="dxa"/>
            <w:noWrap/>
          </w:tcPr>
          <w:p w14:paraId="4B2AB2C7"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92.5</w:t>
            </w:r>
          </w:p>
        </w:tc>
        <w:tc>
          <w:tcPr>
            <w:tcW w:w="821" w:type="dxa"/>
          </w:tcPr>
          <w:p w14:paraId="40195E73"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1.4</w:t>
            </w:r>
          </w:p>
        </w:tc>
        <w:tc>
          <w:tcPr>
            <w:tcW w:w="993" w:type="dxa"/>
            <w:noWrap/>
          </w:tcPr>
          <w:p w14:paraId="284939AC"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1C36316F"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AAS</w:t>
            </w:r>
          </w:p>
        </w:tc>
        <w:tc>
          <w:tcPr>
            <w:tcW w:w="2993" w:type="dxa"/>
          </w:tcPr>
          <w:p w14:paraId="661340C5"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The study involved 76% of adults aged &gt;50 years old in the Lanyang Basin at the northeastern coast of Taiwan to study the association between serum Se and inorganic arsenic methylation capability.</w:t>
            </w:r>
          </w:p>
        </w:tc>
        <w:tc>
          <w:tcPr>
            <w:tcW w:w="2538" w:type="dxa"/>
          </w:tcPr>
          <w:p w14:paraId="0BA8B06B"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eastAsiaTheme="minorEastAsia" w:hAnsi="Times New Roman" w:cs="Times New Roman"/>
                <w:sz w:val="20"/>
                <w:szCs w:val="20"/>
              </w:rPr>
              <w:t>Se levels not assessed by ICP-MS</w:t>
            </w:r>
          </w:p>
        </w:tc>
      </w:tr>
      <w:tr w:rsidR="00664EB0" w:rsidRPr="008906CA" w14:paraId="3922540C" w14:textId="77777777" w:rsidTr="00E52573">
        <w:trPr>
          <w:trHeight w:val="299"/>
        </w:trPr>
        <w:tc>
          <w:tcPr>
            <w:tcW w:w="989" w:type="dxa"/>
            <w:tcBorders>
              <w:bottom w:val="single" w:sz="4" w:space="0" w:color="auto"/>
            </w:tcBorders>
            <w:noWrap/>
            <w:hideMark/>
          </w:tcPr>
          <w:p w14:paraId="39F162B6"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Chen et al. 2006</w:t>
            </w:r>
          </w:p>
        </w:tc>
        <w:tc>
          <w:tcPr>
            <w:tcW w:w="2488" w:type="dxa"/>
            <w:tcBorders>
              <w:bottom w:val="single" w:sz="4" w:space="0" w:color="auto"/>
            </w:tcBorders>
          </w:tcPr>
          <w:p w14:paraId="7C64B6A8"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Serum selenium in adult Taiwanese.</w:t>
            </w:r>
          </w:p>
        </w:tc>
        <w:tc>
          <w:tcPr>
            <w:tcW w:w="992" w:type="dxa"/>
            <w:tcBorders>
              <w:bottom w:val="single" w:sz="4" w:space="0" w:color="auto"/>
            </w:tcBorders>
            <w:noWrap/>
            <w:hideMark/>
          </w:tcPr>
          <w:p w14:paraId="3EC0435E"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2755</w:t>
            </w:r>
          </w:p>
        </w:tc>
        <w:tc>
          <w:tcPr>
            <w:tcW w:w="851" w:type="dxa"/>
            <w:tcBorders>
              <w:bottom w:val="single" w:sz="4" w:space="0" w:color="auto"/>
            </w:tcBorders>
            <w:noWrap/>
            <w:hideMark/>
          </w:tcPr>
          <w:p w14:paraId="70E53C32"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110.9</w:t>
            </w:r>
          </w:p>
        </w:tc>
        <w:tc>
          <w:tcPr>
            <w:tcW w:w="821" w:type="dxa"/>
            <w:tcBorders>
              <w:bottom w:val="single" w:sz="4" w:space="0" w:color="auto"/>
            </w:tcBorders>
          </w:tcPr>
          <w:p w14:paraId="25433C35"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21.5</w:t>
            </w:r>
          </w:p>
        </w:tc>
        <w:tc>
          <w:tcPr>
            <w:tcW w:w="993" w:type="dxa"/>
            <w:tcBorders>
              <w:bottom w:val="single" w:sz="4" w:space="0" w:color="auto"/>
            </w:tcBorders>
            <w:noWrap/>
            <w:hideMark/>
          </w:tcPr>
          <w:p w14:paraId="1F69826A"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40.5</w:t>
            </w:r>
            <w:r w:rsidRPr="008906CA">
              <w:rPr>
                <w:rFonts w:ascii="Times New Roman" w:eastAsiaTheme="minorEastAsia" w:hAnsi="Times New Roman" w:cs="Times New Roman"/>
                <w:sz w:val="20"/>
                <w:szCs w:val="20"/>
              </w:rPr>
              <w:t>–</w:t>
            </w:r>
            <w:r w:rsidRPr="008906CA">
              <w:rPr>
                <w:rFonts w:ascii="Times New Roman" w:hAnsi="Times New Roman" w:cs="Times New Roman"/>
                <w:sz w:val="20"/>
                <w:szCs w:val="20"/>
              </w:rPr>
              <w:t>186</w:t>
            </w:r>
          </w:p>
        </w:tc>
        <w:tc>
          <w:tcPr>
            <w:tcW w:w="1283" w:type="dxa"/>
            <w:tcBorders>
              <w:bottom w:val="single" w:sz="4" w:space="0" w:color="auto"/>
            </w:tcBorders>
            <w:noWrap/>
            <w:hideMark/>
          </w:tcPr>
          <w:p w14:paraId="2DBCE916"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AAS</w:t>
            </w:r>
          </w:p>
        </w:tc>
        <w:tc>
          <w:tcPr>
            <w:tcW w:w="2993" w:type="dxa"/>
            <w:tcBorders>
              <w:bottom w:val="single" w:sz="4" w:space="0" w:color="auto"/>
            </w:tcBorders>
          </w:tcPr>
          <w:p w14:paraId="4346BCE5"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Subjects aged &gt;15 years old to study serum Se in Taiwanese.</w:t>
            </w:r>
          </w:p>
          <w:p w14:paraId="0BC9771C" w14:textId="77777777" w:rsidR="00664EB0" w:rsidRPr="008906CA" w:rsidRDefault="00664EB0" w:rsidP="00E754DF">
            <w:pPr>
              <w:adjustRightInd w:val="0"/>
              <w:snapToGrid w:val="0"/>
              <w:spacing w:beforeLines="0" w:afterLines="0"/>
              <w:jc w:val="both"/>
              <w:rPr>
                <w:rFonts w:ascii="Times New Roman" w:eastAsiaTheme="minorEastAsia" w:hAnsi="Times New Roman" w:cs="Times New Roman"/>
                <w:sz w:val="20"/>
                <w:szCs w:val="20"/>
              </w:rPr>
            </w:pPr>
          </w:p>
        </w:tc>
        <w:tc>
          <w:tcPr>
            <w:tcW w:w="2538" w:type="dxa"/>
            <w:tcBorders>
              <w:bottom w:val="single" w:sz="4" w:space="0" w:color="auto"/>
            </w:tcBorders>
          </w:tcPr>
          <w:p w14:paraId="4AEB1F73"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eastAsiaTheme="minorEastAsia" w:hAnsi="Times New Roman" w:cs="Times New Roman"/>
                <w:sz w:val="20"/>
                <w:szCs w:val="20"/>
              </w:rPr>
              <w:t>Se levels not assessed by ICP-MS</w:t>
            </w:r>
          </w:p>
        </w:tc>
      </w:tr>
      <w:tr w:rsidR="00664EB0" w:rsidRPr="008906CA" w14:paraId="61E66B53" w14:textId="77777777" w:rsidTr="00E52573">
        <w:trPr>
          <w:trHeight w:val="299"/>
        </w:trPr>
        <w:tc>
          <w:tcPr>
            <w:tcW w:w="989" w:type="dxa"/>
            <w:noWrap/>
            <w:hideMark/>
          </w:tcPr>
          <w:p w14:paraId="74FF1EF5"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Lin et al. 2006</w:t>
            </w:r>
          </w:p>
        </w:tc>
        <w:tc>
          <w:tcPr>
            <w:tcW w:w="2488" w:type="dxa"/>
          </w:tcPr>
          <w:p w14:paraId="7A538B98"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Selenium, iron, copper, and zinc levels and copper-to-zinc ratios in serum of patients at different stages of viral hepatic diseases.</w:t>
            </w:r>
          </w:p>
        </w:tc>
        <w:tc>
          <w:tcPr>
            <w:tcW w:w="992" w:type="dxa"/>
            <w:noWrap/>
            <w:hideMark/>
          </w:tcPr>
          <w:p w14:paraId="721F4A51"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50</w:t>
            </w:r>
          </w:p>
        </w:tc>
        <w:tc>
          <w:tcPr>
            <w:tcW w:w="851" w:type="dxa"/>
            <w:noWrap/>
            <w:hideMark/>
          </w:tcPr>
          <w:p w14:paraId="3572E842"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129.0</w:t>
            </w:r>
          </w:p>
        </w:tc>
        <w:tc>
          <w:tcPr>
            <w:tcW w:w="821" w:type="dxa"/>
          </w:tcPr>
          <w:p w14:paraId="1444F5EF"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21.5</w:t>
            </w:r>
          </w:p>
        </w:tc>
        <w:tc>
          <w:tcPr>
            <w:tcW w:w="993" w:type="dxa"/>
            <w:noWrap/>
            <w:hideMark/>
          </w:tcPr>
          <w:p w14:paraId="349B9004"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hideMark/>
          </w:tcPr>
          <w:p w14:paraId="4EF0BA26"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AAS</w:t>
            </w:r>
          </w:p>
        </w:tc>
        <w:tc>
          <w:tcPr>
            <w:tcW w:w="2993" w:type="dxa"/>
          </w:tcPr>
          <w:p w14:paraId="042235B3"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hAnsi="Times New Roman" w:cs="Times New Roman"/>
                <w:sz w:val="20"/>
                <w:szCs w:val="20"/>
              </w:rPr>
              <w:t xml:space="preserve">Control group (HbsAg and anti-HCV negative subject aged &gt;18; mean age 48.5 </w:t>
            </w:r>
            <w:r w:rsidRPr="008906CA">
              <w:rPr>
                <w:rFonts w:ascii="Times New Roman" w:hAnsi="Times New Roman" w:cs="Times New Roman"/>
                <w:sz w:val="20"/>
                <w:szCs w:val="20"/>
              </w:rPr>
              <w:sym w:font="Symbol" w:char="F0B1"/>
            </w:r>
            <w:r w:rsidRPr="008906CA">
              <w:rPr>
                <w:rFonts w:ascii="Times New Roman" w:hAnsi="Times New Roman" w:cs="Times New Roman"/>
                <w:sz w:val="20"/>
                <w:szCs w:val="20"/>
              </w:rPr>
              <w:t xml:space="preserve"> 13.1) - association between trace elements and the development of viral hepatic disease in patients/chronic hepatitis, hepatic </w:t>
            </w:r>
            <w:r w:rsidRPr="008906CA">
              <w:rPr>
                <w:rFonts w:ascii="Times New Roman" w:hAnsi="Times New Roman" w:cs="Times New Roman"/>
                <w:sz w:val="20"/>
                <w:szCs w:val="20"/>
              </w:rPr>
              <w:lastRenderedPageBreak/>
              <w:t>cirrhosis and hepatocellular carcinoma.</w:t>
            </w:r>
          </w:p>
        </w:tc>
        <w:tc>
          <w:tcPr>
            <w:tcW w:w="2538" w:type="dxa"/>
          </w:tcPr>
          <w:p w14:paraId="2F72CB1A"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eastAsiaTheme="minorEastAsia" w:hAnsi="Times New Roman" w:cs="Times New Roman"/>
                <w:color w:val="000000" w:themeColor="text1"/>
                <w:sz w:val="20"/>
                <w:szCs w:val="18"/>
              </w:rPr>
              <w:lastRenderedPageBreak/>
              <w:t>Small sample size (</w:t>
            </w:r>
            <w:r w:rsidRPr="008906CA">
              <w:rPr>
                <w:rFonts w:ascii="Times New Roman" w:eastAsiaTheme="minorEastAsia" w:hAnsi="Times New Roman" w:cs="Times New Roman"/>
                <w:color w:val="000000" w:themeColor="text1"/>
                <w:sz w:val="20"/>
                <w:szCs w:val="18"/>
              </w:rPr>
              <w:sym w:font="Symbol" w:char="F0A3"/>
            </w:r>
            <w:r w:rsidRPr="008906CA">
              <w:rPr>
                <w:rFonts w:ascii="Times New Roman" w:eastAsiaTheme="minorEastAsia" w:hAnsi="Times New Roman" w:cs="Times New Roman"/>
                <w:color w:val="000000" w:themeColor="text1"/>
                <w:sz w:val="20"/>
                <w:szCs w:val="18"/>
              </w:rPr>
              <w:t xml:space="preserve"> </w:t>
            </w:r>
            <w:r w:rsidRPr="008906CA">
              <w:rPr>
                <w:rFonts w:ascii="Times New Roman" w:hAnsi="Times New Roman" w:cs="Times New Roman"/>
                <w:sz w:val="20"/>
                <w:szCs w:val="18"/>
              </w:rPr>
              <w:t xml:space="preserve">100); </w:t>
            </w:r>
            <w:r w:rsidRPr="008906CA">
              <w:rPr>
                <w:rFonts w:ascii="Times New Roman" w:eastAsiaTheme="minorEastAsia" w:hAnsi="Times New Roman" w:cs="Times New Roman"/>
                <w:sz w:val="20"/>
                <w:szCs w:val="20"/>
              </w:rPr>
              <w:t>Se levels not assessed by ICP-MS</w:t>
            </w:r>
          </w:p>
        </w:tc>
      </w:tr>
      <w:tr w:rsidR="00664EB0" w:rsidRPr="008906CA" w14:paraId="2F29997A" w14:textId="77777777" w:rsidTr="00E52573">
        <w:trPr>
          <w:trHeight w:val="299"/>
        </w:trPr>
        <w:tc>
          <w:tcPr>
            <w:tcW w:w="989" w:type="dxa"/>
            <w:noWrap/>
          </w:tcPr>
          <w:p w14:paraId="5FB048E9"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342F08">
              <w:rPr>
                <w:rFonts w:ascii="Times New Roman" w:hAnsi="Times New Roman" w:cs="Times New Roman"/>
                <w:sz w:val="20"/>
                <w:szCs w:val="20"/>
              </w:rPr>
              <w:t>Yang et al. 2010</w:t>
            </w:r>
          </w:p>
        </w:tc>
        <w:tc>
          <w:tcPr>
            <w:tcW w:w="2488" w:type="dxa"/>
          </w:tcPr>
          <w:p w14:paraId="08E9F2DB"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Serum selenium concentration is associated with metabolic factors in the elderly: a cross-sectional study.</w:t>
            </w:r>
          </w:p>
        </w:tc>
        <w:tc>
          <w:tcPr>
            <w:tcW w:w="992" w:type="dxa"/>
            <w:noWrap/>
          </w:tcPr>
          <w:p w14:paraId="121677BB"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200</w:t>
            </w:r>
          </w:p>
        </w:tc>
        <w:tc>
          <w:tcPr>
            <w:tcW w:w="851" w:type="dxa"/>
            <w:noWrap/>
          </w:tcPr>
          <w:p w14:paraId="02FBEEF2"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90.1</w:t>
            </w:r>
          </w:p>
        </w:tc>
        <w:tc>
          <w:tcPr>
            <w:tcW w:w="821" w:type="dxa"/>
          </w:tcPr>
          <w:p w14:paraId="160A5B43"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18.2</w:t>
            </w:r>
          </w:p>
        </w:tc>
        <w:tc>
          <w:tcPr>
            <w:tcW w:w="993" w:type="dxa"/>
            <w:noWrap/>
          </w:tcPr>
          <w:p w14:paraId="265BC64D"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29D341DB"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2993" w:type="dxa"/>
          </w:tcPr>
          <w:p w14:paraId="289225C8"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Elderly aged 65-85 years from Taipei to study the relationship of serum Se with serum lipids and fasting glucose.</w:t>
            </w:r>
          </w:p>
        </w:tc>
        <w:tc>
          <w:tcPr>
            <w:tcW w:w="2538" w:type="dxa"/>
          </w:tcPr>
          <w:p w14:paraId="09C03E7B" w14:textId="11049502" w:rsidR="00664EB0" w:rsidRPr="008906CA" w:rsidRDefault="00342F08" w:rsidP="00E754DF">
            <w:pPr>
              <w:adjustRightInd w:val="0"/>
              <w:snapToGrid w:val="0"/>
              <w:spacing w:beforeLines="0" w:afterLines="0"/>
              <w:rPr>
                <w:rFonts w:ascii="Times New Roman" w:eastAsiaTheme="minorEastAsia" w:hAnsi="Times New Roman" w:cs="Times New Roman"/>
                <w:color w:val="000000" w:themeColor="text1"/>
                <w:sz w:val="20"/>
                <w:szCs w:val="18"/>
              </w:rPr>
            </w:pPr>
            <w:r>
              <w:rPr>
                <w:rFonts w:ascii="Times New Roman" w:eastAsia="標楷體" w:hAnsi="Times New Roman" w:cs="Times New Roman"/>
                <w:sz w:val="20"/>
                <w:szCs w:val="20"/>
              </w:rPr>
              <w:t>Published before 2018</w:t>
            </w:r>
            <w:r>
              <w:rPr>
                <w:rFonts w:ascii="Times New Roman" w:eastAsia="標楷體" w:hAnsi="Times New Roman" w:cs="Times New Roman" w:hint="eastAsia"/>
                <w:sz w:val="20"/>
                <w:szCs w:val="20"/>
              </w:rPr>
              <w:t xml:space="preserve"> (</w:t>
            </w:r>
            <w:r>
              <w:rPr>
                <w:rFonts w:ascii="Times New Roman" w:eastAsia="標楷體" w:hAnsi="Times New Roman" w:cs="Times New Roman"/>
                <w:sz w:val="20"/>
                <w:szCs w:val="20"/>
              </w:rPr>
              <w:t>lacked validated analytical method)</w:t>
            </w:r>
          </w:p>
        </w:tc>
      </w:tr>
      <w:tr w:rsidR="00664EB0" w:rsidRPr="008906CA" w14:paraId="76577118" w14:textId="77777777" w:rsidTr="00E52573">
        <w:trPr>
          <w:trHeight w:val="299"/>
        </w:trPr>
        <w:tc>
          <w:tcPr>
            <w:tcW w:w="989" w:type="dxa"/>
            <w:noWrap/>
          </w:tcPr>
          <w:p w14:paraId="69F197E9"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Yang et al.2012</w:t>
            </w:r>
          </w:p>
        </w:tc>
        <w:tc>
          <w:tcPr>
            <w:tcW w:w="2488" w:type="dxa"/>
          </w:tcPr>
          <w:p w14:paraId="745DC77E"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Essential trace element status and clinical outcomes in long-term dialysis patients: a two-year prospective observational cohort study.</w:t>
            </w:r>
          </w:p>
        </w:tc>
        <w:tc>
          <w:tcPr>
            <w:tcW w:w="992" w:type="dxa"/>
            <w:noWrap/>
          </w:tcPr>
          <w:p w14:paraId="4CBB24A9"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67</w:t>
            </w:r>
          </w:p>
        </w:tc>
        <w:tc>
          <w:tcPr>
            <w:tcW w:w="851" w:type="dxa"/>
            <w:noWrap/>
          </w:tcPr>
          <w:p w14:paraId="427A32D9"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 xml:space="preserve">95.9 </w:t>
            </w:r>
          </w:p>
        </w:tc>
        <w:tc>
          <w:tcPr>
            <w:tcW w:w="821" w:type="dxa"/>
          </w:tcPr>
          <w:p w14:paraId="64FD854C"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13.2</w:t>
            </w:r>
          </w:p>
        </w:tc>
        <w:tc>
          <w:tcPr>
            <w:tcW w:w="993" w:type="dxa"/>
            <w:noWrap/>
          </w:tcPr>
          <w:p w14:paraId="6CEFA5F9"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66.0</w:t>
            </w:r>
            <w:r w:rsidRPr="008906CA">
              <w:rPr>
                <w:rFonts w:ascii="Times New Roman" w:eastAsiaTheme="minorEastAsia" w:hAnsi="Times New Roman" w:cs="Times New Roman"/>
                <w:sz w:val="20"/>
                <w:szCs w:val="20"/>
              </w:rPr>
              <w:t>–</w:t>
            </w:r>
            <w:r w:rsidRPr="008906CA">
              <w:rPr>
                <w:rFonts w:ascii="Times New Roman" w:hAnsi="Times New Roman" w:cs="Times New Roman"/>
                <w:sz w:val="20"/>
                <w:szCs w:val="20"/>
              </w:rPr>
              <w:t xml:space="preserve"> 131.8</w:t>
            </w:r>
          </w:p>
        </w:tc>
        <w:tc>
          <w:tcPr>
            <w:tcW w:w="1283" w:type="dxa"/>
            <w:noWrap/>
          </w:tcPr>
          <w:p w14:paraId="40BF3AD7"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2993" w:type="dxa"/>
          </w:tcPr>
          <w:p w14:paraId="03412DD7"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 xml:space="preserve">Adults with mean age 35 </w:t>
            </w:r>
            <w:r w:rsidRPr="008906CA">
              <w:rPr>
                <w:rFonts w:ascii="Times New Roman" w:hAnsi="Times New Roman" w:cs="Times New Roman"/>
                <w:sz w:val="20"/>
                <w:szCs w:val="20"/>
              </w:rPr>
              <w:sym w:font="Symbol" w:char="F0B1"/>
            </w:r>
            <w:r w:rsidRPr="008906CA">
              <w:rPr>
                <w:rFonts w:ascii="Times New Roman" w:hAnsi="Times New Roman" w:cs="Times New Roman"/>
                <w:sz w:val="20"/>
                <w:szCs w:val="20"/>
              </w:rPr>
              <w:t xml:space="preserve"> 11 years old with normal renal function to investigate the predictive values of Se, Cu, and Zn on clinical outcomes in dialysis patients. </w:t>
            </w:r>
          </w:p>
          <w:p w14:paraId="76883B83"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p>
        </w:tc>
        <w:tc>
          <w:tcPr>
            <w:tcW w:w="2538" w:type="dxa"/>
          </w:tcPr>
          <w:p w14:paraId="63600973" w14:textId="77777777" w:rsidR="00664EB0" w:rsidRPr="008906CA" w:rsidRDefault="00664EB0" w:rsidP="00E754DF">
            <w:pPr>
              <w:adjustRightInd w:val="0"/>
              <w:snapToGrid w:val="0"/>
              <w:spacing w:beforeLines="0" w:afterLines="0"/>
              <w:rPr>
                <w:rFonts w:ascii="Times New Roman" w:eastAsiaTheme="minorEastAsia" w:hAnsi="Times New Roman" w:cs="Times New Roman"/>
                <w:color w:val="000000" w:themeColor="text1"/>
                <w:sz w:val="20"/>
                <w:szCs w:val="18"/>
              </w:rPr>
            </w:pPr>
            <w:r w:rsidRPr="008906CA">
              <w:rPr>
                <w:rFonts w:ascii="Times New Roman" w:eastAsiaTheme="minorEastAsia" w:hAnsi="Times New Roman" w:cs="Times New Roman"/>
                <w:color w:val="000000" w:themeColor="text1"/>
                <w:sz w:val="20"/>
                <w:szCs w:val="18"/>
              </w:rPr>
              <w:t>Small sample size (</w:t>
            </w:r>
            <w:r w:rsidRPr="008906CA">
              <w:rPr>
                <w:rFonts w:ascii="Times New Roman" w:eastAsiaTheme="minorEastAsia" w:hAnsi="Times New Roman" w:cs="Times New Roman"/>
                <w:color w:val="000000" w:themeColor="text1"/>
                <w:sz w:val="20"/>
                <w:szCs w:val="18"/>
              </w:rPr>
              <w:sym w:font="Symbol" w:char="F0A3"/>
            </w:r>
            <w:r w:rsidRPr="008906CA">
              <w:rPr>
                <w:rFonts w:ascii="Times New Roman" w:eastAsiaTheme="minorEastAsia" w:hAnsi="Times New Roman" w:cs="Times New Roman"/>
                <w:color w:val="000000" w:themeColor="text1"/>
                <w:sz w:val="20"/>
                <w:szCs w:val="18"/>
              </w:rPr>
              <w:t xml:space="preserve"> </w:t>
            </w:r>
            <w:r w:rsidRPr="008906CA">
              <w:rPr>
                <w:rFonts w:ascii="Times New Roman" w:hAnsi="Times New Roman" w:cs="Times New Roman"/>
                <w:sz w:val="20"/>
                <w:szCs w:val="18"/>
              </w:rPr>
              <w:t>100)</w:t>
            </w:r>
          </w:p>
        </w:tc>
      </w:tr>
      <w:tr w:rsidR="00664EB0" w:rsidRPr="008906CA" w14:paraId="0EBE5CDD" w14:textId="77777777" w:rsidTr="00E52573">
        <w:trPr>
          <w:trHeight w:val="299"/>
        </w:trPr>
        <w:tc>
          <w:tcPr>
            <w:tcW w:w="989" w:type="dxa"/>
            <w:noWrap/>
          </w:tcPr>
          <w:p w14:paraId="139A8A47"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Tseng et al. 2013</w:t>
            </w:r>
          </w:p>
        </w:tc>
        <w:tc>
          <w:tcPr>
            <w:tcW w:w="2488" w:type="dxa"/>
          </w:tcPr>
          <w:p w14:paraId="2AB77047"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Selenium is inversely associated with interleukin-6 in the elderly.</w:t>
            </w:r>
          </w:p>
        </w:tc>
        <w:tc>
          <w:tcPr>
            <w:tcW w:w="992" w:type="dxa"/>
            <w:noWrap/>
          </w:tcPr>
          <w:p w14:paraId="5A5B2D42"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202</w:t>
            </w:r>
          </w:p>
        </w:tc>
        <w:tc>
          <w:tcPr>
            <w:tcW w:w="851" w:type="dxa"/>
            <w:noWrap/>
          </w:tcPr>
          <w:p w14:paraId="76E4122B"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123.9</w:t>
            </w:r>
          </w:p>
        </w:tc>
        <w:tc>
          <w:tcPr>
            <w:tcW w:w="821" w:type="dxa"/>
          </w:tcPr>
          <w:p w14:paraId="2699E99E"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36.0</w:t>
            </w:r>
          </w:p>
        </w:tc>
        <w:tc>
          <w:tcPr>
            <w:tcW w:w="993" w:type="dxa"/>
            <w:noWrap/>
          </w:tcPr>
          <w:p w14:paraId="79A41EBF"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283C891D"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AAS</w:t>
            </w:r>
          </w:p>
        </w:tc>
        <w:tc>
          <w:tcPr>
            <w:tcW w:w="2993" w:type="dxa"/>
          </w:tcPr>
          <w:p w14:paraId="3564DD9A"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hAnsi="Times New Roman" w:cs="Times New Roman"/>
                <w:sz w:val="20"/>
                <w:szCs w:val="20"/>
              </w:rPr>
              <w:t xml:space="preserve">Elderly aged 79.8 </w:t>
            </w:r>
            <w:r w:rsidRPr="008906CA">
              <w:rPr>
                <w:rFonts w:ascii="Times New Roman" w:hAnsi="Times New Roman" w:cs="Times New Roman"/>
                <w:sz w:val="20"/>
                <w:szCs w:val="20"/>
              </w:rPr>
              <w:sym w:font="Symbol" w:char="F0B1"/>
            </w:r>
            <w:r w:rsidRPr="008906CA">
              <w:rPr>
                <w:rFonts w:ascii="Times New Roman" w:hAnsi="Times New Roman" w:cs="Times New Roman"/>
                <w:sz w:val="20"/>
                <w:szCs w:val="20"/>
              </w:rPr>
              <w:t xml:space="preserve"> 7.3 years old living in long-term care facilities in Taichung City. Association between serum Se with IL-6.</w:t>
            </w:r>
          </w:p>
        </w:tc>
        <w:tc>
          <w:tcPr>
            <w:tcW w:w="2538" w:type="dxa"/>
          </w:tcPr>
          <w:p w14:paraId="79961C08"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eastAsiaTheme="minorEastAsia" w:hAnsi="Times New Roman" w:cs="Times New Roman"/>
                <w:sz w:val="20"/>
                <w:szCs w:val="20"/>
              </w:rPr>
              <w:t>Se levels not assessed by ICP-MS</w:t>
            </w:r>
          </w:p>
        </w:tc>
      </w:tr>
      <w:tr w:rsidR="00664EB0" w:rsidRPr="008906CA" w14:paraId="25773F9D" w14:textId="77777777" w:rsidTr="00E52573">
        <w:trPr>
          <w:trHeight w:val="299"/>
        </w:trPr>
        <w:tc>
          <w:tcPr>
            <w:tcW w:w="989" w:type="dxa"/>
            <w:noWrap/>
          </w:tcPr>
          <w:p w14:paraId="37FD4ACD"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Chen et al. 2014</w:t>
            </w:r>
          </w:p>
        </w:tc>
        <w:tc>
          <w:tcPr>
            <w:tcW w:w="2488" w:type="dxa"/>
          </w:tcPr>
          <w:p w14:paraId="0B2B5D03"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Low serum selenium level is associated with low muscle mass in the community-dwelling elderly.</w:t>
            </w:r>
          </w:p>
        </w:tc>
        <w:tc>
          <w:tcPr>
            <w:tcW w:w="992" w:type="dxa"/>
            <w:noWrap/>
          </w:tcPr>
          <w:p w14:paraId="199BFAF5"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230</w:t>
            </w:r>
          </w:p>
        </w:tc>
        <w:tc>
          <w:tcPr>
            <w:tcW w:w="851" w:type="dxa"/>
            <w:noWrap/>
          </w:tcPr>
          <w:p w14:paraId="0FF74BB1"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86.7</w:t>
            </w:r>
          </w:p>
        </w:tc>
        <w:tc>
          <w:tcPr>
            <w:tcW w:w="821" w:type="dxa"/>
          </w:tcPr>
          <w:p w14:paraId="1D1F921B"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19.7</w:t>
            </w:r>
          </w:p>
        </w:tc>
        <w:tc>
          <w:tcPr>
            <w:tcW w:w="993" w:type="dxa"/>
            <w:noWrap/>
          </w:tcPr>
          <w:p w14:paraId="5F34D040"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08261B2B"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2993" w:type="dxa"/>
          </w:tcPr>
          <w:p w14:paraId="38ECF406"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hAnsi="Times New Roman" w:cs="Times New Roman"/>
                <w:sz w:val="20"/>
                <w:szCs w:val="20"/>
              </w:rPr>
              <w:t xml:space="preserve">Elderly with mean age 71.5 </w:t>
            </w:r>
            <w:r w:rsidRPr="008906CA">
              <w:rPr>
                <w:rFonts w:ascii="Times New Roman" w:hAnsi="Times New Roman" w:cs="Times New Roman"/>
                <w:sz w:val="20"/>
                <w:szCs w:val="20"/>
              </w:rPr>
              <w:sym w:font="Symbol" w:char="F0B1"/>
            </w:r>
            <w:r w:rsidRPr="008906CA">
              <w:rPr>
                <w:rFonts w:ascii="Times New Roman" w:hAnsi="Times New Roman" w:cs="Times New Roman"/>
                <w:sz w:val="20"/>
                <w:szCs w:val="20"/>
              </w:rPr>
              <w:t xml:space="preserve"> 7.4 years to study the relationship of serum Se with risk of sarcopenia (cohort study).</w:t>
            </w:r>
          </w:p>
        </w:tc>
        <w:tc>
          <w:tcPr>
            <w:tcW w:w="2538" w:type="dxa"/>
          </w:tcPr>
          <w:p w14:paraId="755A54E1"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Subjects with specified disease state (sarcopenia)</w:t>
            </w:r>
          </w:p>
        </w:tc>
      </w:tr>
      <w:tr w:rsidR="00664EB0" w:rsidRPr="008906CA" w14:paraId="2E8D08DD" w14:textId="77777777" w:rsidTr="00E52573">
        <w:trPr>
          <w:trHeight w:val="299"/>
        </w:trPr>
        <w:tc>
          <w:tcPr>
            <w:tcW w:w="989" w:type="dxa"/>
            <w:noWrap/>
          </w:tcPr>
          <w:p w14:paraId="6AD037E2"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Wu et al. 2014</w:t>
            </w:r>
          </w:p>
        </w:tc>
        <w:tc>
          <w:tcPr>
            <w:tcW w:w="2488" w:type="dxa"/>
          </w:tcPr>
          <w:p w14:paraId="50FCCEBD"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The effect of</w:t>
            </w:r>
            <w:r w:rsidRPr="008906CA">
              <w:rPr>
                <w:rFonts w:ascii="Times New Roman" w:hAnsi="Times New Roman" w:cs="Times New Roman"/>
                <w:i/>
                <w:iCs/>
                <w:sz w:val="20"/>
                <w:szCs w:val="20"/>
              </w:rPr>
              <w:t xml:space="preserve"> Helicobacter pylori</w:t>
            </w:r>
            <w:r w:rsidRPr="008906CA">
              <w:rPr>
                <w:rFonts w:ascii="Times New Roman" w:hAnsi="Times New Roman" w:cs="Times New Roman"/>
                <w:sz w:val="20"/>
                <w:szCs w:val="20"/>
              </w:rPr>
              <w:t xml:space="preserve"> eradication on the levels of essential trace elements.</w:t>
            </w:r>
          </w:p>
        </w:tc>
        <w:tc>
          <w:tcPr>
            <w:tcW w:w="992" w:type="dxa"/>
            <w:noWrap/>
          </w:tcPr>
          <w:p w14:paraId="0D940965"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30</w:t>
            </w:r>
          </w:p>
        </w:tc>
        <w:tc>
          <w:tcPr>
            <w:tcW w:w="851" w:type="dxa"/>
            <w:noWrap/>
          </w:tcPr>
          <w:p w14:paraId="03392E47"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142.0</w:t>
            </w:r>
          </w:p>
        </w:tc>
        <w:tc>
          <w:tcPr>
            <w:tcW w:w="821" w:type="dxa"/>
          </w:tcPr>
          <w:p w14:paraId="43B11151"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25.6</w:t>
            </w:r>
          </w:p>
        </w:tc>
        <w:tc>
          <w:tcPr>
            <w:tcW w:w="993" w:type="dxa"/>
            <w:noWrap/>
          </w:tcPr>
          <w:p w14:paraId="7AF21AC1"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34F95626"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2993" w:type="dxa"/>
          </w:tcPr>
          <w:p w14:paraId="5C6AC958"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hAnsi="Times New Roman" w:cs="Times New Roman"/>
                <w:sz w:val="20"/>
                <w:szCs w:val="20"/>
              </w:rPr>
              <w:t xml:space="preserve">Control group (negative in </w:t>
            </w:r>
            <w:r w:rsidRPr="008906CA">
              <w:rPr>
                <w:rFonts w:ascii="Times New Roman" w:hAnsi="Times New Roman" w:cs="Times New Roman"/>
                <w:i/>
                <w:iCs/>
                <w:sz w:val="20"/>
                <w:szCs w:val="20"/>
              </w:rPr>
              <w:t>H. pylori</w:t>
            </w:r>
            <w:r w:rsidRPr="008906CA">
              <w:rPr>
                <w:rFonts w:ascii="Times New Roman" w:hAnsi="Times New Roman" w:cs="Times New Roman"/>
                <w:sz w:val="20"/>
                <w:szCs w:val="20"/>
              </w:rPr>
              <w:t xml:space="preserve"> infection subject aged &gt;18; mean aged 48 </w:t>
            </w:r>
            <w:r w:rsidRPr="008906CA">
              <w:rPr>
                <w:rFonts w:ascii="Times New Roman" w:hAnsi="Times New Roman" w:cs="Times New Roman"/>
                <w:sz w:val="20"/>
                <w:szCs w:val="20"/>
              </w:rPr>
              <w:sym w:font="Symbol" w:char="F0B1"/>
            </w:r>
            <w:r w:rsidRPr="008906CA">
              <w:rPr>
                <w:rFonts w:ascii="Times New Roman" w:hAnsi="Times New Roman" w:cs="Times New Roman"/>
                <w:sz w:val="20"/>
                <w:szCs w:val="20"/>
              </w:rPr>
              <w:t xml:space="preserve"> 12 years old) in the study to explore the effect of </w:t>
            </w:r>
            <w:r w:rsidRPr="008906CA">
              <w:rPr>
                <w:rFonts w:ascii="Times New Roman" w:hAnsi="Times New Roman" w:cs="Times New Roman"/>
                <w:i/>
                <w:iCs/>
                <w:sz w:val="20"/>
                <w:szCs w:val="20"/>
              </w:rPr>
              <w:t>H. pylori</w:t>
            </w:r>
            <w:r w:rsidRPr="008906CA">
              <w:rPr>
                <w:rFonts w:ascii="Times New Roman" w:hAnsi="Times New Roman" w:cs="Times New Roman"/>
                <w:sz w:val="20"/>
                <w:szCs w:val="20"/>
              </w:rPr>
              <w:t xml:space="preserve"> eradication on the essential zinc, copper, and Se.</w:t>
            </w:r>
          </w:p>
        </w:tc>
        <w:tc>
          <w:tcPr>
            <w:tcW w:w="2538" w:type="dxa"/>
          </w:tcPr>
          <w:p w14:paraId="07BB1122"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eastAsiaTheme="minorEastAsia" w:hAnsi="Times New Roman" w:cs="Times New Roman"/>
                <w:color w:val="000000" w:themeColor="text1"/>
                <w:sz w:val="20"/>
                <w:szCs w:val="18"/>
              </w:rPr>
              <w:t>Small sample size (</w:t>
            </w:r>
            <w:r w:rsidRPr="008906CA">
              <w:rPr>
                <w:rFonts w:ascii="Times New Roman" w:eastAsiaTheme="minorEastAsia" w:hAnsi="Times New Roman" w:cs="Times New Roman"/>
                <w:color w:val="000000" w:themeColor="text1"/>
                <w:sz w:val="20"/>
                <w:szCs w:val="18"/>
              </w:rPr>
              <w:sym w:font="Symbol" w:char="F0A3"/>
            </w:r>
            <w:r w:rsidRPr="008906CA">
              <w:rPr>
                <w:rFonts w:ascii="Times New Roman" w:eastAsiaTheme="minorEastAsia" w:hAnsi="Times New Roman" w:cs="Times New Roman"/>
                <w:color w:val="000000" w:themeColor="text1"/>
                <w:sz w:val="20"/>
                <w:szCs w:val="18"/>
              </w:rPr>
              <w:t xml:space="preserve"> </w:t>
            </w:r>
            <w:r w:rsidRPr="008906CA">
              <w:rPr>
                <w:rFonts w:ascii="Times New Roman" w:hAnsi="Times New Roman" w:cs="Times New Roman"/>
                <w:sz w:val="20"/>
                <w:szCs w:val="18"/>
              </w:rPr>
              <w:t>100)</w:t>
            </w:r>
          </w:p>
        </w:tc>
      </w:tr>
      <w:tr w:rsidR="00664EB0" w:rsidRPr="008906CA" w14:paraId="19976A2F" w14:textId="77777777" w:rsidTr="00E52573">
        <w:trPr>
          <w:trHeight w:val="299"/>
        </w:trPr>
        <w:tc>
          <w:tcPr>
            <w:tcW w:w="989" w:type="dxa"/>
            <w:noWrap/>
          </w:tcPr>
          <w:p w14:paraId="7399D302"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Lu et al. 2016</w:t>
            </w:r>
          </w:p>
        </w:tc>
        <w:tc>
          <w:tcPr>
            <w:tcW w:w="2488" w:type="dxa"/>
          </w:tcPr>
          <w:p w14:paraId="6F40F3ED"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 xml:space="preserve">High serum selenium levels are associated with increased risk for diabetes </w:t>
            </w:r>
            <w:r w:rsidRPr="008906CA">
              <w:rPr>
                <w:rFonts w:ascii="Times New Roman" w:hAnsi="Times New Roman" w:cs="Times New Roman"/>
                <w:sz w:val="20"/>
                <w:szCs w:val="20"/>
              </w:rPr>
              <w:lastRenderedPageBreak/>
              <w:t>mellitus independent of central obesity and insulin resistance.</w:t>
            </w:r>
          </w:p>
        </w:tc>
        <w:tc>
          <w:tcPr>
            <w:tcW w:w="992" w:type="dxa"/>
            <w:noWrap/>
          </w:tcPr>
          <w:p w14:paraId="29DAC336"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lastRenderedPageBreak/>
              <w:t>847</w:t>
            </w:r>
          </w:p>
        </w:tc>
        <w:tc>
          <w:tcPr>
            <w:tcW w:w="851" w:type="dxa"/>
            <w:noWrap/>
          </w:tcPr>
          <w:p w14:paraId="487FA8B0"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88.2</w:t>
            </w:r>
          </w:p>
        </w:tc>
        <w:tc>
          <w:tcPr>
            <w:tcW w:w="821" w:type="dxa"/>
          </w:tcPr>
          <w:p w14:paraId="64773902"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21.2</w:t>
            </w:r>
          </w:p>
        </w:tc>
        <w:tc>
          <w:tcPr>
            <w:tcW w:w="993" w:type="dxa"/>
            <w:noWrap/>
          </w:tcPr>
          <w:p w14:paraId="4CD2F018"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5351B7E9"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2993" w:type="dxa"/>
          </w:tcPr>
          <w:p w14:paraId="010954C4"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hAnsi="Times New Roman" w:cs="Times New Roman"/>
                <w:sz w:val="20"/>
                <w:szCs w:val="20"/>
              </w:rPr>
              <w:t>Patients with mean age 63.9</w:t>
            </w:r>
            <w:r w:rsidRPr="008906CA">
              <w:rPr>
                <w:rFonts w:ascii="Times New Roman" w:hAnsi="Times New Roman" w:cs="Times New Roman"/>
                <w:sz w:val="20"/>
                <w:szCs w:val="20"/>
              </w:rPr>
              <w:sym w:font="Symbol" w:char="F0B1"/>
            </w:r>
            <w:r w:rsidRPr="008906CA">
              <w:rPr>
                <w:rFonts w:ascii="Times New Roman" w:hAnsi="Times New Roman" w:cs="Times New Roman"/>
                <w:sz w:val="20"/>
                <w:szCs w:val="20"/>
              </w:rPr>
              <w:t xml:space="preserve"> 9.9 years in a case-control study to compare serum Se levels between </w:t>
            </w:r>
            <w:r w:rsidRPr="008906CA">
              <w:rPr>
                <w:rFonts w:ascii="Times New Roman" w:hAnsi="Times New Roman" w:cs="Times New Roman"/>
                <w:sz w:val="20"/>
                <w:szCs w:val="20"/>
              </w:rPr>
              <w:lastRenderedPageBreak/>
              <w:t>patients with diabetes and patients without diabetes in 2007-2014 at the Nat</w:t>
            </w:r>
            <w:r w:rsidRPr="008906CA">
              <w:rPr>
                <w:rFonts w:ascii="Times New Roman" w:eastAsia="新細明體" w:hAnsi="Times New Roman" w:cs="Times New Roman"/>
                <w:sz w:val="20"/>
                <w:szCs w:val="20"/>
              </w:rPr>
              <w:t>.</w:t>
            </w:r>
            <w:r w:rsidRPr="008906CA">
              <w:rPr>
                <w:rFonts w:ascii="Times New Roman" w:hAnsi="Times New Roman" w:cs="Times New Roman"/>
                <w:sz w:val="20"/>
                <w:szCs w:val="20"/>
              </w:rPr>
              <w:t xml:space="preserve"> Taiwan Univ. Hospital (NTUH).</w:t>
            </w:r>
          </w:p>
        </w:tc>
        <w:tc>
          <w:tcPr>
            <w:tcW w:w="2538" w:type="dxa"/>
          </w:tcPr>
          <w:p w14:paraId="5E05A4FD"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lastRenderedPageBreak/>
              <w:t>Control subjects analyzed along with diabetic patients without separate data</w:t>
            </w:r>
          </w:p>
        </w:tc>
      </w:tr>
      <w:tr w:rsidR="00664EB0" w:rsidRPr="008906CA" w14:paraId="0882CAA7" w14:textId="77777777" w:rsidTr="00E52573">
        <w:trPr>
          <w:trHeight w:val="299"/>
        </w:trPr>
        <w:tc>
          <w:tcPr>
            <w:tcW w:w="989" w:type="dxa"/>
            <w:noWrap/>
          </w:tcPr>
          <w:p w14:paraId="60D15E12"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Lu et al. 2019</w:t>
            </w:r>
          </w:p>
        </w:tc>
        <w:tc>
          <w:tcPr>
            <w:tcW w:w="2488" w:type="dxa"/>
          </w:tcPr>
          <w:p w14:paraId="5B12BFF0"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Gender differences with dose-response relationship between serum selenium levels and metabolic syndrome-a case-control study</w:t>
            </w:r>
          </w:p>
        </w:tc>
        <w:tc>
          <w:tcPr>
            <w:tcW w:w="992" w:type="dxa"/>
            <w:noWrap/>
          </w:tcPr>
          <w:p w14:paraId="795A4D80"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1165</w:t>
            </w:r>
          </w:p>
        </w:tc>
        <w:tc>
          <w:tcPr>
            <w:tcW w:w="851" w:type="dxa"/>
            <w:noWrap/>
          </w:tcPr>
          <w:p w14:paraId="185C163F"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96.3</w:t>
            </w:r>
          </w:p>
        </w:tc>
        <w:tc>
          <w:tcPr>
            <w:tcW w:w="821" w:type="dxa"/>
          </w:tcPr>
          <w:p w14:paraId="1FCE3459"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25.9</w:t>
            </w:r>
          </w:p>
        </w:tc>
        <w:tc>
          <w:tcPr>
            <w:tcW w:w="993" w:type="dxa"/>
            <w:noWrap/>
          </w:tcPr>
          <w:p w14:paraId="44BAFC6B"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547276A7"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2993" w:type="dxa"/>
          </w:tcPr>
          <w:p w14:paraId="463EC015" w14:textId="77777777" w:rsidR="00664EB0" w:rsidRPr="008906CA" w:rsidRDefault="00664EB0"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hAnsi="Times New Roman" w:cs="Times New Roman"/>
                <w:sz w:val="20"/>
                <w:szCs w:val="20"/>
              </w:rPr>
              <w:t xml:space="preserve">Patients with mean age 65.8 </w:t>
            </w:r>
            <w:r w:rsidRPr="008906CA">
              <w:rPr>
                <w:rFonts w:ascii="Times New Roman" w:hAnsi="Times New Roman" w:cs="Times New Roman"/>
                <w:sz w:val="20"/>
                <w:szCs w:val="20"/>
              </w:rPr>
              <w:sym w:font="Symbol" w:char="F0B1"/>
            </w:r>
            <w:r w:rsidRPr="008906CA">
              <w:rPr>
                <w:rFonts w:ascii="Times New Roman" w:hAnsi="Times New Roman" w:cs="Times New Roman"/>
                <w:sz w:val="20"/>
                <w:szCs w:val="20"/>
              </w:rPr>
              <w:t xml:space="preserve"> 10.0 years having diabetes, hypertension, hyperlipidemia, or other chronic diseases from 2007 to 2017 to examine the relationship between serum Se level and metabolic syndrome at the NTUH.</w:t>
            </w:r>
          </w:p>
        </w:tc>
        <w:tc>
          <w:tcPr>
            <w:tcW w:w="2538" w:type="dxa"/>
          </w:tcPr>
          <w:p w14:paraId="705BB02E"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eastAsiaTheme="minorEastAsia" w:hAnsi="Times New Roman" w:cs="Times New Roman"/>
                <w:sz w:val="20"/>
                <w:szCs w:val="20"/>
              </w:rPr>
              <w:t>Subjects with specified disease states (</w:t>
            </w:r>
            <w:r w:rsidRPr="008906CA">
              <w:rPr>
                <w:rFonts w:ascii="Times New Roman" w:hAnsi="Times New Roman" w:cs="Times New Roman"/>
                <w:sz w:val="20"/>
                <w:szCs w:val="20"/>
              </w:rPr>
              <w:t>diabetes, hypertension, hyperlipidemia, etc</w:t>
            </w:r>
            <w:r w:rsidRPr="008906CA">
              <w:rPr>
                <w:rFonts w:ascii="Times New Roman" w:eastAsiaTheme="minorEastAsia" w:hAnsi="Times New Roman" w:cs="Times New Roman"/>
                <w:sz w:val="20"/>
                <w:szCs w:val="20"/>
              </w:rPr>
              <w:t>)</w:t>
            </w:r>
          </w:p>
        </w:tc>
      </w:tr>
      <w:tr w:rsidR="00664EB0" w:rsidRPr="008906CA" w14:paraId="256A44DF" w14:textId="77777777" w:rsidTr="00E52573">
        <w:trPr>
          <w:trHeight w:val="299"/>
        </w:trPr>
        <w:tc>
          <w:tcPr>
            <w:tcW w:w="989" w:type="dxa"/>
            <w:noWrap/>
          </w:tcPr>
          <w:p w14:paraId="1CA5188D" w14:textId="77777777" w:rsidR="00664EB0" w:rsidRPr="008906CA" w:rsidRDefault="00664EB0" w:rsidP="00E754DF">
            <w:pPr>
              <w:adjustRightInd w:val="0"/>
              <w:snapToGrid w:val="0"/>
              <w:spacing w:beforeLines="0" w:afterLines="0"/>
              <w:rPr>
                <w:rFonts w:ascii="Times New Roman" w:hAnsi="Times New Roman" w:cs="Times New Roman"/>
                <w:sz w:val="20"/>
                <w:szCs w:val="20"/>
              </w:rPr>
            </w:pPr>
            <w:r w:rsidRPr="008906CA">
              <w:rPr>
                <w:rFonts w:ascii="Times New Roman" w:eastAsia="標楷體" w:hAnsi="Times New Roman" w:cs="Times New Roman"/>
                <w:color w:val="000000"/>
                <w:sz w:val="20"/>
                <w:szCs w:val="20"/>
              </w:rPr>
              <w:t>NAHSIT 2013</w:t>
            </w:r>
            <w:r w:rsidRPr="008906CA">
              <w:rPr>
                <w:rFonts w:ascii="Times New Roman" w:eastAsiaTheme="minorEastAsia" w:hAnsi="Times New Roman" w:cs="Times New Roman"/>
                <w:sz w:val="20"/>
                <w:szCs w:val="20"/>
              </w:rPr>
              <w:t>–</w:t>
            </w:r>
            <w:r w:rsidRPr="008906CA">
              <w:rPr>
                <w:rFonts w:ascii="Times New Roman" w:eastAsia="標楷體" w:hAnsi="Times New Roman" w:cs="Times New Roman"/>
                <w:color w:val="000000"/>
                <w:sz w:val="20"/>
                <w:szCs w:val="20"/>
              </w:rPr>
              <w:t>2016</w:t>
            </w:r>
          </w:p>
        </w:tc>
        <w:tc>
          <w:tcPr>
            <w:tcW w:w="2488" w:type="dxa"/>
          </w:tcPr>
          <w:p w14:paraId="04AB8F53" w14:textId="77777777" w:rsidR="00664EB0" w:rsidRPr="008906CA" w:rsidRDefault="00664EB0" w:rsidP="00E754DF">
            <w:pPr>
              <w:adjustRightInd w:val="0"/>
              <w:snapToGrid w:val="0"/>
              <w:spacing w:beforeLines="0" w:afterLines="0"/>
              <w:rPr>
                <w:rFonts w:ascii="Times New Roman" w:eastAsia="標楷體" w:hAnsi="Times New Roman" w:cs="Times New Roman"/>
                <w:sz w:val="20"/>
                <w:szCs w:val="20"/>
              </w:rPr>
            </w:pPr>
            <w:r w:rsidRPr="008906CA">
              <w:rPr>
                <w:rFonts w:ascii="Times New Roman" w:eastAsia="標楷體" w:hAnsi="Times New Roman" w:cs="Times New Roman"/>
                <w:sz w:val="20"/>
                <w:szCs w:val="20"/>
              </w:rPr>
              <w:t>Nutrition and Health Survey in Taiwan (NAHSIT) report 2013-2016</w:t>
            </w:r>
          </w:p>
        </w:tc>
        <w:tc>
          <w:tcPr>
            <w:tcW w:w="992" w:type="dxa"/>
            <w:noWrap/>
          </w:tcPr>
          <w:p w14:paraId="44A61C2C"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3069</w:t>
            </w:r>
          </w:p>
        </w:tc>
        <w:tc>
          <w:tcPr>
            <w:tcW w:w="851" w:type="dxa"/>
            <w:noWrap/>
          </w:tcPr>
          <w:p w14:paraId="3393A697"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183.58</w:t>
            </w:r>
          </w:p>
          <w:p w14:paraId="426ACA31" w14:textId="77777777" w:rsidR="00664EB0" w:rsidRPr="008906CA" w:rsidRDefault="00664EB0" w:rsidP="00E754DF">
            <w:pPr>
              <w:adjustRightInd w:val="0"/>
              <w:snapToGrid w:val="0"/>
              <w:spacing w:beforeLines="0" w:afterLines="0"/>
              <w:jc w:val="center"/>
              <w:rPr>
                <w:rFonts w:ascii="Times New Roman" w:hAnsi="Times New Roman" w:cs="Times New Roman"/>
                <w:color w:val="000000" w:themeColor="text1"/>
                <w:sz w:val="20"/>
                <w:szCs w:val="20"/>
              </w:rPr>
            </w:pPr>
          </w:p>
        </w:tc>
        <w:tc>
          <w:tcPr>
            <w:tcW w:w="821" w:type="dxa"/>
          </w:tcPr>
          <w:p w14:paraId="15DBA3C1" w14:textId="77777777" w:rsidR="00664EB0" w:rsidRPr="008906CA" w:rsidRDefault="00664EB0" w:rsidP="00E754DF">
            <w:pPr>
              <w:adjustRightInd w:val="0"/>
              <w:snapToGrid w:val="0"/>
              <w:spacing w:beforeLines="0" w:afterLines="0"/>
              <w:jc w:val="center"/>
              <w:rPr>
                <w:rFonts w:ascii="Times New Roman" w:hAnsi="Times New Roman" w:cs="Times New Roman"/>
                <w:color w:val="000000" w:themeColor="text1"/>
                <w:sz w:val="20"/>
                <w:szCs w:val="20"/>
              </w:rPr>
            </w:pPr>
            <w:r w:rsidRPr="008906CA">
              <w:rPr>
                <w:rFonts w:ascii="Times New Roman" w:eastAsia="DengXian" w:hAnsi="Times New Roman" w:cs="Times New Roman"/>
                <w:color w:val="000000" w:themeColor="text1"/>
                <w:sz w:val="20"/>
                <w:szCs w:val="20"/>
              </w:rPr>
              <w:t>155.35</w:t>
            </w:r>
          </w:p>
        </w:tc>
        <w:tc>
          <w:tcPr>
            <w:tcW w:w="993" w:type="dxa"/>
            <w:noWrap/>
          </w:tcPr>
          <w:p w14:paraId="2625D072" w14:textId="77777777" w:rsidR="00664EB0" w:rsidRPr="008906CA" w:rsidRDefault="00664EB0" w:rsidP="00E754DF">
            <w:pPr>
              <w:adjustRightInd w:val="0"/>
              <w:snapToGrid w:val="0"/>
              <w:spacing w:beforeLines="0" w:afterLines="0"/>
              <w:jc w:val="center"/>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NA</w:t>
            </w:r>
          </w:p>
        </w:tc>
        <w:tc>
          <w:tcPr>
            <w:tcW w:w="1283" w:type="dxa"/>
            <w:noWrap/>
          </w:tcPr>
          <w:p w14:paraId="13BA7B23" w14:textId="77777777" w:rsidR="00664EB0" w:rsidRPr="008906CA" w:rsidRDefault="00664EB0"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2993" w:type="dxa"/>
          </w:tcPr>
          <w:p w14:paraId="74129965" w14:textId="77777777" w:rsidR="00664EB0" w:rsidRPr="008906CA" w:rsidRDefault="00664EB0" w:rsidP="00E754DF">
            <w:pPr>
              <w:adjustRightInd w:val="0"/>
              <w:snapToGrid w:val="0"/>
              <w:spacing w:beforeLines="0" w:afterLines="0"/>
              <w:rPr>
                <w:rFonts w:ascii="Times New Roman" w:eastAsia="標楷體" w:hAnsi="Times New Roman" w:cs="Times New Roman"/>
                <w:sz w:val="20"/>
                <w:szCs w:val="20"/>
              </w:rPr>
            </w:pPr>
            <w:r w:rsidRPr="008906CA">
              <w:rPr>
                <w:rFonts w:ascii="Times New Roman" w:eastAsia="標楷體" w:hAnsi="Times New Roman" w:cs="Times New Roman"/>
                <w:sz w:val="20"/>
                <w:szCs w:val="20"/>
              </w:rPr>
              <w:t>Serum Se levels reported in NAHSIT 2013</w:t>
            </w:r>
            <w:r w:rsidRPr="008906CA">
              <w:rPr>
                <w:rFonts w:ascii="Times New Roman" w:eastAsiaTheme="minorEastAsia" w:hAnsi="Times New Roman" w:cs="Times New Roman"/>
                <w:sz w:val="20"/>
                <w:szCs w:val="20"/>
              </w:rPr>
              <w:t>–</w:t>
            </w:r>
            <w:r w:rsidRPr="008906CA">
              <w:rPr>
                <w:rFonts w:ascii="Times New Roman" w:eastAsia="標楷體" w:hAnsi="Times New Roman" w:cs="Times New Roman"/>
                <w:sz w:val="20"/>
                <w:szCs w:val="20"/>
              </w:rPr>
              <w:t>2016 (Page 92) issued by Health Promotion Administration, Ministry of Health and Welfare, Taiwan</w:t>
            </w:r>
          </w:p>
        </w:tc>
        <w:tc>
          <w:tcPr>
            <w:tcW w:w="2538" w:type="dxa"/>
          </w:tcPr>
          <w:p w14:paraId="0893B3ED" w14:textId="77777777" w:rsidR="00664EB0" w:rsidRPr="008906CA" w:rsidRDefault="00664EB0" w:rsidP="00E754DF">
            <w:pPr>
              <w:adjustRightInd w:val="0"/>
              <w:snapToGrid w:val="0"/>
              <w:spacing w:beforeLines="0" w:afterLines="0"/>
              <w:rPr>
                <w:rFonts w:ascii="Times New Roman" w:eastAsia="標楷體" w:hAnsi="Times New Roman" w:cs="Times New Roman"/>
                <w:sz w:val="20"/>
                <w:szCs w:val="20"/>
              </w:rPr>
            </w:pPr>
            <w:r w:rsidRPr="008906CA">
              <w:rPr>
                <w:rFonts w:ascii="Times New Roman" w:eastAsia="標楷體" w:hAnsi="Times New Roman" w:cs="Times New Roman"/>
                <w:sz w:val="20"/>
                <w:szCs w:val="20"/>
              </w:rPr>
              <w:t>Included (only adults aged 19 years and above)</w:t>
            </w:r>
          </w:p>
        </w:tc>
      </w:tr>
    </w:tbl>
    <w:p w14:paraId="43B51868" w14:textId="7E6A6C72" w:rsidR="00054BCB" w:rsidRPr="008906CA" w:rsidRDefault="00F1422B" w:rsidP="000D3C72">
      <w:pPr>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 xml:space="preserve">N = </w:t>
      </w:r>
      <w:r w:rsidRPr="008906CA">
        <w:rPr>
          <w:rFonts w:ascii="Times New Roman" w:hAnsi="Times New Roman" w:cs="Times New Roman"/>
          <w:sz w:val="20"/>
          <w:szCs w:val="20"/>
        </w:rPr>
        <w:t>No. of subjects</w:t>
      </w:r>
      <w:r w:rsidRPr="008906CA">
        <w:rPr>
          <w:rFonts w:ascii="Times New Roman" w:eastAsia="新細明體" w:hAnsi="Times New Roman" w:cs="Times New Roman"/>
          <w:sz w:val="20"/>
          <w:szCs w:val="20"/>
        </w:rPr>
        <w:t xml:space="preserve">; SD = </w:t>
      </w:r>
      <w:r w:rsidR="00873D53" w:rsidRPr="008906CA">
        <w:rPr>
          <w:rFonts w:ascii="Times New Roman" w:eastAsia="新細明體" w:hAnsi="Times New Roman" w:cs="Times New Roman"/>
          <w:sz w:val="20"/>
          <w:szCs w:val="20"/>
        </w:rPr>
        <w:t>S</w:t>
      </w:r>
      <w:r w:rsidRPr="008906CA">
        <w:rPr>
          <w:rFonts w:ascii="Times New Roman" w:eastAsia="新細明體" w:hAnsi="Times New Roman" w:cs="Times New Roman"/>
          <w:sz w:val="20"/>
          <w:szCs w:val="20"/>
        </w:rPr>
        <w:t>tandard deviation;</w:t>
      </w:r>
      <w:r w:rsidRPr="008906CA">
        <w:rPr>
          <w:rFonts w:ascii="Times New Roman" w:hAnsi="Times New Roman" w:cs="Times New Roman"/>
          <w:sz w:val="20"/>
          <w:szCs w:val="20"/>
        </w:rPr>
        <w:t xml:space="preserve"> </w:t>
      </w:r>
      <w:r w:rsidR="000D3C72" w:rsidRPr="008906CA">
        <w:rPr>
          <w:rFonts w:ascii="Times New Roman" w:hAnsi="Times New Roman" w:cs="Times New Roman"/>
          <w:sz w:val="20"/>
          <w:szCs w:val="20"/>
        </w:rPr>
        <w:t>NA: Not reported in the reference</w:t>
      </w:r>
      <w:r w:rsidRPr="008906CA">
        <w:rPr>
          <w:rFonts w:ascii="Times New Roman" w:hAnsi="Times New Roman" w:cs="Times New Roman"/>
          <w:sz w:val="20"/>
          <w:szCs w:val="20"/>
        </w:rPr>
        <w:t xml:space="preserve">; </w:t>
      </w:r>
      <w:r w:rsidR="00873D53" w:rsidRPr="008906CA">
        <w:rPr>
          <w:rFonts w:ascii="Times New Roman" w:hAnsi="Times New Roman" w:cs="Times New Roman"/>
          <w:sz w:val="20"/>
          <w:szCs w:val="20"/>
        </w:rPr>
        <w:t xml:space="preserve">AAS = </w:t>
      </w:r>
      <w:r w:rsidR="00054BCB" w:rsidRPr="008906CA">
        <w:rPr>
          <w:rFonts w:ascii="Times New Roman" w:eastAsiaTheme="minorEastAsia" w:hAnsi="Times New Roman" w:cs="Times New Roman"/>
          <w:color w:val="000000" w:themeColor="text1"/>
          <w:sz w:val="20"/>
          <w:szCs w:val="20"/>
        </w:rPr>
        <w:t>Atomic absorption spectrometry</w:t>
      </w:r>
      <w:r w:rsidR="00873D53" w:rsidRPr="008906CA">
        <w:rPr>
          <w:rFonts w:ascii="Times New Roman" w:eastAsiaTheme="minorEastAsia" w:hAnsi="Times New Roman" w:cs="Times New Roman"/>
          <w:color w:val="000000" w:themeColor="text1"/>
          <w:sz w:val="20"/>
          <w:szCs w:val="20"/>
        </w:rPr>
        <w:t xml:space="preserve">; </w:t>
      </w:r>
      <w:r w:rsidR="00A70A43" w:rsidRPr="008906CA">
        <w:rPr>
          <w:rFonts w:ascii="Times New Roman" w:eastAsiaTheme="minorEastAsia" w:hAnsi="Times New Roman" w:cs="Times New Roman"/>
          <w:color w:val="000000" w:themeColor="text1"/>
          <w:sz w:val="20"/>
          <w:szCs w:val="20"/>
        </w:rPr>
        <w:t>ICP-MS</w:t>
      </w:r>
      <w:r w:rsidR="00873D53" w:rsidRPr="008906CA">
        <w:rPr>
          <w:rFonts w:ascii="Times New Roman" w:eastAsiaTheme="minorEastAsia" w:hAnsi="Times New Roman" w:cs="Times New Roman"/>
          <w:color w:val="000000" w:themeColor="text1"/>
          <w:sz w:val="20"/>
          <w:szCs w:val="20"/>
        </w:rPr>
        <w:t xml:space="preserve"> =</w:t>
      </w:r>
      <w:r w:rsidR="00A70A43" w:rsidRPr="008906CA">
        <w:rPr>
          <w:rFonts w:ascii="Times New Roman" w:eastAsiaTheme="minorEastAsia" w:hAnsi="Times New Roman" w:cs="Times New Roman"/>
          <w:color w:val="000000" w:themeColor="text1"/>
          <w:sz w:val="20"/>
          <w:szCs w:val="20"/>
        </w:rPr>
        <w:t xml:space="preserve"> </w:t>
      </w:r>
      <w:r w:rsidR="002238D4" w:rsidRPr="008906CA">
        <w:rPr>
          <w:rFonts w:ascii="Times New Roman" w:eastAsiaTheme="minorEastAsia" w:hAnsi="Times New Roman" w:cs="Times New Roman"/>
          <w:color w:val="000000" w:themeColor="text1"/>
          <w:sz w:val="20"/>
          <w:szCs w:val="20"/>
        </w:rPr>
        <w:t>Inductively coupled plasma mass spectrometry</w:t>
      </w:r>
    </w:p>
    <w:p w14:paraId="0379A75E" w14:textId="77777777" w:rsidR="00445CFD" w:rsidRDefault="00445CFD" w:rsidP="00664EB0">
      <w:pPr>
        <w:rPr>
          <w:rFonts w:ascii="Times New Roman" w:eastAsiaTheme="minorEastAsia" w:hAnsi="Times New Roman" w:cs="Times New Roman"/>
          <w:b/>
          <w:bCs/>
        </w:rPr>
      </w:pPr>
    </w:p>
    <w:p w14:paraId="3104C2CD" w14:textId="77777777" w:rsidR="00CE0B11" w:rsidRDefault="00CE0B11">
      <w:pPr>
        <w:rPr>
          <w:rFonts w:ascii="Times New Roman" w:eastAsiaTheme="minorEastAsia" w:hAnsi="Times New Roman" w:cs="Times New Roman"/>
          <w:b/>
          <w:bCs/>
        </w:rPr>
      </w:pPr>
      <w:r>
        <w:rPr>
          <w:rFonts w:ascii="Times New Roman" w:eastAsiaTheme="minorEastAsia" w:hAnsi="Times New Roman" w:cs="Times New Roman"/>
          <w:b/>
          <w:bCs/>
        </w:rPr>
        <w:br w:type="page"/>
      </w:r>
    </w:p>
    <w:p w14:paraId="7BE81493" w14:textId="5768DE4C" w:rsidR="00664EB0" w:rsidRPr="008906CA" w:rsidRDefault="00664EB0" w:rsidP="00E754DF">
      <w:pPr>
        <w:spacing w:afterLines="50" w:after="120"/>
        <w:rPr>
          <w:rFonts w:ascii="Times New Roman" w:hAnsi="Times New Roman" w:cs="Times New Roman"/>
        </w:rPr>
      </w:pPr>
      <w:r w:rsidRPr="008906CA">
        <w:rPr>
          <w:rFonts w:ascii="Times New Roman" w:eastAsiaTheme="minorEastAsia" w:hAnsi="Times New Roman" w:cs="Times New Roman"/>
          <w:b/>
          <w:bCs/>
        </w:rPr>
        <w:lastRenderedPageBreak/>
        <w:t>Table S2</w:t>
      </w:r>
      <w:r w:rsidRPr="008906CA">
        <w:rPr>
          <w:rFonts w:ascii="Times New Roman" w:hAnsi="Times New Roman" w:cs="Times New Roman"/>
        </w:rPr>
        <w:t xml:space="preserve"> Summary of references reporting plasma Se </w:t>
      </w:r>
      <w:r w:rsidR="00CD1B1E" w:rsidRPr="00A10430">
        <w:rPr>
          <w:rFonts w:ascii="Times New Roman" w:eastAsia="新細明體" w:hAnsi="Times New Roman" w:cs="Times New Roman"/>
        </w:rPr>
        <w:t xml:space="preserve">concentrations </w:t>
      </w:r>
      <w:r w:rsidRPr="008906CA">
        <w:rPr>
          <w:rFonts w:ascii="Times New Roman" w:hAnsi="Times New Roman" w:cs="Times New Roman"/>
        </w:rPr>
        <w:t>in Taiwanese adults</w:t>
      </w:r>
    </w:p>
    <w:tbl>
      <w:tblPr>
        <w:tblStyle w:val="a5"/>
        <w:tblW w:w="13887" w:type="dxa"/>
        <w:tblLook w:val="04A0" w:firstRow="1" w:lastRow="0" w:firstColumn="1" w:lastColumn="0" w:noHBand="0" w:noVBand="1"/>
      </w:tblPr>
      <w:tblGrid>
        <w:gridCol w:w="1027"/>
        <w:gridCol w:w="2167"/>
        <w:gridCol w:w="992"/>
        <w:gridCol w:w="851"/>
        <w:gridCol w:w="794"/>
        <w:gridCol w:w="993"/>
        <w:gridCol w:w="1283"/>
        <w:gridCol w:w="3654"/>
        <w:gridCol w:w="2126"/>
      </w:tblGrid>
      <w:tr w:rsidR="00263E2C" w:rsidRPr="008906CA" w14:paraId="6A47902F" w14:textId="77777777" w:rsidTr="008B7B7A">
        <w:trPr>
          <w:trHeight w:val="299"/>
        </w:trPr>
        <w:tc>
          <w:tcPr>
            <w:tcW w:w="1027" w:type="dxa"/>
            <w:noWrap/>
            <w:vAlign w:val="center"/>
          </w:tcPr>
          <w:p w14:paraId="4947584C" w14:textId="548773A2"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 xml:space="preserve">Reference </w:t>
            </w:r>
          </w:p>
        </w:tc>
        <w:tc>
          <w:tcPr>
            <w:tcW w:w="2167" w:type="dxa"/>
            <w:vAlign w:val="center"/>
          </w:tcPr>
          <w:p w14:paraId="51133CCA" w14:textId="6B6BE07F"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Title</w:t>
            </w:r>
          </w:p>
        </w:tc>
        <w:tc>
          <w:tcPr>
            <w:tcW w:w="992" w:type="dxa"/>
            <w:noWrap/>
            <w:vAlign w:val="center"/>
          </w:tcPr>
          <w:p w14:paraId="6A1001C6" w14:textId="24904F64"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eastAsiaTheme="minorEastAsia" w:hAnsi="Times New Roman" w:cs="Times New Roman"/>
                <w:sz w:val="20"/>
                <w:szCs w:val="20"/>
              </w:rPr>
              <w:t>N</w:t>
            </w:r>
          </w:p>
        </w:tc>
        <w:tc>
          <w:tcPr>
            <w:tcW w:w="851" w:type="dxa"/>
            <w:noWrap/>
            <w:vAlign w:val="center"/>
          </w:tcPr>
          <w:p w14:paraId="0320F475" w14:textId="4F426E7E"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Mean (μg/L)</w:t>
            </w:r>
          </w:p>
        </w:tc>
        <w:tc>
          <w:tcPr>
            <w:tcW w:w="794" w:type="dxa"/>
            <w:vAlign w:val="center"/>
          </w:tcPr>
          <w:p w14:paraId="224ED2B8" w14:textId="4295B655"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SD (μg/L)</w:t>
            </w:r>
          </w:p>
        </w:tc>
        <w:tc>
          <w:tcPr>
            <w:tcW w:w="993" w:type="dxa"/>
            <w:noWrap/>
            <w:vAlign w:val="center"/>
          </w:tcPr>
          <w:p w14:paraId="44F6A8C0" w14:textId="0480BD90"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Range (μg/L)</w:t>
            </w:r>
          </w:p>
        </w:tc>
        <w:tc>
          <w:tcPr>
            <w:tcW w:w="1283" w:type="dxa"/>
            <w:noWrap/>
            <w:vAlign w:val="center"/>
          </w:tcPr>
          <w:p w14:paraId="45B4984E" w14:textId="59F4F941"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Bioanalytical method</w:t>
            </w:r>
          </w:p>
        </w:tc>
        <w:tc>
          <w:tcPr>
            <w:tcW w:w="3654" w:type="dxa"/>
            <w:vAlign w:val="center"/>
          </w:tcPr>
          <w:p w14:paraId="3C43B7E9" w14:textId="260B1871"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Remarks</w:t>
            </w:r>
          </w:p>
        </w:tc>
        <w:tc>
          <w:tcPr>
            <w:tcW w:w="2126" w:type="dxa"/>
            <w:vAlign w:val="center"/>
          </w:tcPr>
          <w:p w14:paraId="0CF33BBE" w14:textId="12B57B20" w:rsidR="008906CA" w:rsidRPr="008906CA" w:rsidRDefault="008906CA" w:rsidP="00E754DF">
            <w:pPr>
              <w:adjustRightInd w:val="0"/>
              <w:snapToGrid w:val="0"/>
              <w:spacing w:beforeLines="0" w:afterLines="0"/>
              <w:rPr>
                <w:rFonts w:ascii="Times New Roman" w:eastAsiaTheme="minorEastAsia" w:hAnsi="Times New Roman" w:cs="Times New Roman"/>
                <w:color w:val="000000" w:themeColor="text1"/>
                <w:sz w:val="20"/>
                <w:szCs w:val="18"/>
              </w:rPr>
            </w:pPr>
            <w:r w:rsidRPr="008906CA">
              <w:rPr>
                <w:rFonts w:ascii="Times New Roman" w:eastAsiaTheme="minorEastAsia" w:hAnsi="Times New Roman" w:cs="Times New Roman"/>
                <w:sz w:val="20"/>
                <w:szCs w:val="20"/>
              </w:rPr>
              <w:t>Reasons for exclusion</w:t>
            </w:r>
          </w:p>
        </w:tc>
      </w:tr>
      <w:tr w:rsidR="00263E2C" w:rsidRPr="008906CA" w14:paraId="774F4E50" w14:textId="77777777" w:rsidTr="00664EB0">
        <w:trPr>
          <w:trHeight w:val="299"/>
        </w:trPr>
        <w:tc>
          <w:tcPr>
            <w:tcW w:w="1027" w:type="dxa"/>
            <w:noWrap/>
          </w:tcPr>
          <w:p w14:paraId="116A3521"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Chang et al. 1998</w:t>
            </w:r>
          </w:p>
        </w:tc>
        <w:tc>
          <w:tcPr>
            <w:tcW w:w="2167" w:type="dxa"/>
          </w:tcPr>
          <w:p w14:paraId="3284F1DB"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Plasma levels of antioxidant vitamins, selenium, total sulfhydryl groups and oxidative products in ischemic-stroke patients as compared to matched controls in Taiwan.</w:t>
            </w:r>
          </w:p>
        </w:tc>
        <w:tc>
          <w:tcPr>
            <w:tcW w:w="992" w:type="dxa"/>
            <w:noWrap/>
          </w:tcPr>
          <w:p w14:paraId="313F213F"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21</w:t>
            </w:r>
          </w:p>
        </w:tc>
        <w:tc>
          <w:tcPr>
            <w:tcW w:w="851" w:type="dxa"/>
            <w:noWrap/>
          </w:tcPr>
          <w:p w14:paraId="5DEB3AB0"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229</w:t>
            </w:r>
          </w:p>
        </w:tc>
        <w:tc>
          <w:tcPr>
            <w:tcW w:w="794" w:type="dxa"/>
          </w:tcPr>
          <w:p w14:paraId="243752BF"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55.3</w:t>
            </w:r>
          </w:p>
        </w:tc>
        <w:tc>
          <w:tcPr>
            <w:tcW w:w="993" w:type="dxa"/>
            <w:noWrap/>
          </w:tcPr>
          <w:p w14:paraId="796E36EF"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143E6EF4"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Fluorometric assay with 2,3-</w:t>
            </w:r>
          </w:p>
          <w:p w14:paraId="3A33517F"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Diamino-</w:t>
            </w:r>
          </w:p>
          <w:p w14:paraId="5DCA3A38"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naphthalene (DAN)</w:t>
            </w:r>
          </w:p>
        </w:tc>
        <w:tc>
          <w:tcPr>
            <w:tcW w:w="3654" w:type="dxa"/>
          </w:tcPr>
          <w:p w14:paraId="32286251" w14:textId="5070D006"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Control</w:t>
            </w:r>
            <w:r w:rsidR="006B2345">
              <w:rPr>
                <w:rFonts w:ascii="Times New Roman" w:hAnsi="Times New Roman" w:cs="Times New Roman"/>
                <w:sz w:val="20"/>
                <w:szCs w:val="20"/>
              </w:rPr>
              <w:t xml:space="preserve"> group</w:t>
            </w:r>
            <w:r w:rsidRPr="008906CA">
              <w:rPr>
                <w:rFonts w:ascii="Times New Roman" w:hAnsi="Times New Roman" w:cs="Times New Roman"/>
                <w:sz w:val="20"/>
                <w:szCs w:val="20"/>
              </w:rPr>
              <w:t xml:space="preserve"> (aged 55-70 years without diabetes mellitus and other neurologic disorder) to compare the plasma levels of vitamin A, E, carotenoids and thiobarbituric acid-reactive substances (TBARS), protein carbonyls, total SH groups and Se with acute ischemic stroke patients in Chi-Mei Foundation Hospital in July 1995–March 1996</w:t>
            </w:r>
          </w:p>
        </w:tc>
        <w:tc>
          <w:tcPr>
            <w:tcW w:w="2126" w:type="dxa"/>
          </w:tcPr>
          <w:p w14:paraId="52508D73"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eastAsiaTheme="minorEastAsia" w:hAnsi="Times New Roman" w:cs="Times New Roman"/>
                <w:color w:val="000000" w:themeColor="text1"/>
                <w:sz w:val="20"/>
                <w:szCs w:val="18"/>
              </w:rPr>
              <w:t>Small sample size (</w:t>
            </w:r>
            <w:r w:rsidRPr="008906CA">
              <w:rPr>
                <w:rFonts w:ascii="Times New Roman" w:eastAsiaTheme="minorEastAsia" w:hAnsi="Times New Roman" w:cs="Times New Roman"/>
                <w:color w:val="000000" w:themeColor="text1"/>
                <w:sz w:val="20"/>
                <w:szCs w:val="18"/>
              </w:rPr>
              <w:sym w:font="Symbol" w:char="F0A3"/>
            </w:r>
            <w:r w:rsidRPr="008906CA">
              <w:rPr>
                <w:rFonts w:ascii="Times New Roman" w:eastAsiaTheme="minorEastAsia" w:hAnsi="Times New Roman" w:cs="Times New Roman"/>
                <w:color w:val="000000" w:themeColor="text1"/>
                <w:sz w:val="20"/>
                <w:szCs w:val="18"/>
              </w:rPr>
              <w:t xml:space="preserve"> </w:t>
            </w:r>
            <w:r w:rsidRPr="008906CA">
              <w:rPr>
                <w:rFonts w:ascii="Times New Roman" w:hAnsi="Times New Roman" w:cs="Times New Roman"/>
                <w:sz w:val="20"/>
                <w:szCs w:val="18"/>
              </w:rPr>
              <w:t xml:space="preserve">100); </w:t>
            </w:r>
            <w:r w:rsidRPr="008906CA">
              <w:rPr>
                <w:rFonts w:ascii="Times New Roman" w:eastAsiaTheme="minorEastAsia" w:hAnsi="Times New Roman" w:cs="Times New Roman"/>
                <w:sz w:val="20"/>
                <w:szCs w:val="20"/>
              </w:rPr>
              <w:t>Se levels not assessed by ICP-MS</w:t>
            </w:r>
          </w:p>
        </w:tc>
      </w:tr>
      <w:tr w:rsidR="00263E2C" w:rsidRPr="008906CA" w14:paraId="05F7E7BA" w14:textId="77777777" w:rsidTr="00664EB0">
        <w:trPr>
          <w:trHeight w:val="299"/>
        </w:trPr>
        <w:tc>
          <w:tcPr>
            <w:tcW w:w="1027" w:type="dxa"/>
            <w:noWrap/>
          </w:tcPr>
          <w:p w14:paraId="387C5597"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Yu et al. 1999</w:t>
            </w:r>
          </w:p>
        </w:tc>
        <w:tc>
          <w:tcPr>
            <w:tcW w:w="2167" w:type="dxa"/>
          </w:tcPr>
          <w:p w14:paraId="14EC4585"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Plasma selenium levels and risk of hepatocellular carcinoma among men with chronic hepatitis virus infection.</w:t>
            </w:r>
          </w:p>
        </w:tc>
        <w:tc>
          <w:tcPr>
            <w:tcW w:w="992" w:type="dxa"/>
            <w:noWrap/>
          </w:tcPr>
          <w:p w14:paraId="4733B39E"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138</w:t>
            </w:r>
          </w:p>
        </w:tc>
        <w:tc>
          <w:tcPr>
            <w:tcW w:w="851" w:type="dxa"/>
            <w:noWrap/>
          </w:tcPr>
          <w:p w14:paraId="257E85FF"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 xml:space="preserve">150.2 </w:t>
            </w:r>
          </w:p>
        </w:tc>
        <w:tc>
          <w:tcPr>
            <w:tcW w:w="794" w:type="dxa"/>
          </w:tcPr>
          <w:p w14:paraId="01E75A10"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35.2</w:t>
            </w:r>
          </w:p>
        </w:tc>
        <w:tc>
          <w:tcPr>
            <w:tcW w:w="993" w:type="dxa"/>
            <w:noWrap/>
          </w:tcPr>
          <w:p w14:paraId="2376C3CC"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86.5</w:t>
            </w:r>
            <w:r w:rsidRPr="008906CA">
              <w:rPr>
                <w:rFonts w:ascii="Times New Roman" w:eastAsiaTheme="minorEastAsia" w:hAnsi="Times New Roman" w:cs="Times New Roman"/>
                <w:sz w:val="20"/>
                <w:szCs w:val="20"/>
              </w:rPr>
              <w:t>–</w:t>
            </w:r>
            <w:r w:rsidRPr="008906CA">
              <w:rPr>
                <w:rFonts w:ascii="Times New Roman" w:hAnsi="Times New Roman" w:cs="Times New Roman"/>
                <w:sz w:val="20"/>
                <w:szCs w:val="20"/>
              </w:rPr>
              <w:t xml:space="preserve"> 396.5</w:t>
            </w:r>
          </w:p>
        </w:tc>
        <w:tc>
          <w:tcPr>
            <w:tcW w:w="1283" w:type="dxa"/>
            <w:noWrap/>
          </w:tcPr>
          <w:p w14:paraId="1E42347E"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AAS</w:t>
            </w:r>
          </w:p>
        </w:tc>
        <w:tc>
          <w:tcPr>
            <w:tcW w:w="3654" w:type="dxa"/>
          </w:tcPr>
          <w:p w14:paraId="6CE485E9" w14:textId="18C00F05" w:rsidR="008906CA" w:rsidRPr="008906CA" w:rsidRDefault="008906CA"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hAnsi="Times New Roman" w:cs="Times New Roman"/>
                <w:sz w:val="20"/>
                <w:szCs w:val="20"/>
              </w:rPr>
              <w:t>Control</w:t>
            </w:r>
            <w:r w:rsidR="006B2345">
              <w:rPr>
                <w:rFonts w:ascii="Times New Roman" w:hAnsi="Times New Roman" w:cs="Times New Roman"/>
                <w:sz w:val="20"/>
                <w:szCs w:val="20"/>
              </w:rPr>
              <w:t xml:space="preserve"> group</w:t>
            </w:r>
            <w:r w:rsidRPr="008906CA">
              <w:rPr>
                <w:rFonts w:ascii="Times New Roman" w:hAnsi="Times New Roman" w:cs="Times New Roman"/>
                <w:sz w:val="20"/>
                <w:szCs w:val="20"/>
              </w:rPr>
              <w:t xml:space="preserve"> (HBsAg-negative, 30-65 y) from Government Employee Central Clinics and the Liver Unit of Chang-Gung Memorial Hospital in Taipei (August 1988–June 1992) to assess Se status in hepato-carcinogenesis among men with chronic hepatitis B and/or C virus infections</w:t>
            </w:r>
          </w:p>
        </w:tc>
        <w:tc>
          <w:tcPr>
            <w:tcW w:w="2126" w:type="dxa"/>
          </w:tcPr>
          <w:p w14:paraId="15F22812"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eastAsiaTheme="minorEastAsia" w:hAnsi="Times New Roman" w:cs="Times New Roman"/>
                <w:sz w:val="20"/>
                <w:szCs w:val="20"/>
              </w:rPr>
              <w:t>Se levels not assessed by ICP-MS</w:t>
            </w:r>
          </w:p>
        </w:tc>
      </w:tr>
      <w:tr w:rsidR="00263E2C" w:rsidRPr="008906CA" w14:paraId="46C76546" w14:textId="77777777" w:rsidTr="00664EB0">
        <w:trPr>
          <w:trHeight w:val="299"/>
        </w:trPr>
        <w:tc>
          <w:tcPr>
            <w:tcW w:w="1027" w:type="dxa"/>
            <w:noWrap/>
          </w:tcPr>
          <w:p w14:paraId="12816BFE" w14:textId="77777777" w:rsidR="008906CA" w:rsidRPr="008906CA" w:rsidRDefault="008906CA"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Guo et al. 2013</w:t>
            </w:r>
          </w:p>
        </w:tc>
        <w:tc>
          <w:tcPr>
            <w:tcW w:w="2167" w:type="dxa"/>
          </w:tcPr>
          <w:p w14:paraId="0A18A334"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Zinc supplementation alters plasma aluminum and selenium status of patients undergoing dialysis: a pilot study</w:t>
            </w:r>
          </w:p>
        </w:tc>
        <w:tc>
          <w:tcPr>
            <w:tcW w:w="992" w:type="dxa"/>
            <w:noWrap/>
          </w:tcPr>
          <w:p w14:paraId="6E39B0A5" w14:textId="77777777" w:rsidR="008906CA" w:rsidRPr="008906CA" w:rsidRDefault="008906CA" w:rsidP="00E754DF">
            <w:pPr>
              <w:adjustRightInd w:val="0"/>
              <w:snapToGrid w:val="0"/>
              <w:spacing w:beforeLines="0" w:afterLines="0"/>
              <w:jc w:val="center"/>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25</w:t>
            </w:r>
          </w:p>
        </w:tc>
        <w:tc>
          <w:tcPr>
            <w:tcW w:w="851" w:type="dxa"/>
            <w:noWrap/>
          </w:tcPr>
          <w:p w14:paraId="363A90F8" w14:textId="77777777" w:rsidR="008906CA" w:rsidRPr="008906CA" w:rsidRDefault="008906CA" w:rsidP="00E754DF">
            <w:pPr>
              <w:adjustRightInd w:val="0"/>
              <w:snapToGrid w:val="0"/>
              <w:spacing w:beforeLines="0" w:afterLines="0"/>
              <w:jc w:val="center"/>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106.4</w:t>
            </w:r>
          </w:p>
        </w:tc>
        <w:tc>
          <w:tcPr>
            <w:tcW w:w="794" w:type="dxa"/>
          </w:tcPr>
          <w:p w14:paraId="7FD84AA3" w14:textId="77777777" w:rsidR="008906CA" w:rsidRPr="008906CA" w:rsidRDefault="008906CA" w:rsidP="00E754DF">
            <w:pPr>
              <w:adjustRightInd w:val="0"/>
              <w:snapToGrid w:val="0"/>
              <w:spacing w:beforeLines="0" w:afterLines="0"/>
              <w:jc w:val="center"/>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12.7</w:t>
            </w:r>
          </w:p>
        </w:tc>
        <w:tc>
          <w:tcPr>
            <w:tcW w:w="993" w:type="dxa"/>
            <w:noWrap/>
          </w:tcPr>
          <w:p w14:paraId="27B45989" w14:textId="77777777" w:rsidR="008906CA" w:rsidRPr="008906CA" w:rsidRDefault="008906CA" w:rsidP="00E754DF">
            <w:pPr>
              <w:adjustRightInd w:val="0"/>
              <w:snapToGrid w:val="0"/>
              <w:spacing w:beforeLines="0" w:afterLines="0"/>
              <w:jc w:val="center"/>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NA</w:t>
            </w:r>
          </w:p>
        </w:tc>
        <w:tc>
          <w:tcPr>
            <w:tcW w:w="1283" w:type="dxa"/>
            <w:noWrap/>
          </w:tcPr>
          <w:p w14:paraId="4CDB9C3C" w14:textId="77777777" w:rsidR="008906CA" w:rsidRPr="008906CA" w:rsidRDefault="008906CA" w:rsidP="00E754DF">
            <w:pPr>
              <w:adjustRightInd w:val="0"/>
              <w:snapToGrid w:val="0"/>
              <w:spacing w:beforeLines="0" w:afterLines="0"/>
              <w:jc w:val="center"/>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AAS</w:t>
            </w:r>
          </w:p>
        </w:tc>
        <w:tc>
          <w:tcPr>
            <w:tcW w:w="3654" w:type="dxa"/>
          </w:tcPr>
          <w:p w14:paraId="20057DDE" w14:textId="0AC04C57" w:rsidR="008906CA" w:rsidRPr="008906CA" w:rsidRDefault="008906CA"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 xml:space="preserve">Control </w:t>
            </w:r>
            <w:r w:rsidR="006B2345">
              <w:rPr>
                <w:rFonts w:ascii="Times New Roman" w:eastAsiaTheme="minorEastAsia" w:hAnsi="Times New Roman" w:cs="Times New Roman"/>
                <w:sz w:val="20"/>
                <w:szCs w:val="20"/>
              </w:rPr>
              <w:t>group</w:t>
            </w:r>
            <w:r w:rsidRPr="008906CA">
              <w:rPr>
                <w:rFonts w:ascii="Times New Roman" w:eastAsiaTheme="minorEastAsia" w:hAnsi="Times New Roman" w:cs="Times New Roman"/>
                <w:sz w:val="20"/>
                <w:szCs w:val="20"/>
              </w:rPr>
              <w:t xml:space="preserve"> (53</w:t>
            </w:r>
            <w:r w:rsidRPr="008906CA">
              <w:rPr>
                <w:rFonts w:ascii="Times New Roman" w:hAnsi="Times New Roman" w:cs="Times New Roman"/>
                <w:sz w:val="20"/>
                <w:szCs w:val="20"/>
              </w:rPr>
              <w:t xml:space="preserve"> </w:t>
            </w:r>
            <w:r w:rsidRPr="008906CA">
              <w:rPr>
                <w:rFonts w:ascii="Times New Roman" w:hAnsi="Times New Roman" w:cs="Times New Roman"/>
                <w:sz w:val="20"/>
                <w:szCs w:val="20"/>
              </w:rPr>
              <w:sym w:font="Symbol" w:char="F0B1"/>
            </w:r>
            <w:r w:rsidRPr="008906CA">
              <w:rPr>
                <w:rFonts w:ascii="Times New Roman" w:eastAsiaTheme="minorEastAsia" w:hAnsi="Times New Roman" w:cs="Times New Roman"/>
                <w:sz w:val="20"/>
                <w:szCs w:val="20"/>
              </w:rPr>
              <w:t xml:space="preserve"> 7 y) to examine the effects of Zn supplementation on plasma Al and Se status and oxidative stress in plasma and peripheral blood mononuclear cells in Zn-deficient, renal dialysis patients in Guang Tien General Hospital from January to December 2007</w:t>
            </w:r>
          </w:p>
        </w:tc>
        <w:tc>
          <w:tcPr>
            <w:tcW w:w="2126" w:type="dxa"/>
          </w:tcPr>
          <w:p w14:paraId="0DBA7FD9" w14:textId="77777777" w:rsidR="008906CA" w:rsidRPr="008906CA" w:rsidRDefault="008906CA"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eastAsiaTheme="minorEastAsia" w:hAnsi="Times New Roman" w:cs="Times New Roman"/>
                <w:color w:val="000000" w:themeColor="text1"/>
                <w:sz w:val="20"/>
                <w:szCs w:val="18"/>
              </w:rPr>
              <w:t>Small sample size (</w:t>
            </w:r>
            <w:r w:rsidRPr="008906CA">
              <w:rPr>
                <w:rFonts w:ascii="Times New Roman" w:eastAsiaTheme="minorEastAsia" w:hAnsi="Times New Roman" w:cs="Times New Roman"/>
                <w:color w:val="000000" w:themeColor="text1"/>
                <w:sz w:val="20"/>
                <w:szCs w:val="18"/>
              </w:rPr>
              <w:sym w:font="Symbol" w:char="F0A3"/>
            </w:r>
            <w:r w:rsidRPr="008906CA">
              <w:rPr>
                <w:rFonts w:ascii="Times New Roman" w:eastAsiaTheme="minorEastAsia" w:hAnsi="Times New Roman" w:cs="Times New Roman"/>
                <w:color w:val="000000" w:themeColor="text1"/>
                <w:sz w:val="20"/>
                <w:szCs w:val="18"/>
              </w:rPr>
              <w:t xml:space="preserve"> </w:t>
            </w:r>
            <w:r w:rsidRPr="008906CA">
              <w:rPr>
                <w:rFonts w:ascii="Times New Roman" w:hAnsi="Times New Roman" w:cs="Times New Roman"/>
                <w:sz w:val="20"/>
                <w:szCs w:val="18"/>
              </w:rPr>
              <w:t xml:space="preserve">100); </w:t>
            </w:r>
            <w:r w:rsidRPr="008906CA">
              <w:rPr>
                <w:rFonts w:ascii="Times New Roman" w:eastAsiaTheme="minorEastAsia" w:hAnsi="Times New Roman" w:cs="Times New Roman"/>
                <w:sz w:val="20"/>
                <w:szCs w:val="20"/>
              </w:rPr>
              <w:t>Se levels not assessed by ICP-MS</w:t>
            </w:r>
          </w:p>
        </w:tc>
      </w:tr>
      <w:tr w:rsidR="00263E2C" w:rsidRPr="008906CA" w14:paraId="2DA8F90F" w14:textId="77777777" w:rsidTr="00664EB0">
        <w:trPr>
          <w:trHeight w:val="299"/>
        </w:trPr>
        <w:tc>
          <w:tcPr>
            <w:tcW w:w="1027" w:type="dxa"/>
            <w:noWrap/>
          </w:tcPr>
          <w:p w14:paraId="6A85062B" w14:textId="77777777" w:rsidR="008906CA" w:rsidRPr="008906CA" w:rsidRDefault="008906CA" w:rsidP="00E754DF">
            <w:pPr>
              <w:adjustRightInd w:val="0"/>
              <w:snapToGrid w:val="0"/>
              <w:spacing w:beforeLines="0" w:afterLines="0"/>
              <w:rPr>
                <w:rFonts w:ascii="Times New Roman" w:hAnsi="Times New Roman" w:cs="Times New Roman"/>
                <w:sz w:val="20"/>
                <w:szCs w:val="20"/>
                <w:highlight w:val="yellow"/>
              </w:rPr>
            </w:pPr>
            <w:r w:rsidRPr="001C1358">
              <w:rPr>
                <w:rFonts w:ascii="Times New Roman" w:eastAsia="標楷體" w:hAnsi="Times New Roman" w:cs="Times New Roman"/>
                <w:color w:val="000000" w:themeColor="text1"/>
                <w:sz w:val="20"/>
                <w:szCs w:val="20"/>
              </w:rPr>
              <w:t xml:space="preserve">Hsueh </w:t>
            </w:r>
            <w:r w:rsidRPr="001C1358">
              <w:rPr>
                <w:rFonts w:ascii="Times New Roman" w:hAnsi="Times New Roman" w:cs="Times New Roman"/>
                <w:sz w:val="20"/>
                <w:szCs w:val="20"/>
              </w:rPr>
              <w:t xml:space="preserve">et al. </w:t>
            </w:r>
            <w:r w:rsidRPr="001C1358">
              <w:rPr>
                <w:rFonts w:ascii="Times New Roman" w:eastAsia="標楷體" w:hAnsi="Times New Roman" w:cs="Times New Roman"/>
                <w:color w:val="000000" w:themeColor="text1"/>
                <w:sz w:val="20"/>
                <w:szCs w:val="20"/>
              </w:rPr>
              <w:t>2017</w:t>
            </w:r>
          </w:p>
        </w:tc>
        <w:tc>
          <w:tcPr>
            <w:tcW w:w="2167" w:type="dxa"/>
          </w:tcPr>
          <w:p w14:paraId="0C4A945D"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eastAsia="標楷體" w:hAnsi="Times New Roman" w:cs="Times New Roman"/>
                <w:sz w:val="20"/>
                <w:szCs w:val="20"/>
              </w:rPr>
              <w:t>Levels of plasma selenium and urinary total arsenic interact to affect the risk for prostate cancer</w:t>
            </w:r>
          </w:p>
        </w:tc>
        <w:tc>
          <w:tcPr>
            <w:tcW w:w="992" w:type="dxa"/>
            <w:noWrap/>
          </w:tcPr>
          <w:p w14:paraId="242A671D"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eastAsiaTheme="minorEastAsia" w:hAnsi="Times New Roman" w:cs="Times New Roman"/>
                <w:sz w:val="20"/>
                <w:szCs w:val="20"/>
              </w:rPr>
              <w:t>318</w:t>
            </w:r>
          </w:p>
        </w:tc>
        <w:tc>
          <w:tcPr>
            <w:tcW w:w="851" w:type="dxa"/>
            <w:noWrap/>
          </w:tcPr>
          <w:p w14:paraId="09C28746" w14:textId="1941A900"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1C1358">
              <w:rPr>
                <w:rFonts w:ascii="Times New Roman" w:eastAsiaTheme="minorEastAsia" w:hAnsi="Times New Roman" w:cs="Times New Roman"/>
                <w:sz w:val="20"/>
                <w:szCs w:val="20"/>
              </w:rPr>
              <w:t>246</w:t>
            </w:r>
            <w:r w:rsidR="00752D01" w:rsidRPr="001C1358">
              <w:rPr>
                <w:rFonts w:ascii="Times New Roman" w:eastAsiaTheme="minorEastAsia" w:hAnsi="Times New Roman" w:cs="Times New Roman"/>
                <w:sz w:val="20"/>
                <w:szCs w:val="20"/>
              </w:rPr>
              <w:t>.</w:t>
            </w:r>
            <w:r w:rsidRPr="001C1358">
              <w:rPr>
                <w:rFonts w:ascii="Times New Roman" w:eastAsiaTheme="minorEastAsia" w:hAnsi="Times New Roman" w:cs="Times New Roman"/>
                <w:sz w:val="20"/>
                <w:szCs w:val="20"/>
              </w:rPr>
              <w:t>9</w:t>
            </w:r>
          </w:p>
        </w:tc>
        <w:tc>
          <w:tcPr>
            <w:tcW w:w="794" w:type="dxa"/>
          </w:tcPr>
          <w:p w14:paraId="06CC43B4"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eastAsiaTheme="minorEastAsia" w:hAnsi="Times New Roman" w:cs="Times New Roman"/>
                <w:color w:val="000000" w:themeColor="text1"/>
                <w:sz w:val="20"/>
                <w:szCs w:val="20"/>
              </w:rPr>
              <w:t>NA</w:t>
            </w:r>
          </w:p>
        </w:tc>
        <w:tc>
          <w:tcPr>
            <w:tcW w:w="993" w:type="dxa"/>
            <w:noWrap/>
          </w:tcPr>
          <w:p w14:paraId="654DF780" w14:textId="2B1051F2"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eastAsiaTheme="minorEastAsia" w:hAnsi="Times New Roman" w:cs="Times New Roman"/>
                <w:sz w:val="20"/>
                <w:szCs w:val="20"/>
              </w:rPr>
              <w:t>236</w:t>
            </w:r>
            <w:r w:rsidR="00CD6245">
              <w:rPr>
                <w:rFonts w:ascii="Times New Roman" w:eastAsiaTheme="minorEastAsia" w:hAnsi="Times New Roman" w:cs="Times New Roman"/>
                <w:sz w:val="20"/>
                <w:szCs w:val="20"/>
              </w:rPr>
              <w:t>.</w:t>
            </w:r>
            <w:r w:rsidRPr="008906CA">
              <w:rPr>
                <w:rFonts w:ascii="Times New Roman" w:eastAsiaTheme="minorEastAsia" w:hAnsi="Times New Roman" w:cs="Times New Roman"/>
                <w:sz w:val="20"/>
                <w:szCs w:val="20"/>
              </w:rPr>
              <w:t>0–257</w:t>
            </w:r>
            <w:r w:rsidR="00CD6245">
              <w:rPr>
                <w:rFonts w:ascii="Times New Roman" w:eastAsiaTheme="minorEastAsia" w:hAnsi="Times New Roman" w:cs="Times New Roman"/>
                <w:sz w:val="20"/>
                <w:szCs w:val="20"/>
              </w:rPr>
              <w:t>.</w:t>
            </w:r>
            <w:r w:rsidRPr="008906CA">
              <w:rPr>
                <w:rFonts w:ascii="Times New Roman" w:eastAsiaTheme="minorEastAsia" w:hAnsi="Times New Roman" w:cs="Times New Roman"/>
                <w:sz w:val="20"/>
                <w:szCs w:val="20"/>
              </w:rPr>
              <w:t>7</w:t>
            </w:r>
          </w:p>
        </w:tc>
        <w:tc>
          <w:tcPr>
            <w:tcW w:w="1283" w:type="dxa"/>
            <w:noWrap/>
          </w:tcPr>
          <w:p w14:paraId="7B1CE2A8"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3654" w:type="dxa"/>
          </w:tcPr>
          <w:p w14:paraId="1E303C39"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eastAsia="標楷體" w:hAnsi="Times New Roman" w:cs="Times New Roman"/>
                <w:sz w:val="20"/>
                <w:szCs w:val="20"/>
              </w:rPr>
              <w:t>Association between plasma Se and prostate cancer risk with relation to arsenic exposure was investigated in 318 prostate cancer patients and aged-matched controls</w:t>
            </w:r>
          </w:p>
        </w:tc>
        <w:tc>
          <w:tcPr>
            <w:tcW w:w="2126" w:type="dxa"/>
          </w:tcPr>
          <w:p w14:paraId="3B830D7B" w14:textId="5A8909E9" w:rsidR="008906CA" w:rsidRPr="008906CA" w:rsidRDefault="001C1358" w:rsidP="00E754DF">
            <w:pPr>
              <w:adjustRightInd w:val="0"/>
              <w:snapToGrid w:val="0"/>
              <w:spacing w:beforeLines="0" w:afterLines="0"/>
              <w:rPr>
                <w:rFonts w:ascii="Times New Roman" w:eastAsiaTheme="minorEastAsia" w:hAnsi="Times New Roman" w:cs="Times New Roman"/>
                <w:sz w:val="20"/>
                <w:szCs w:val="20"/>
              </w:rPr>
            </w:pPr>
            <w:r>
              <w:rPr>
                <w:rFonts w:ascii="Times New Roman" w:eastAsia="標楷體" w:hAnsi="Times New Roman" w:cs="Times New Roman"/>
                <w:sz w:val="20"/>
                <w:szCs w:val="20"/>
              </w:rPr>
              <w:t>Published before 2018</w:t>
            </w:r>
            <w:r w:rsidR="007D78F1">
              <w:rPr>
                <w:rFonts w:ascii="Times New Roman" w:eastAsia="標楷體" w:hAnsi="Times New Roman" w:cs="Times New Roman" w:hint="eastAsia"/>
                <w:sz w:val="20"/>
                <w:szCs w:val="20"/>
              </w:rPr>
              <w:t xml:space="preserve"> (</w:t>
            </w:r>
            <w:r w:rsidR="0015488F">
              <w:rPr>
                <w:rFonts w:ascii="Times New Roman" w:eastAsia="標楷體" w:hAnsi="Times New Roman" w:cs="Times New Roman"/>
                <w:sz w:val="20"/>
                <w:szCs w:val="20"/>
              </w:rPr>
              <w:t xml:space="preserve">lacked validated </w:t>
            </w:r>
            <w:r w:rsidR="009474E5">
              <w:rPr>
                <w:rFonts w:ascii="Times New Roman" w:eastAsia="標楷體" w:hAnsi="Times New Roman" w:cs="Times New Roman"/>
                <w:sz w:val="20"/>
                <w:szCs w:val="20"/>
              </w:rPr>
              <w:t>analytical method)</w:t>
            </w:r>
            <w:r w:rsidR="00DF104A">
              <w:rPr>
                <w:rFonts w:ascii="Times New Roman" w:eastAsia="標楷體" w:hAnsi="Times New Roman" w:cs="Times New Roman"/>
                <w:sz w:val="20"/>
                <w:szCs w:val="20"/>
              </w:rPr>
              <w:t xml:space="preserve"> </w:t>
            </w:r>
          </w:p>
        </w:tc>
      </w:tr>
      <w:tr w:rsidR="00263E2C" w:rsidRPr="008906CA" w14:paraId="6DEDAA78" w14:textId="77777777" w:rsidTr="00664EB0">
        <w:trPr>
          <w:trHeight w:val="299"/>
        </w:trPr>
        <w:tc>
          <w:tcPr>
            <w:tcW w:w="1027" w:type="dxa"/>
            <w:noWrap/>
          </w:tcPr>
          <w:p w14:paraId="466771F7" w14:textId="77777777" w:rsidR="008906CA" w:rsidRPr="008906CA" w:rsidRDefault="008906CA" w:rsidP="00E754DF">
            <w:pPr>
              <w:adjustRightInd w:val="0"/>
              <w:snapToGrid w:val="0"/>
              <w:spacing w:beforeLines="0" w:afterLines="0"/>
              <w:rPr>
                <w:rFonts w:ascii="Times New Roman" w:hAnsi="Times New Roman" w:cs="Times New Roman"/>
                <w:sz w:val="20"/>
                <w:szCs w:val="20"/>
                <w:highlight w:val="yellow"/>
              </w:rPr>
            </w:pPr>
            <w:r w:rsidRPr="006B2345">
              <w:rPr>
                <w:rFonts w:ascii="Times New Roman" w:eastAsia="標楷體" w:hAnsi="Times New Roman" w:cs="Times New Roman"/>
                <w:color w:val="000000" w:themeColor="text1"/>
                <w:sz w:val="20"/>
                <w:szCs w:val="20"/>
              </w:rPr>
              <w:t xml:space="preserve">Wu </w:t>
            </w:r>
            <w:r w:rsidRPr="006B2345">
              <w:rPr>
                <w:rFonts w:ascii="Times New Roman" w:hAnsi="Times New Roman" w:cs="Times New Roman"/>
                <w:sz w:val="20"/>
                <w:szCs w:val="20"/>
              </w:rPr>
              <w:t xml:space="preserve">et al. </w:t>
            </w:r>
            <w:r w:rsidRPr="006B2345">
              <w:rPr>
                <w:rFonts w:ascii="Times New Roman" w:eastAsia="標楷體" w:hAnsi="Times New Roman" w:cs="Times New Roman"/>
                <w:color w:val="000000" w:themeColor="text1"/>
                <w:sz w:val="20"/>
                <w:szCs w:val="20"/>
              </w:rPr>
              <w:t>2019</w:t>
            </w:r>
          </w:p>
        </w:tc>
        <w:tc>
          <w:tcPr>
            <w:tcW w:w="2167" w:type="dxa"/>
          </w:tcPr>
          <w:p w14:paraId="098BEF72"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eastAsia="標楷體" w:hAnsi="Times New Roman" w:cs="Times New Roman"/>
                <w:sz w:val="20"/>
                <w:szCs w:val="20"/>
              </w:rPr>
              <w:t xml:space="preserve">The association between plasma selenium and chronic </w:t>
            </w:r>
            <w:r w:rsidRPr="008906CA">
              <w:rPr>
                <w:rFonts w:ascii="Times New Roman" w:eastAsia="標楷體" w:hAnsi="Times New Roman" w:cs="Times New Roman"/>
                <w:sz w:val="20"/>
                <w:szCs w:val="20"/>
              </w:rPr>
              <w:lastRenderedPageBreak/>
              <w:t>kidney disease related to lead, cadmium and arsenic exposure in a Taiwanese population</w:t>
            </w:r>
          </w:p>
        </w:tc>
        <w:tc>
          <w:tcPr>
            <w:tcW w:w="992" w:type="dxa"/>
            <w:noWrap/>
          </w:tcPr>
          <w:p w14:paraId="586D8C4E"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eastAsiaTheme="minorEastAsia" w:hAnsi="Times New Roman" w:cs="Times New Roman"/>
                <w:sz w:val="20"/>
                <w:szCs w:val="20"/>
              </w:rPr>
              <w:lastRenderedPageBreak/>
              <w:t>438</w:t>
            </w:r>
          </w:p>
        </w:tc>
        <w:tc>
          <w:tcPr>
            <w:tcW w:w="851" w:type="dxa"/>
            <w:noWrap/>
          </w:tcPr>
          <w:p w14:paraId="7DAC6665"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6B2345">
              <w:rPr>
                <w:rFonts w:ascii="Times New Roman" w:eastAsiaTheme="minorEastAsia" w:hAnsi="Times New Roman" w:cs="Times New Roman"/>
                <w:sz w:val="20"/>
                <w:szCs w:val="20"/>
              </w:rPr>
              <w:t>219.10</w:t>
            </w:r>
          </w:p>
        </w:tc>
        <w:tc>
          <w:tcPr>
            <w:tcW w:w="794" w:type="dxa"/>
          </w:tcPr>
          <w:p w14:paraId="59E13DA1"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eastAsiaTheme="minorEastAsia" w:hAnsi="Times New Roman" w:cs="Times New Roman"/>
                <w:color w:val="000000" w:themeColor="text1"/>
                <w:sz w:val="20"/>
                <w:szCs w:val="20"/>
              </w:rPr>
              <w:t>2.54</w:t>
            </w:r>
            <w:r w:rsidRPr="008906CA">
              <w:rPr>
                <w:rFonts w:ascii="Times New Roman" w:eastAsiaTheme="minorEastAsia" w:hAnsi="Times New Roman" w:cs="Times New Roman"/>
                <w:color w:val="000000" w:themeColor="text1"/>
                <w:sz w:val="20"/>
                <w:szCs w:val="20"/>
                <w:vertAlign w:val="superscript"/>
              </w:rPr>
              <w:t>a</w:t>
            </w:r>
          </w:p>
        </w:tc>
        <w:tc>
          <w:tcPr>
            <w:tcW w:w="993" w:type="dxa"/>
            <w:noWrap/>
          </w:tcPr>
          <w:p w14:paraId="31063CF4"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eastAsiaTheme="minorEastAsia" w:hAnsi="Times New Roman" w:cs="Times New Roman"/>
                <w:sz w:val="20"/>
                <w:szCs w:val="20"/>
              </w:rPr>
              <w:t>NA</w:t>
            </w:r>
          </w:p>
        </w:tc>
        <w:tc>
          <w:tcPr>
            <w:tcW w:w="1283" w:type="dxa"/>
            <w:noWrap/>
          </w:tcPr>
          <w:p w14:paraId="575D32F5"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3654" w:type="dxa"/>
          </w:tcPr>
          <w:p w14:paraId="2D78C46F"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eastAsia="標楷體" w:hAnsi="Times New Roman" w:cs="Times New Roman"/>
                <w:sz w:val="20"/>
                <w:szCs w:val="20"/>
              </w:rPr>
              <w:t xml:space="preserve">To investigate whether plasma Se levels modified the eGFR and chronic kidney disease (CKD) risk induced by red blood </w:t>
            </w:r>
            <w:r w:rsidRPr="008906CA">
              <w:rPr>
                <w:rFonts w:ascii="Times New Roman" w:eastAsia="標楷體" w:hAnsi="Times New Roman" w:cs="Times New Roman"/>
                <w:sz w:val="20"/>
                <w:szCs w:val="20"/>
              </w:rPr>
              <w:lastRenderedPageBreak/>
              <w:t>cell lead and cadmium levels and total urinary arsenic concentrations in CKD patients and 438 age- and gender-matched healthy controls</w:t>
            </w:r>
          </w:p>
        </w:tc>
        <w:tc>
          <w:tcPr>
            <w:tcW w:w="2126" w:type="dxa"/>
          </w:tcPr>
          <w:p w14:paraId="0D14B197" w14:textId="78340195" w:rsidR="008906CA" w:rsidRPr="008906CA" w:rsidRDefault="006B2345"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lastRenderedPageBreak/>
              <w:t>Included (only the control group)</w:t>
            </w:r>
          </w:p>
        </w:tc>
      </w:tr>
      <w:tr w:rsidR="00263E2C" w:rsidRPr="008906CA" w14:paraId="3F2E9073" w14:textId="77777777" w:rsidTr="00664EB0">
        <w:trPr>
          <w:trHeight w:val="299"/>
        </w:trPr>
        <w:tc>
          <w:tcPr>
            <w:tcW w:w="1027" w:type="dxa"/>
            <w:noWrap/>
          </w:tcPr>
          <w:p w14:paraId="51B1BBC6" w14:textId="77777777" w:rsidR="008906CA" w:rsidRPr="008906CA" w:rsidRDefault="008906CA" w:rsidP="00E754DF">
            <w:pPr>
              <w:adjustRightInd w:val="0"/>
              <w:snapToGrid w:val="0"/>
              <w:spacing w:beforeLines="0" w:afterLines="0"/>
              <w:rPr>
                <w:rFonts w:ascii="Times New Roman" w:eastAsia="標楷體" w:hAnsi="Times New Roman" w:cs="Times New Roman"/>
                <w:color w:val="000000" w:themeColor="text1"/>
                <w:sz w:val="20"/>
                <w:szCs w:val="20"/>
                <w:highlight w:val="yellow"/>
              </w:rPr>
            </w:pPr>
            <w:r w:rsidRPr="001C1358">
              <w:rPr>
                <w:rFonts w:ascii="Times New Roman" w:eastAsia="標楷體" w:hAnsi="Times New Roman" w:cs="Times New Roman"/>
                <w:color w:val="000000" w:themeColor="text1"/>
                <w:sz w:val="20"/>
                <w:szCs w:val="20"/>
              </w:rPr>
              <w:t>Chen et al. 2021</w:t>
            </w:r>
          </w:p>
        </w:tc>
        <w:tc>
          <w:tcPr>
            <w:tcW w:w="2167" w:type="dxa"/>
          </w:tcPr>
          <w:p w14:paraId="2A7D7046" w14:textId="77777777" w:rsidR="008906CA" w:rsidRPr="008906CA" w:rsidRDefault="008906CA" w:rsidP="00E754DF">
            <w:pPr>
              <w:adjustRightInd w:val="0"/>
              <w:snapToGrid w:val="0"/>
              <w:spacing w:beforeLines="0" w:afterLines="0"/>
              <w:rPr>
                <w:rFonts w:ascii="Times New Roman" w:eastAsia="標楷體" w:hAnsi="Times New Roman" w:cs="Times New Roman"/>
                <w:sz w:val="20"/>
                <w:szCs w:val="20"/>
              </w:rPr>
            </w:pPr>
            <w:r w:rsidRPr="008906CA">
              <w:rPr>
                <w:rFonts w:ascii="Times New Roman" w:eastAsia="標楷體" w:hAnsi="Times New Roman" w:cs="Times New Roman"/>
                <w:sz w:val="20"/>
                <w:szCs w:val="20"/>
              </w:rPr>
              <w:t>The association of renal function and plasma metals modified by EGFR and TNF-α gene polymorphisms in metal industrial workers and general population</w:t>
            </w:r>
          </w:p>
        </w:tc>
        <w:tc>
          <w:tcPr>
            <w:tcW w:w="992" w:type="dxa"/>
            <w:noWrap/>
          </w:tcPr>
          <w:p w14:paraId="29490300" w14:textId="7A454F98" w:rsidR="008906CA" w:rsidRPr="008906CA" w:rsidRDefault="006A2867" w:rsidP="006B2345">
            <w:pPr>
              <w:adjustRightInd w:val="0"/>
              <w:snapToGrid w:val="0"/>
              <w:spacing w:beforeLines="0" w:afterLines="0"/>
              <w:jc w:val="center"/>
              <w:rPr>
                <w:rFonts w:ascii="Times New Roman" w:eastAsiaTheme="minorEastAsia" w:hAnsi="Times New Roman" w:cs="Times New Roman"/>
                <w:sz w:val="20"/>
                <w:szCs w:val="20"/>
              </w:rPr>
            </w:pPr>
            <w:r>
              <w:rPr>
                <w:rFonts w:ascii="Times New Roman" w:eastAsiaTheme="minorEastAsia" w:hAnsi="Times New Roman" w:cs="Times New Roman"/>
                <w:sz w:val="20"/>
                <w:szCs w:val="20"/>
              </w:rPr>
              <w:t>627</w:t>
            </w:r>
          </w:p>
        </w:tc>
        <w:tc>
          <w:tcPr>
            <w:tcW w:w="851" w:type="dxa"/>
            <w:noWrap/>
          </w:tcPr>
          <w:p w14:paraId="7104DB1B" w14:textId="74AAA5A8" w:rsidR="008906CA" w:rsidRPr="008906CA" w:rsidRDefault="00441EF7" w:rsidP="00E754DF">
            <w:pPr>
              <w:adjustRightInd w:val="0"/>
              <w:snapToGrid w:val="0"/>
              <w:spacing w:beforeLines="0" w:afterLines="0"/>
              <w:jc w:val="center"/>
              <w:rPr>
                <w:rFonts w:ascii="Times New Roman" w:eastAsiaTheme="minorEastAsia" w:hAnsi="Times New Roman" w:cs="Times New Roman"/>
                <w:sz w:val="20"/>
                <w:szCs w:val="20"/>
              </w:rPr>
            </w:pPr>
            <w:r>
              <w:rPr>
                <w:rFonts w:ascii="Times New Roman" w:eastAsiaTheme="minorEastAsia" w:hAnsi="Times New Roman" w:cs="Times New Roman" w:hint="eastAsia"/>
                <w:sz w:val="20"/>
                <w:szCs w:val="20"/>
              </w:rPr>
              <w:t>1</w:t>
            </w:r>
            <w:r>
              <w:rPr>
                <w:rFonts w:ascii="Times New Roman" w:eastAsiaTheme="minorEastAsia" w:hAnsi="Times New Roman" w:cs="Times New Roman"/>
                <w:sz w:val="20"/>
                <w:szCs w:val="20"/>
              </w:rPr>
              <w:t>44.7</w:t>
            </w:r>
          </w:p>
        </w:tc>
        <w:tc>
          <w:tcPr>
            <w:tcW w:w="794" w:type="dxa"/>
          </w:tcPr>
          <w:p w14:paraId="62569F48" w14:textId="177167DF" w:rsidR="008906CA" w:rsidRPr="008906CA" w:rsidRDefault="00441EF7" w:rsidP="00441EF7">
            <w:pPr>
              <w:adjustRightInd w:val="0"/>
              <w:snapToGrid w:val="0"/>
              <w:spacing w:beforeLines="0" w:afterLines="0"/>
              <w:rPr>
                <w:rFonts w:ascii="Times New Roman" w:eastAsiaTheme="minorEastAsia" w:hAnsi="Times New Roman" w:cs="Times New Roman"/>
                <w:color w:val="000000" w:themeColor="text1"/>
                <w:sz w:val="20"/>
                <w:szCs w:val="20"/>
              </w:rPr>
            </w:pPr>
            <w:r>
              <w:rPr>
                <w:rFonts w:ascii="Times New Roman" w:eastAsiaTheme="minorEastAsia" w:hAnsi="Times New Roman" w:cs="Times New Roman" w:hint="eastAsia"/>
                <w:color w:val="000000" w:themeColor="text1"/>
                <w:sz w:val="20"/>
                <w:szCs w:val="20"/>
              </w:rPr>
              <w:t xml:space="preserve"> </w:t>
            </w:r>
            <w:r>
              <w:rPr>
                <w:rFonts w:ascii="Times New Roman" w:eastAsiaTheme="minorEastAsia" w:hAnsi="Times New Roman" w:cs="Times New Roman"/>
                <w:color w:val="000000" w:themeColor="text1"/>
                <w:sz w:val="20"/>
                <w:szCs w:val="20"/>
              </w:rPr>
              <w:t>45.5</w:t>
            </w:r>
          </w:p>
        </w:tc>
        <w:tc>
          <w:tcPr>
            <w:tcW w:w="993" w:type="dxa"/>
            <w:noWrap/>
          </w:tcPr>
          <w:p w14:paraId="30296C64" w14:textId="77777777" w:rsidR="008906CA" w:rsidRPr="008906CA" w:rsidRDefault="008906CA" w:rsidP="00E754DF">
            <w:pPr>
              <w:adjustRightInd w:val="0"/>
              <w:snapToGrid w:val="0"/>
              <w:spacing w:beforeLines="0" w:afterLines="0"/>
              <w:jc w:val="center"/>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NA</w:t>
            </w:r>
          </w:p>
        </w:tc>
        <w:tc>
          <w:tcPr>
            <w:tcW w:w="1283" w:type="dxa"/>
            <w:noWrap/>
          </w:tcPr>
          <w:p w14:paraId="40300CFF"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3654" w:type="dxa"/>
          </w:tcPr>
          <w:p w14:paraId="0E6F7638" w14:textId="1A1F31C6" w:rsidR="008906CA" w:rsidRPr="008906CA" w:rsidRDefault="00441EF7" w:rsidP="00E754DF">
            <w:pPr>
              <w:adjustRightInd w:val="0"/>
              <w:snapToGrid w:val="0"/>
              <w:spacing w:beforeLines="0" w:afterLines="0"/>
              <w:rPr>
                <w:rFonts w:ascii="Times New Roman" w:eastAsia="標楷體" w:hAnsi="Times New Roman" w:cs="Times New Roman"/>
                <w:sz w:val="20"/>
                <w:szCs w:val="20"/>
              </w:rPr>
            </w:pPr>
            <w:r w:rsidRPr="008906CA">
              <w:rPr>
                <w:rFonts w:ascii="Times New Roman" w:eastAsia="標楷體" w:hAnsi="Times New Roman" w:cs="Times New Roman"/>
                <w:sz w:val="20"/>
                <w:szCs w:val="20"/>
              </w:rPr>
              <w:t xml:space="preserve">Control </w:t>
            </w:r>
            <w:r>
              <w:rPr>
                <w:rFonts w:ascii="Times New Roman" w:eastAsia="標楷體" w:hAnsi="Times New Roman" w:cs="Times New Roman"/>
                <w:sz w:val="20"/>
                <w:szCs w:val="20"/>
              </w:rPr>
              <w:t>group</w:t>
            </w:r>
            <w:r w:rsidRPr="008906CA">
              <w:rPr>
                <w:rFonts w:ascii="Times New Roman" w:eastAsia="標楷體" w:hAnsi="Times New Roman" w:cs="Times New Roman"/>
                <w:sz w:val="20"/>
                <w:szCs w:val="20"/>
              </w:rPr>
              <w:t xml:space="preserve"> (non-metal industrial workers, </w:t>
            </w:r>
            <w:r w:rsidRPr="008906CA">
              <w:rPr>
                <w:rFonts w:ascii="Times New Roman" w:hAnsi="Times New Roman" w:cs="Times New Roman"/>
                <w:sz w:val="20"/>
                <w:szCs w:val="20"/>
              </w:rPr>
              <w:t xml:space="preserve">aged 43.16 </w:t>
            </w:r>
            <w:r w:rsidRPr="008906CA">
              <w:rPr>
                <w:rFonts w:ascii="Times New Roman" w:hAnsi="Times New Roman" w:cs="Times New Roman"/>
                <w:sz w:val="20"/>
                <w:szCs w:val="20"/>
              </w:rPr>
              <w:sym w:font="Symbol" w:char="F0B1"/>
            </w:r>
            <w:r w:rsidRPr="008906CA">
              <w:rPr>
                <w:rFonts w:ascii="Times New Roman" w:hAnsi="Times New Roman" w:cs="Times New Roman"/>
                <w:sz w:val="20"/>
                <w:szCs w:val="20"/>
              </w:rPr>
              <w:t xml:space="preserve"> 9.50 y)</w:t>
            </w:r>
            <w:r w:rsidRPr="008906CA">
              <w:rPr>
                <w:rFonts w:ascii="Times New Roman" w:eastAsia="標楷體" w:hAnsi="Times New Roman" w:cs="Times New Roman"/>
                <w:sz w:val="20"/>
                <w:szCs w:val="20"/>
              </w:rPr>
              <w:t xml:space="preserve"> to investigate association of renal function impairment and heavy metal exposure in relation to EGFR and TNF-α gene polymorphisms</w:t>
            </w:r>
            <w:r w:rsidR="000D3A01">
              <w:rPr>
                <w:rFonts w:ascii="Times New Roman" w:eastAsia="標楷體" w:hAnsi="Times New Roman" w:cs="Times New Roman"/>
                <w:sz w:val="20"/>
                <w:szCs w:val="20"/>
              </w:rPr>
              <w:t xml:space="preserve"> </w:t>
            </w:r>
          </w:p>
        </w:tc>
        <w:tc>
          <w:tcPr>
            <w:tcW w:w="2126" w:type="dxa"/>
          </w:tcPr>
          <w:p w14:paraId="6517052E" w14:textId="084F88B8" w:rsidR="008906CA" w:rsidRPr="008906CA" w:rsidRDefault="001C1358" w:rsidP="00E754DF">
            <w:pPr>
              <w:adjustRightInd w:val="0"/>
              <w:snapToGrid w:val="0"/>
              <w:spacing w:beforeLines="0" w:afterLines="0"/>
              <w:rPr>
                <w:rFonts w:ascii="Times New Roman" w:eastAsia="標楷體" w:hAnsi="Times New Roman" w:cs="Times New Roman"/>
                <w:sz w:val="20"/>
                <w:szCs w:val="20"/>
              </w:rPr>
            </w:pPr>
            <w:r>
              <w:rPr>
                <w:rFonts w:ascii="Times New Roman" w:eastAsia="標楷體" w:hAnsi="Times New Roman" w:cs="Times New Roman" w:hint="eastAsia"/>
                <w:sz w:val="20"/>
                <w:szCs w:val="20"/>
              </w:rPr>
              <w:t>In</w:t>
            </w:r>
            <w:r>
              <w:rPr>
                <w:rFonts w:ascii="Times New Roman" w:eastAsia="標楷體" w:hAnsi="Times New Roman" w:cs="Times New Roman"/>
                <w:sz w:val="20"/>
                <w:szCs w:val="20"/>
              </w:rPr>
              <w:t>cluded</w:t>
            </w:r>
          </w:p>
        </w:tc>
      </w:tr>
      <w:tr w:rsidR="00263E2C" w:rsidRPr="008906CA" w14:paraId="212EDBAB" w14:textId="77777777" w:rsidTr="00664EB0">
        <w:trPr>
          <w:trHeight w:val="299"/>
        </w:trPr>
        <w:tc>
          <w:tcPr>
            <w:tcW w:w="1027" w:type="dxa"/>
            <w:noWrap/>
          </w:tcPr>
          <w:p w14:paraId="78686457"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Hsueh et al. 2021</w:t>
            </w:r>
          </w:p>
        </w:tc>
        <w:tc>
          <w:tcPr>
            <w:tcW w:w="2167" w:type="dxa"/>
          </w:tcPr>
          <w:p w14:paraId="57DE5245" w14:textId="77777777" w:rsidR="008906CA" w:rsidRPr="008906CA" w:rsidRDefault="008906CA" w:rsidP="00E754DF">
            <w:pPr>
              <w:adjustRightInd w:val="0"/>
              <w:snapToGrid w:val="0"/>
              <w:spacing w:beforeLines="0" w:afterLines="0"/>
              <w:rPr>
                <w:rFonts w:ascii="Times New Roman" w:hAnsi="Times New Roman" w:cs="Times New Roman"/>
                <w:sz w:val="20"/>
                <w:szCs w:val="20"/>
              </w:rPr>
            </w:pPr>
            <w:r w:rsidRPr="008906CA">
              <w:rPr>
                <w:rFonts w:ascii="Times New Roman" w:hAnsi="Times New Roman" w:cs="Times New Roman"/>
                <w:sz w:val="20"/>
                <w:szCs w:val="20"/>
              </w:rPr>
              <w:t>Effect of plasma selenium, red blood cell cadmium, total urinary arsenic levels, and eGFR on renal cell carcinoma.</w:t>
            </w:r>
          </w:p>
        </w:tc>
        <w:tc>
          <w:tcPr>
            <w:tcW w:w="992" w:type="dxa"/>
            <w:noWrap/>
          </w:tcPr>
          <w:p w14:paraId="0706F3DE"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774</w:t>
            </w:r>
          </w:p>
        </w:tc>
        <w:tc>
          <w:tcPr>
            <w:tcW w:w="851" w:type="dxa"/>
            <w:noWrap/>
          </w:tcPr>
          <w:p w14:paraId="30C6341C"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 xml:space="preserve">228.8 </w:t>
            </w:r>
          </w:p>
        </w:tc>
        <w:tc>
          <w:tcPr>
            <w:tcW w:w="794" w:type="dxa"/>
          </w:tcPr>
          <w:p w14:paraId="3EC9F34F"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65.0</w:t>
            </w:r>
          </w:p>
        </w:tc>
        <w:tc>
          <w:tcPr>
            <w:tcW w:w="993" w:type="dxa"/>
            <w:noWrap/>
          </w:tcPr>
          <w:p w14:paraId="6487EF12"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NA</w:t>
            </w:r>
          </w:p>
        </w:tc>
        <w:tc>
          <w:tcPr>
            <w:tcW w:w="1283" w:type="dxa"/>
            <w:noWrap/>
          </w:tcPr>
          <w:p w14:paraId="4DEB696B" w14:textId="77777777" w:rsidR="008906CA" w:rsidRPr="008906CA" w:rsidRDefault="008906CA" w:rsidP="00E754DF">
            <w:pPr>
              <w:adjustRightInd w:val="0"/>
              <w:snapToGrid w:val="0"/>
              <w:spacing w:beforeLines="0" w:afterLines="0"/>
              <w:jc w:val="center"/>
              <w:rPr>
                <w:rFonts w:ascii="Times New Roman" w:hAnsi="Times New Roman" w:cs="Times New Roman"/>
                <w:sz w:val="20"/>
                <w:szCs w:val="20"/>
              </w:rPr>
            </w:pPr>
            <w:r w:rsidRPr="008906CA">
              <w:rPr>
                <w:rFonts w:ascii="Times New Roman" w:hAnsi="Times New Roman" w:cs="Times New Roman"/>
                <w:sz w:val="20"/>
                <w:szCs w:val="20"/>
              </w:rPr>
              <w:t>ICP-MS</w:t>
            </w:r>
          </w:p>
        </w:tc>
        <w:tc>
          <w:tcPr>
            <w:tcW w:w="3654" w:type="dxa"/>
          </w:tcPr>
          <w:p w14:paraId="5B380C94" w14:textId="77777777" w:rsidR="008906CA" w:rsidRPr="008906CA" w:rsidRDefault="008906CA"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hAnsi="Times New Roman" w:cs="Times New Roman"/>
                <w:sz w:val="20"/>
                <w:szCs w:val="20"/>
              </w:rPr>
              <w:t>Control group (aged 60.0</w:t>
            </w:r>
            <w:r w:rsidRPr="008906CA">
              <w:rPr>
                <w:rFonts w:ascii="Times New Roman" w:hAnsi="Times New Roman" w:cs="Times New Roman"/>
                <w:sz w:val="20"/>
                <w:szCs w:val="20"/>
              </w:rPr>
              <w:sym w:font="Symbol" w:char="F0B1"/>
            </w:r>
            <w:r w:rsidRPr="008906CA">
              <w:rPr>
                <w:rFonts w:ascii="Times New Roman" w:hAnsi="Times New Roman" w:cs="Times New Roman"/>
                <w:sz w:val="20"/>
                <w:szCs w:val="20"/>
              </w:rPr>
              <w:t xml:space="preserve"> 13.3 years) without renal cell carcinoma (RCC) or any other malignant tumors to explore the association between red blood cell lead and cadmium concentrations, plasma Se levels, and total urinary arsenic concentration and the odds ratio (OR) of RCC</w:t>
            </w:r>
          </w:p>
        </w:tc>
        <w:tc>
          <w:tcPr>
            <w:tcW w:w="2126" w:type="dxa"/>
          </w:tcPr>
          <w:p w14:paraId="10477A63" w14:textId="77777777" w:rsidR="008906CA" w:rsidRPr="008906CA" w:rsidRDefault="008906CA" w:rsidP="00E754DF">
            <w:pPr>
              <w:adjustRightInd w:val="0"/>
              <w:snapToGrid w:val="0"/>
              <w:spacing w:beforeLines="0" w:afterLines="0"/>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Included (only the control group)</w:t>
            </w:r>
          </w:p>
        </w:tc>
      </w:tr>
    </w:tbl>
    <w:p w14:paraId="3E330A86" w14:textId="408C7FEE" w:rsidR="00873D53" w:rsidRPr="004227BB" w:rsidRDefault="00873D53" w:rsidP="00873D53">
      <w:pPr>
        <w:rPr>
          <w:rFonts w:ascii="Times New Roman" w:eastAsiaTheme="minorEastAsia" w:hAnsi="Times New Roman" w:cs="Times New Roman"/>
          <w:sz w:val="20"/>
          <w:szCs w:val="20"/>
        </w:rPr>
      </w:pPr>
      <w:r w:rsidRPr="008906CA">
        <w:rPr>
          <w:rFonts w:ascii="Times New Roman" w:eastAsiaTheme="minorEastAsia" w:hAnsi="Times New Roman" w:cs="Times New Roman"/>
          <w:sz w:val="20"/>
          <w:szCs w:val="20"/>
        </w:rPr>
        <w:t xml:space="preserve">N = </w:t>
      </w:r>
      <w:r w:rsidRPr="008906CA">
        <w:rPr>
          <w:rFonts w:ascii="Times New Roman" w:hAnsi="Times New Roman" w:cs="Times New Roman"/>
          <w:sz w:val="20"/>
          <w:szCs w:val="20"/>
        </w:rPr>
        <w:t>No. of subjects</w:t>
      </w:r>
      <w:r w:rsidRPr="008906CA">
        <w:rPr>
          <w:rFonts w:ascii="Times New Roman" w:eastAsia="新細明體" w:hAnsi="Times New Roman" w:cs="Times New Roman"/>
          <w:sz w:val="20"/>
          <w:szCs w:val="20"/>
        </w:rPr>
        <w:t>; SD = Standard deviation;</w:t>
      </w:r>
      <w:r w:rsidRPr="008906CA">
        <w:rPr>
          <w:rFonts w:ascii="Times New Roman" w:hAnsi="Times New Roman" w:cs="Times New Roman"/>
          <w:sz w:val="20"/>
          <w:szCs w:val="20"/>
        </w:rPr>
        <w:t xml:space="preserve"> NA: Not reported in the reference; AAS = </w:t>
      </w:r>
      <w:r w:rsidRPr="008906CA">
        <w:rPr>
          <w:rFonts w:ascii="Times New Roman" w:eastAsiaTheme="minorEastAsia" w:hAnsi="Times New Roman" w:cs="Times New Roman"/>
          <w:color w:val="000000" w:themeColor="text1"/>
          <w:sz w:val="20"/>
          <w:szCs w:val="20"/>
        </w:rPr>
        <w:t>Atomic absorption spectrometry; ICP-MS = Inductively coupled plasma mass spectrometry</w:t>
      </w:r>
      <w:r w:rsidR="001F2F12">
        <w:rPr>
          <w:rFonts w:ascii="Times New Roman" w:eastAsiaTheme="minorEastAsia" w:hAnsi="Times New Roman" w:cs="Times New Roman"/>
          <w:color w:val="000000" w:themeColor="text1"/>
          <w:sz w:val="20"/>
          <w:szCs w:val="20"/>
        </w:rPr>
        <w:t xml:space="preserve">; </w:t>
      </w:r>
      <w:r w:rsidR="001F2F12" w:rsidRPr="008906CA">
        <w:rPr>
          <w:rFonts w:ascii="Times New Roman" w:eastAsiaTheme="minorEastAsia" w:hAnsi="Times New Roman" w:cs="Times New Roman"/>
          <w:color w:val="000000" w:themeColor="text1"/>
          <w:sz w:val="20"/>
          <w:szCs w:val="20"/>
          <w:vertAlign w:val="superscript"/>
        </w:rPr>
        <w:t>a</w:t>
      </w:r>
      <w:r w:rsidR="009618B3">
        <w:rPr>
          <w:rFonts w:ascii="Times New Roman" w:eastAsiaTheme="minorEastAsia" w:hAnsi="Times New Roman" w:cs="Times New Roman"/>
          <w:color w:val="000000" w:themeColor="text1"/>
          <w:sz w:val="20"/>
          <w:szCs w:val="20"/>
        </w:rPr>
        <w:t xml:space="preserve">Standard error </w:t>
      </w:r>
      <w:r w:rsidR="00D504D9">
        <w:rPr>
          <w:rFonts w:ascii="Times New Roman" w:eastAsiaTheme="minorEastAsia" w:hAnsi="Times New Roman" w:cs="Times New Roman"/>
          <w:color w:val="000000" w:themeColor="text1"/>
          <w:sz w:val="20"/>
          <w:szCs w:val="20"/>
        </w:rPr>
        <w:t xml:space="preserve">of mean </w:t>
      </w:r>
      <w:r w:rsidR="009618B3">
        <w:rPr>
          <w:rFonts w:ascii="Times New Roman" w:eastAsiaTheme="minorEastAsia" w:hAnsi="Times New Roman" w:cs="Times New Roman"/>
          <w:color w:val="000000" w:themeColor="text1"/>
          <w:sz w:val="20"/>
          <w:szCs w:val="20"/>
        </w:rPr>
        <w:t>(SE)</w:t>
      </w:r>
      <w:r w:rsidR="008B4518">
        <w:rPr>
          <w:rFonts w:ascii="Times New Roman" w:eastAsiaTheme="minorEastAsia" w:hAnsi="Times New Roman" w:cs="Times New Roman"/>
          <w:color w:val="000000" w:themeColor="text1"/>
          <w:sz w:val="20"/>
          <w:szCs w:val="20"/>
        </w:rPr>
        <w:t xml:space="preserve"> as reported in the reference</w:t>
      </w:r>
    </w:p>
    <w:p w14:paraId="6462730F" w14:textId="77777777" w:rsidR="00664EB0" w:rsidRPr="008906CA" w:rsidRDefault="00664EB0" w:rsidP="00664EB0">
      <w:pPr>
        <w:spacing w:beforeLines="50" w:before="120" w:afterLines="50" w:after="120"/>
        <w:rPr>
          <w:rFonts w:ascii="Times New Roman" w:hAnsi="Times New Roman" w:cs="Times New Roman"/>
          <w:szCs w:val="24"/>
        </w:rPr>
        <w:sectPr w:rsidR="00664EB0" w:rsidRPr="008906CA" w:rsidSect="00134012">
          <w:pgSz w:w="16838" w:h="11906" w:orient="landscape" w:code="9"/>
          <w:pgMar w:top="1797" w:right="1440" w:bottom="1797" w:left="1440" w:header="1134" w:footer="992" w:gutter="0"/>
          <w:cols w:space="425"/>
          <w:docGrid w:linePitch="360"/>
        </w:sectPr>
      </w:pPr>
    </w:p>
    <w:p w14:paraId="2FE4E157" w14:textId="2EF757CE" w:rsidR="00664EB0" w:rsidRPr="008906CA" w:rsidRDefault="00664EB0" w:rsidP="00A10430">
      <w:pPr>
        <w:spacing w:beforeLines="50" w:before="120" w:afterLines="50" w:after="120"/>
        <w:ind w:left="993" w:hanging="993"/>
        <w:rPr>
          <w:rFonts w:ascii="Times New Roman" w:eastAsiaTheme="minorEastAsia" w:hAnsi="Times New Roman" w:cs="Times New Roman"/>
          <w:b/>
          <w:bCs/>
          <w:caps/>
          <w:kern w:val="52"/>
          <w:sz w:val="32"/>
          <w:szCs w:val="72"/>
        </w:rPr>
      </w:pPr>
      <w:r w:rsidRPr="008906CA">
        <w:rPr>
          <w:rFonts w:ascii="Times New Roman" w:hAnsi="Times New Roman" w:cs="Times New Roman"/>
          <w:b/>
          <w:bCs/>
        </w:rPr>
        <w:lastRenderedPageBreak/>
        <w:t>Table S3</w:t>
      </w:r>
      <w:r w:rsidRPr="008906CA">
        <w:rPr>
          <w:rFonts w:ascii="Times New Roman" w:hAnsi="Times New Roman" w:cs="Times New Roman"/>
        </w:rPr>
        <w:t xml:space="preserve"> </w:t>
      </w:r>
      <w:r w:rsidR="00C104C3">
        <w:rPr>
          <w:rFonts w:ascii="Times New Roman" w:hAnsi="Times New Roman" w:cs="Times New Roman"/>
        </w:rPr>
        <w:tab/>
        <w:t xml:space="preserve">Calculation of combined mean </w:t>
      </w:r>
      <w:r w:rsidRPr="008906CA">
        <w:rPr>
          <w:rFonts w:ascii="Times New Roman" w:eastAsia="新細明體" w:hAnsi="Times New Roman" w:cs="Times New Roman"/>
          <w:color w:val="000000"/>
          <w:kern w:val="0"/>
          <w:szCs w:val="24"/>
        </w:rPr>
        <w:t>values for subjects above 19 y</w:t>
      </w:r>
      <w:r w:rsidR="00C104C3">
        <w:rPr>
          <w:rFonts w:ascii="Times New Roman" w:eastAsia="新細明體" w:hAnsi="Times New Roman" w:cs="Times New Roman"/>
          <w:color w:val="000000"/>
          <w:kern w:val="0"/>
          <w:szCs w:val="24"/>
        </w:rPr>
        <w:t>ear</w:t>
      </w:r>
      <w:r w:rsidR="009A6513">
        <w:rPr>
          <w:rFonts w:ascii="Times New Roman" w:eastAsia="新細明體" w:hAnsi="Times New Roman" w:cs="Times New Roman"/>
          <w:color w:val="000000"/>
          <w:kern w:val="0"/>
          <w:szCs w:val="24"/>
        </w:rPr>
        <w:t xml:space="preserve">s </w:t>
      </w:r>
      <w:r w:rsidR="00C104C3">
        <w:rPr>
          <w:rFonts w:ascii="Times New Roman" w:eastAsia="新細明體" w:hAnsi="Times New Roman" w:cs="Times New Roman"/>
          <w:color w:val="000000"/>
          <w:kern w:val="0"/>
          <w:szCs w:val="24"/>
        </w:rPr>
        <w:t>old</w:t>
      </w:r>
      <w:r w:rsidRPr="008906CA">
        <w:rPr>
          <w:rFonts w:ascii="Times New Roman" w:eastAsia="新細明體" w:hAnsi="Times New Roman" w:cs="Times New Roman"/>
          <w:color w:val="000000"/>
          <w:kern w:val="0"/>
          <w:szCs w:val="24"/>
        </w:rPr>
        <w:t xml:space="preserve"> from NAHSIT 2013–2016</w:t>
      </w:r>
    </w:p>
    <w:tbl>
      <w:tblPr>
        <w:tblW w:w="8931" w:type="dxa"/>
        <w:tblInd w:w="-147" w:type="dxa"/>
        <w:tblCellMar>
          <w:left w:w="28" w:type="dxa"/>
          <w:right w:w="28" w:type="dxa"/>
        </w:tblCellMar>
        <w:tblLook w:val="04A0" w:firstRow="1" w:lastRow="0" w:firstColumn="1" w:lastColumn="0" w:noHBand="0" w:noVBand="1"/>
      </w:tblPr>
      <w:tblGrid>
        <w:gridCol w:w="1135"/>
        <w:gridCol w:w="567"/>
        <w:gridCol w:w="992"/>
        <w:gridCol w:w="850"/>
        <w:gridCol w:w="993"/>
        <w:gridCol w:w="1134"/>
        <w:gridCol w:w="1559"/>
        <w:gridCol w:w="1701"/>
      </w:tblGrid>
      <w:tr w:rsidR="00664EB0" w:rsidRPr="008906CA" w14:paraId="3BD3B79F" w14:textId="77777777" w:rsidTr="00440DCA">
        <w:trPr>
          <w:trHeight w:val="567"/>
        </w:trPr>
        <w:tc>
          <w:tcPr>
            <w:tcW w:w="1135" w:type="dxa"/>
            <w:tcBorders>
              <w:top w:val="single" w:sz="4" w:space="0" w:color="auto"/>
              <w:left w:val="single" w:sz="4" w:space="0" w:color="FFFFFF"/>
              <w:bottom w:val="single" w:sz="12" w:space="0" w:color="000000" w:themeColor="text1"/>
              <w:right w:val="single" w:sz="4" w:space="0" w:color="FFFFFF"/>
            </w:tcBorders>
            <w:shd w:val="clear" w:color="auto" w:fill="auto"/>
            <w:noWrap/>
            <w:vAlign w:val="center"/>
            <w:hideMark/>
          </w:tcPr>
          <w:p w14:paraId="7AA586BE" w14:textId="77777777" w:rsidR="00664EB0" w:rsidRPr="008906CA" w:rsidRDefault="00664EB0" w:rsidP="00707211">
            <w:pPr>
              <w:jc w:val="cente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Age (y)</w:t>
            </w:r>
          </w:p>
        </w:tc>
        <w:tc>
          <w:tcPr>
            <w:tcW w:w="567" w:type="dxa"/>
            <w:tcBorders>
              <w:top w:val="single" w:sz="4" w:space="0" w:color="auto"/>
              <w:left w:val="nil"/>
              <w:bottom w:val="single" w:sz="12" w:space="0" w:color="000000" w:themeColor="text1"/>
              <w:right w:val="single" w:sz="4" w:space="0" w:color="FFFFFF"/>
            </w:tcBorders>
            <w:shd w:val="clear" w:color="auto" w:fill="auto"/>
            <w:noWrap/>
            <w:vAlign w:val="center"/>
            <w:hideMark/>
          </w:tcPr>
          <w:p w14:paraId="3B2F1372" w14:textId="77777777" w:rsidR="00664EB0" w:rsidRPr="008906CA" w:rsidRDefault="00664EB0" w:rsidP="00707211">
            <w:pPr>
              <w:jc w:val="cente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N</w:t>
            </w:r>
          </w:p>
        </w:tc>
        <w:tc>
          <w:tcPr>
            <w:tcW w:w="992" w:type="dxa"/>
            <w:tcBorders>
              <w:top w:val="single" w:sz="4" w:space="0" w:color="auto"/>
              <w:left w:val="nil"/>
              <w:bottom w:val="single" w:sz="12" w:space="0" w:color="000000" w:themeColor="text1"/>
              <w:right w:val="single" w:sz="4" w:space="0" w:color="FFFFFF"/>
            </w:tcBorders>
            <w:shd w:val="clear" w:color="auto" w:fill="auto"/>
            <w:noWrap/>
            <w:vAlign w:val="center"/>
            <w:hideMark/>
          </w:tcPr>
          <w:p w14:paraId="1809CFF6" w14:textId="77777777" w:rsidR="00664EB0" w:rsidRPr="008906CA" w:rsidRDefault="00664EB0" w:rsidP="00707211">
            <w:pPr>
              <w:jc w:val="cente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Mean </w:t>
            </w:r>
            <w:r w:rsidRPr="008906CA">
              <w:rPr>
                <w:rFonts w:ascii="Times New Roman" w:hAnsi="Times New Roman" w:cs="Times New Roman"/>
                <w:szCs w:val="24"/>
              </w:rPr>
              <w:t>(μg/L)</w:t>
            </w:r>
          </w:p>
        </w:tc>
        <w:tc>
          <w:tcPr>
            <w:tcW w:w="850" w:type="dxa"/>
            <w:tcBorders>
              <w:top w:val="single" w:sz="4" w:space="0" w:color="auto"/>
              <w:left w:val="nil"/>
              <w:bottom w:val="single" w:sz="12" w:space="0" w:color="000000" w:themeColor="text1"/>
              <w:right w:val="single" w:sz="4" w:space="0" w:color="FFFFFF"/>
            </w:tcBorders>
            <w:shd w:val="clear" w:color="auto" w:fill="auto"/>
            <w:noWrap/>
            <w:vAlign w:val="center"/>
            <w:hideMark/>
          </w:tcPr>
          <w:p w14:paraId="6B81B930" w14:textId="77777777" w:rsidR="008A1EEC" w:rsidRPr="008906CA" w:rsidRDefault="00664EB0" w:rsidP="00707211">
            <w:pPr>
              <w:jc w:val="cente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SE</w:t>
            </w:r>
          </w:p>
          <w:p w14:paraId="4B7BD826" w14:textId="09A073A8" w:rsidR="00664EB0" w:rsidRPr="008906CA" w:rsidRDefault="008A1EEC" w:rsidP="00707211">
            <w:pPr>
              <w:jc w:val="center"/>
              <w:rPr>
                <w:rFonts w:ascii="Times New Roman" w:eastAsia="新細明體" w:hAnsi="Times New Roman" w:cs="Times New Roman"/>
                <w:color w:val="000000"/>
                <w:kern w:val="0"/>
                <w:szCs w:val="24"/>
              </w:rPr>
            </w:pPr>
            <w:r w:rsidRPr="008906CA">
              <w:rPr>
                <w:rFonts w:ascii="Times New Roman" w:hAnsi="Times New Roman" w:cs="Times New Roman"/>
                <w:szCs w:val="24"/>
              </w:rPr>
              <w:t>(μg/L)</w:t>
            </w:r>
          </w:p>
        </w:tc>
        <w:tc>
          <w:tcPr>
            <w:tcW w:w="993" w:type="dxa"/>
            <w:tcBorders>
              <w:top w:val="single" w:sz="4" w:space="0" w:color="auto"/>
              <w:left w:val="nil"/>
              <w:bottom w:val="single" w:sz="12" w:space="0" w:color="000000" w:themeColor="text1"/>
              <w:right w:val="single" w:sz="4" w:space="0" w:color="FFFFFF"/>
            </w:tcBorders>
            <w:shd w:val="clear" w:color="auto" w:fill="auto"/>
            <w:noWrap/>
            <w:vAlign w:val="center"/>
            <w:hideMark/>
          </w:tcPr>
          <w:p w14:paraId="69200417" w14:textId="2433AA4B" w:rsidR="00664EB0" w:rsidRPr="008906CA" w:rsidRDefault="00664EB0" w:rsidP="00707211">
            <w:pPr>
              <w:jc w:val="cente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SD</w:t>
            </w:r>
            <w:r w:rsidR="008A1EEC" w:rsidRPr="008906CA">
              <w:rPr>
                <w:rFonts w:ascii="Times New Roman" w:eastAsia="新細明體" w:hAnsi="Times New Roman" w:cs="Times New Roman"/>
                <w:color w:val="000000"/>
                <w:kern w:val="0"/>
                <w:szCs w:val="24"/>
              </w:rPr>
              <w:t xml:space="preserve"> </w:t>
            </w:r>
            <w:r w:rsidR="008A1EEC" w:rsidRPr="008906CA">
              <w:rPr>
                <w:rFonts w:ascii="Times New Roman" w:hAnsi="Times New Roman" w:cs="Times New Roman"/>
                <w:szCs w:val="24"/>
              </w:rPr>
              <w:t>(μg/L)</w:t>
            </w:r>
          </w:p>
        </w:tc>
        <w:tc>
          <w:tcPr>
            <w:tcW w:w="1134" w:type="dxa"/>
            <w:tcBorders>
              <w:top w:val="single" w:sz="4" w:space="0" w:color="auto"/>
              <w:left w:val="nil"/>
              <w:bottom w:val="single" w:sz="12" w:space="0" w:color="000000" w:themeColor="text1"/>
              <w:right w:val="single" w:sz="4" w:space="0" w:color="FFFFFF"/>
            </w:tcBorders>
            <w:shd w:val="clear" w:color="auto" w:fill="auto"/>
            <w:noWrap/>
            <w:vAlign w:val="center"/>
            <w:hideMark/>
          </w:tcPr>
          <w:p w14:paraId="0C49E1D7" w14:textId="77777777" w:rsidR="00664EB0" w:rsidRPr="008906CA" w:rsidRDefault="00664EB0" w:rsidP="00707211">
            <w:pPr>
              <w:jc w:val="cente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%CV</w:t>
            </w:r>
          </w:p>
        </w:tc>
        <w:tc>
          <w:tcPr>
            <w:tcW w:w="1559" w:type="dxa"/>
            <w:tcBorders>
              <w:top w:val="single" w:sz="4" w:space="0" w:color="auto"/>
              <w:left w:val="nil"/>
              <w:bottom w:val="single" w:sz="12" w:space="0" w:color="000000" w:themeColor="text1"/>
              <w:right w:val="single" w:sz="4" w:space="0" w:color="FFFFFF"/>
            </w:tcBorders>
            <w:shd w:val="clear" w:color="auto" w:fill="auto"/>
            <w:noWrap/>
            <w:vAlign w:val="center"/>
            <w:hideMark/>
          </w:tcPr>
          <w:p w14:paraId="0969B5C6" w14:textId="77777777" w:rsidR="00664EB0" w:rsidRPr="008906CA" w:rsidRDefault="00664EB0" w:rsidP="002D0662">
            <w:pPr>
              <w:jc w:val="center"/>
              <w:rPr>
                <w:rFonts w:ascii="Times New Roman" w:eastAsia="新細明體" w:hAnsi="Times New Roman" w:cs="Times New Roman"/>
                <w:color w:val="000000"/>
                <w:kern w:val="0"/>
                <w:szCs w:val="24"/>
              </w:rPr>
            </w:pPr>
            <w:r w:rsidRPr="008906CA">
              <w:rPr>
                <w:rFonts w:ascii="Times New Roman" w:eastAsiaTheme="minorEastAsia" w:hAnsi="Times New Roman" w:cs="Times New Roman"/>
                <w:szCs w:val="24"/>
              </w:rPr>
              <w:sym w:font="Symbol" w:char="F0E5"/>
            </w:r>
            <w:r w:rsidRPr="008906CA">
              <w:rPr>
                <w:rFonts w:ascii="Times New Roman" w:eastAsiaTheme="minorEastAsia" w:hAnsi="Times New Roman" w:cs="Times New Roman"/>
                <w:szCs w:val="24"/>
              </w:rPr>
              <w:t>x</w:t>
            </w:r>
          </w:p>
        </w:tc>
        <w:tc>
          <w:tcPr>
            <w:tcW w:w="1701" w:type="dxa"/>
            <w:tcBorders>
              <w:top w:val="single" w:sz="4" w:space="0" w:color="auto"/>
              <w:left w:val="nil"/>
              <w:bottom w:val="single" w:sz="12" w:space="0" w:color="000000" w:themeColor="text1"/>
              <w:right w:val="single" w:sz="4" w:space="0" w:color="FFFFFF"/>
            </w:tcBorders>
            <w:shd w:val="clear" w:color="auto" w:fill="auto"/>
            <w:noWrap/>
            <w:vAlign w:val="center"/>
            <w:hideMark/>
          </w:tcPr>
          <w:p w14:paraId="376F170A" w14:textId="77777777" w:rsidR="00664EB0" w:rsidRPr="008906CA" w:rsidRDefault="00664EB0" w:rsidP="002D0662">
            <w:pPr>
              <w:jc w:val="center"/>
              <w:rPr>
                <w:rFonts w:ascii="Times New Roman" w:eastAsia="新細明體" w:hAnsi="Times New Roman" w:cs="Times New Roman"/>
                <w:color w:val="000000"/>
                <w:kern w:val="0"/>
                <w:szCs w:val="24"/>
              </w:rPr>
            </w:pPr>
            <w:r w:rsidRPr="008906CA">
              <w:rPr>
                <w:rFonts w:ascii="Times New Roman" w:eastAsiaTheme="minorEastAsia" w:hAnsi="Times New Roman" w:cs="Times New Roman"/>
                <w:szCs w:val="24"/>
              </w:rPr>
              <w:sym w:font="Symbol" w:char="F0E5"/>
            </w:r>
            <w:r w:rsidRPr="008906CA">
              <w:rPr>
                <w:rFonts w:ascii="Times New Roman" w:eastAsiaTheme="minorEastAsia" w:hAnsi="Times New Roman" w:cs="Times New Roman"/>
                <w:szCs w:val="24"/>
              </w:rPr>
              <w:t>x</w:t>
            </w:r>
            <w:r w:rsidRPr="008906CA">
              <w:rPr>
                <w:rFonts w:ascii="Times New Roman" w:eastAsiaTheme="minorEastAsia" w:hAnsi="Times New Roman" w:cs="Times New Roman"/>
                <w:szCs w:val="24"/>
                <w:vertAlign w:val="superscript"/>
              </w:rPr>
              <w:t>2</w:t>
            </w:r>
          </w:p>
        </w:tc>
      </w:tr>
      <w:tr w:rsidR="00664EB0" w:rsidRPr="008906CA" w14:paraId="74EE419D" w14:textId="77777777" w:rsidTr="00440DCA">
        <w:trPr>
          <w:trHeight w:val="567"/>
        </w:trPr>
        <w:tc>
          <w:tcPr>
            <w:tcW w:w="1135" w:type="dxa"/>
            <w:tcBorders>
              <w:top w:val="single" w:sz="12" w:space="0" w:color="000000" w:themeColor="text1"/>
              <w:left w:val="single" w:sz="4" w:space="0" w:color="FFFFFF"/>
              <w:bottom w:val="single" w:sz="4" w:space="0" w:color="000000"/>
              <w:right w:val="single" w:sz="4" w:space="0" w:color="FFFFFF"/>
            </w:tcBorders>
            <w:shd w:val="clear" w:color="auto" w:fill="auto"/>
            <w:noWrap/>
            <w:vAlign w:val="center"/>
            <w:hideMark/>
          </w:tcPr>
          <w:p w14:paraId="44381232"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Male</w:t>
            </w:r>
          </w:p>
        </w:tc>
        <w:tc>
          <w:tcPr>
            <w:tcW w:w="567" w:type="dxa"/>
            <w:tcBorders>
              <w:top w:val="single" w:sz="12" w:space="0" w:color="000000" w:themeColor="text1"/>
              <w:left w:val="nil"/>
              <w:bottom w:val="single" w:sz="4" w:space="0" w:color="000000"/>
              <w:right w:val="single" w:sz="4" w:space="0" w:color="FFFFFF"/>
            </w:tcBorders>
            <w:shd w:val="clear" w:color="auto" w:fill="auto"/>
            <w:noWrap/>
            <w:vAlign w:val="center"/>
            <w:hideMark/>
          </w:tcPr>
          <w:p w14:paraId="361EF449"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992" w:type="dxa"/>
            <w:tcBorders>
              <w:top w:val="single" w:sz="12" w:space="0" w:color="000000" w:themeColor="text1"/>
              <w:left w:val="nil"/>
              <w:bottom w:val="single" w:sz="4" w:space="0" w:color="000000"/>
              <w:right w:val="single" w:sz="4" w:space="0" w:color="FFFFFF"/>
            </w:tcBorders>
            <w:shd w:val="clear" w:color="auto" w:fill="auto"/>
            <w:noWrap/>
            <w:vAlign w:val="center"/>
            <w:hideMark/>
          </w:tcPr>
          <w:p w14:paraId="5C8E727A"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850" w:type="dxa"/>
            <w:tcBorders>
              <w:top w:val="single" w:sz="12" w:space="0" w:color="000000" w:themeColor="text1"/>
              <w:left w:val="nil"/>
              <w:bottom w:val="single" w:sz="4" w:space="0" w:color="000000"/>
              <w:right w:val="single" w:sz="4" w:space="0" w:color="FFFFFF"/>
            </w:tcBorders>
            <w:shd w:val="clear" w:color="auto" w:fill="auto"/>
            <w:noWrap/>
            <w:vAlign w:val="center"/>
            <w:hideMark/>
          </w:tcPr>
          <w:p w14:paraId="5FCAA9FB"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993" w:type="dxa"/>
            <w:tcBorders>
              <w:top w:val="single" w:sz="12" w:space="0" w:color="000000" w:themeColor="text1"/>
              <w:left w:val="nil"/>
              <w:bottom w:val="single" w:sz="4" w:space="0" w:color="000000"/>
              <w:right w:val="single" w:sz="4" w:space="0" w:color="FFFFFF"/>
            </w:tcBorders>
            <w:shd w:val="clear" w:color="auto" w:fill="auto"/>
            <w:noWrap/>
            <w:vAlign w:val="center"/>
            <w:hideMark/>
          </w:tcPr>
          <w:p w14:paraId="7CE7DF17"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1134" w:type="dxa"/>
            <w:tcBorders>
              <w:top w:val="single" w:sz="12" w:space="0" w:color="000000" w:themeColor="text1"/>
              <w:left w:val="nil"/>
              <w:bottom w:val="single" w:sz="4" w:space="0" w:color="000000"/>
              <w:right w:val="single" w:sz="4" w:space="0" w:color="FFFFFF"/>
            </w:tcBorders>
            <w:shd w:val="clear" w:color="auto" w:fill="auto"/>
            <w:noWrap/>
            <w:vAlign w:val="center"/>
            <w:hideMark/>
          </w:tcPr>
          <w:p w14:paraId="66667E8C"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1559" w:type="dxa"/>
            <w:tcBorders>
              <w:top w:val="single" w:sz="12" w:space="0" w:color="000000" w:themeColor="text1"/>
              <w:left w:val="nil"/>
              <w:bottom w:val="single" w:sz="4" w:space="0" w:color="000000"/>
              <w:right w:val="single" w:sz="4" w:space="0" w:color="FFFFFF"/>
            </w:tcBorders>
            <w:shd w:val="clear" w:color="auto" w:fill="auto"/>
            <w:noWrap/>
            <w:vAlign w:val="center"/>
            <w:hideMark/>
          </w:tcPr>
          <w:p w14:paraId="0511B12E"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1701" w:type="dxa"/>
            <w:tcBorders>
              <w:top w:val="single" w:sz="12" w:space="0" w:color="000000" w:themeColor="text1"/>
              <w:left w:val="nil"/>
              <w:bottom w:val="single" w:sz="4" w:space="0" w:color="000000"/>
              <w:right w:val="single" w:sz="4" w:space="0" w:color="FFFFFF"/>
            </w:tcBorders>
            <w:shd w:val="clear" w:color="auto" w:fill="auto"/>
            <w:noWrap/>
            <w:vAlign w:val="center"/>
            <w:hideMark/>
          </w:tcPr>
          <w:p w14:paraId="12C6EFE8"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r>
      <w:tr w:rsidR="00664EB0" w:rsidRPr="008906CA" w14:paraId="2E4BE22B" w14:textId="77777777" w:rsidTr="00440DCA">
        <w:trPr>
          <w:trHeight w:val="567"/>
        </w:trPr>
        <w:tc>
          <w:tcPr>
            <w:tcW w:w="1135" w:type="dxa"/>
            <w:tcBorders>
              <w:top w:val="nil"/>
              <w:left w:val="single" w:sz="4" w:space="0" w:color="FFFFFF"/>
              <w:bottom w:val="single" w:sz="4" w:space="0" w:color="FFFFFF"/>
              <w:right w:val="single" w:sz="4" w:space="0" w:color="FFFFFF"/>
            </w:tcBorders>
            <w:shd w:val="clear" w:color="auto" w:fill="auto"/>
            <w:noWrap/>
            <w:vAlign w:val="center"/>
            <w:hideMark/>
          </w:tcPr>
          <w:p w14:paraId="735815EC"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19–44</w:t>
            </w:r>
          </w:p>
        </w:tc>
        <w:tc>
          <w:tcPr>
            <w:tcW w:w="567" w:type="dxa"/>
            <w:tcBorders>
              <w:top w:val="nil"/>
              <w:left w:val="nil"/>
              <w:bottom w:val="single" w:sz="4" w:space="0" w:color="FFFFFF"/>
              <w:right w:val="single" w:sz="4" w:space="0" w:color="FFFFFF"/>
            </w:tcBorders>
            <w:shd w:val="clear" w:color="auto" w:fill="auto"/>
            <w:noWrap/>
            <w:vAlign w:val="center"/>
            <w:hideMark/>
          </w:tcPr>
          <w:p w14:paraId="154E0289"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420</w:t>
            </w:r>
          </w:p>
        </w:tc>
        <w:tc>
          <w:tcPr>
            <w:tcW w:w="992" w:type="dxa"/>
            <w:tcBorders>
              <w:top w:val="nil"/>
              <w:left w:val="nil"/>
              <w:bottom w:val="single" w:sz="4" w:space="0" w:color="FFFFFF"/>
              <w:right w:val="single" w:sz="4" w:space="0" w:color="FFFFFF"/>
            </w:tcBorders>
            <w:shd w:val="clear" w:color="auto" w:fill="auto"/>
            <w:noWrap/>
            <w:vAlign w:val="center"/>
            <w:hideMark/>
          </w:tcPr>
          <w:p w14:paraId="6CC408B9"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176.91</w:t>
            </w:r>
          </w:p>
        </w:tc>
        <w:tc>
          <w:tcPr>
            <w:tcW w:w="850" w:type="dxa"/>
            <w:tcBorders>
              <w:top w:val="nil"/>
              <w:left w:val="nil"/>
              <w:bottom w:val="single" w:sz="4" w:space="0" w:color="FFFFFF"/>
              <w:right w:val="single" w:sz="4" w:space="0" w:color="FFFFFF"/>
            </w:tcBorders>
            <w:shd w:val="clear" w:color="auto" w:fill="auto"/>
            <w:noWrap/>
            <w:vAlign w:val="center"/>
            <w:hideMark/>
          </w:tcPr>
          <w:p w14:paraId="378FA1EF"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5.56</w:t>
            </w:r>
          </w:p>
        </w:tc>
        <w:tc>
          <w:tcPr>
            <w:tcW w:w="993" w:type="dxa"/>
            <w:tcBorders>
              <w:top w:val="nil"/>
              <w:left w:val="nil"/>
              <w:bottom w:val="single" w:sz="4" w:space="0" w:color="FFFFFF"/>
              <w:right w:val="single" w:sz="4" w:space="0" w:color="FFFFFF"/>
            </w:tcBorders>
            <w:shd w:val="clear" w:color="auto" w:fill="auto"/>
            <w:noWrap/>
            <w:vAlign w:val="center"/>
            <w:hideMark/>
          </w:tcPr>
          <w:p w14:paraId="1C442A10"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113.95</w:t>
            </w:r>
          </w:p>
        </w:tc>
        <w:tc>
          <w:tcPr>
            <w:tcW w:w="1134" w:type="dxa"/>
            <w:tcBorders>
              <w:top w:val="nil"/>
              <w:left w:val="nil"/>
              <w:bottom w:val="single" w:sz="4" w:space="0" w:color="FFFFFF"/>
              <w:right w:val="single" w:sz="4" w:space="0" w:color="FFFFFF"/>
            </w:tcBorders>
            <w:shd w:val="clear" w:color="auto" w:fill="auto"/>
            <w:noWrap/>
            <w:vAlign w:val="center"/>
            <w:hideMark/>
          </w:tcPr>
          <w:p w14:paraId="7E0E724A"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64.4091</w:t>
            </w:r>
          </w:p>
        </w:tc>
        <w:tc>
          <w:tcPr>
            <w:tcW w:w="1559" w:type="dxa"/>
            <w:tcBorders>
              <w:top w:val="nil"/>
              <w:left w:val="nil"/>
              <w:bottom w:val="single" w:sz="4" w:space="0" w:color="FFFFFF"/>
              <w:right w:val="single" w:sz="4" w:space="0" w:color="FFFFFF"/>
            </w:tcBorders>
            <w:shd w:val="clear" w:color="auto" w:fill="auto"/>
            <w:noWrap/>
            <w:vAlign w:val="center"/>
            <w:hideMark/>
          </w:tcPr>
          <w:p w14:paraId="0B436FDB"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74302.2000</w:t>
            </w:r>
          </w:p>
        </w:tc>
        <w:tc>
          <w:tcPr>
            <w:tcW w:w="1701" w:type="dxa"/>
            <w:tcBorders>
              <w:top w:val="nil"/>
              <w:left w:val="nil"/>
              <w:bottom w:val="single" w:sz="4" w:space="0" w:color="FFFFFF"/>
              <w:right w:val="single" w:sz="4" w:space="0" w:color="FFFFFF"/>
            </w:tcBorders>
            <w:shd w:val="clear" w:color="auto" w:fill="auto"/>
            <w:noWrap/>
            <w:vAlign w:val="center"/>
            <w:hideMark/>
          </w:tcPr>
          <w:p w14:paraId="3526D87C"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18584977.5300</w:t>
            </w:r>
          </w:p>
        </w:tc>
      </w:tr>
      <w:tr w:rsidR="00664EB0" w:rsidRPr="008906CA" w14:paraId="282E8791" w14:textId="77777777" w:rsidTr="00440DCA">
        <w:trPr>
          <w:trHeight w:val="567"/>
        </w:trPr>
        <w:tc>
          <w:tcPr>
            <w:tcW w:w="1135" w:type="dxa"/>
            <w:tcBorders>
              <w:top w:val="nil"/>
              <w:left w:val="single" w:sz="4" w:space="0" w:color="FFFFFF"/>
              <w:bottom w:val="single" w:sz="4" w:space="0" w:color="FFFFFF"/>
              <w:right w:val="single" w:sz="4" w:space="0" w:color="FFFFFF"/>
            </w:tcBorders>
            <w:shd w:val="clear" w:color="auto" w:fill="auto"/>
            <w:noWrap/>
            <w:vAlign w:val="center"/>
            <w:hideMark/>
          </w:tcPr>
          <w:p w14:paraId="30304C49"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45–64</w:t>
            </w:r>
          </w:p>
        </w:tc>
        <w:tc>
          <w:tcPr>
            <w:tcW w:w="567" w:type="dxa"/>
            <w:tcBorders>
              <w:top w:val="nil"/>
              <w:left w:val="nil"/>
              <w:bottom w:val="single" w:sz="4" w:space="0" w:color="FFFFFF"/>
              <w:right w:val="single" w:sz="4" w:space="0" w:color="FFFFFF"/>
            </w:tcBorders>
            <w:shd w:val="clear" w:color="auto" w:fill="auto"/>
            <w:noWrap/>
            <w:vAlign w:val="center"/>
            <w:hideMark/>
          </w:tcPr>
          <w:p w14:paraId="47EB5CFE"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539</w:t>
            </w:r>
          </w:p>
        </w:tc>
        <w:tc>
          <w:tcPr>
            <w:tcW w:w="992" w:type="dxa"/>
            <w:tcBorders>
              <w:top w:val="nil"/>
              <w:left w:val="nil"/>
              <w:bottom w:val="single" w:sz="4" w:space="0" w:color="FFFFFF"/>
              <w:right w:val="single" w:sz="4" w:space="0" w:color="FFFFFF"/>
            </w:tcBorders>
            <w:shd w:val="clear" w:color="auto" w:fill="auto"/>
            <w:noWrap/>
            <w:vAlign w:val="center"/>
            <w:hideMark/>
          </w:tcPr>
          <w:p w14:paraId="2B5B5943"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179.82</w:t>
            </w:r>
          </w:p>
        </w:tc>
        <w:tc>
          <w:tcPr>
            <w:tcW w:w="850" w:type="dxa"/>
            <w:tcBorders>
              <w:top w:val="nil"/>
              <w:left w:val="nil"/>
              <w:bottom w:val="single" w:sz="4" w:space="0" w:color="FFFFFF"/>
              <w:right w:val="single" w:sz="4" w:space="0" w:color="FFFFFF"/>
            </w:tcBorders>
            <w:shd w:val="clear" w:color="auto" w:fill="auto"/>
            <w:noWrap/>
            <w:vAlign w:val="center"/>
            <w:hideMark/>
          </w:tcPr>
          <w:p w14:paraId="6A7C22C6"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5.40</w:t>
            </w:r>
          </w:p>
        </w:tc>
        <w:tc>
          <w:tcPr>
            <w:tcW w:w="993" w:type="dxa"/>
            <w:tcBorders>
              <w:top w:val="nil"/>
              <w:left w:val="nil"/>
              <w:bottom w:val="single" w:sz="4" w:space="0" w:color="FFFFFF"/>
              <w:right w:val="single" w:sz="4" w:space="0" w:color="FFFFFF"/>
            </w:tcBorders>
            <w:shd w:val="clear" w:color="auto" w:fill="auto"/>
            <w:noWrap/>
            <w:vAlign w:val="center"/>
            <w:hideMark/>
          </w:tcPr>
          <w:p w14:paraId="374EF20D"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125.37</w:t>
            </w:r>
          </w:p>
        </w:tc>
        <w:tc>
          <w:tcPr>
            <w:tcW w:w="1134" w:type="dxa"/>
            <w:tcBorders>
              <w:top w:val="nil"/>
              <w:left w:val="nil"/>
              <w:bottom w:val="single" w:sz="4" w:space="0" w:color="FFFFFF"/>
              <w:right w:val="single" w:sz="4" w:space="0" w:color="FFFFFF"/>
            </w:tcBorders>
            <w:shd w:val="clear" w:color="auto" w:fill="auto"/>
            <w:noWrap/>
            <w:vAlign w:val="center"/>
            <w:hideMark/>
          </w:tcPr>
          <w:p w14:paraId="6AA8BAAE"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69.7188</w:t>
            </w:r>
          </w:p>
        </w:tc>
        <w:tc>
          <w:tcPr>
            <w:tcW w:w="1559" w:type="dxa"/>
            <w:tcBorders>
              <w:top w:val="nil"/>
              <w:left w:val="nil"/>
              <w:bottom w:val="single" w:sz="4" w:space="0" w:color="FFFFFF"/>
              <w:right w:val="single" w:sz="4" w:space="0" w:color="FFFFFF"/>
            </w:tcBorders>
            <w:shd w:val="clear" w:color="auto" w:fill="auto"/>
            <w:noWrap/>
            <w:vAlign w:val="center"/>
            <w:hideMark/>
          </w:tcPr>
          <w:p w14:paraId="660E9CDF"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96922.9800</w:t>
            </w:r>
          </w:p>
        </w:tc>
        <w:tc>
          <w:tcPr>
            <w:tcW w:w="1701" w:type="dxa"/>
            <w:tcBorders>
              <w:top w:val="nil"/>
              <w:left w:val="nil"/>
              <w:bottom w:val="single" w:sz="4" w:space="0" w:color="FFFFFF"/>
              <w:right w:val="single" w:sz="4" w:space="0" w:color="FFFFFF"/>
            </w:tcBorders>
            <w:shd w:val="clear" w:color="auto" w:fill="auto"/>
            <w:noWrap/>
            <w:vAlign w:val="center"/>
            <w:hideMark/>
          </w:tcPr>
          <w:p w14:paraId="59A4F3EC"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25884565.3836</w:t>
            </w:r>
          </w:p>
        </w:tc>
      </w:tr>
      <w:tr w:rsidR="00664EB0" w:rsidRPr="008906CA" w14:paraId="52BA2AAC" w14:textId="77777777" w:rsidTr="00440DCA">
        <w:trPr>
          <w:trHeight w:val="567"/>
        </w:trPr>
        <w:tc>
          <w:tcPr>
            <w:tcW w:w="1135" w:type="dxa"/>
            <w:tcBorders>
              <w:top w:val="nil"/>
              <w:left w:val="single" w:sz="4" w:space="0" w:color="FFFFFF"/>
              <w:bottom w:val="single" w:sz="4" w:space="0" w:color="FFFFFF"/>
              <w:right w:val="single" w:sz="4" w:space="0" w:color="FFFFFF"/>
            </w:tcBorders>
            <w:shd w:val="clear" w:color="auto" w:fill="auto"/>
            <w:noWrap/>
            <w:vAlign w:val="center"/>
            <w:hideMark/>
          </w:tcPr>
          <w:p w14:paraId="1C138F8F"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65–74</w:t>
            </w:r>
          </w:p>
        </w:tc>
        <w:tc>
          <w:tcPr>
            <w:tcW w:w="567" w:type="dxa"/>
            <w:tcBorders>
              <w:top w:val="nil"/>
              <w:left w:val="nil"/>
              <w:bottom w:val="single" w:sz="4" w:space="0" w:color="FFFFFF"/>
              <w:right w:val="single" w:sz="4" w:space="0" w:color="FFFFFF"/>
            </w:tcBorders>
            <w:shd w:val="clear" w:color="auto" w:fill="auto"/>
            <w:noWrap/>
            <w:vAlign w:val="center"/>
            <w:hideMark/>
          </w:tcPr>
          <w:p w14:paraId="3577182C"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323</w:t>
            </w:r>
          </w:p>
        </w:tc>
        <w:tc>
          <w:tcPr>
            <w:tcW w:w="992" w:type="dxa"/>
            <w:tcBorders>
              <w:top w:val="nil"/>
              <w:left w:val="nil"/>
              <w:bottom w:val="single" w:sz="4" w:space="0" w:color="FFFFFF"/>
              <w:right w:val="single" w:sz="4" w:space="0" w:color="FFFFFF"/>
            </w:tcBorders>
            <w:shd w:val="clear" w:color="auto" w:fill="auto"/>
            <w:noWrap/>
            <w:vAlign w:val="center"/>
            <w:hideMark/>
          </w:tcPr>
          <w:p w14:paraId="34E724CE"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193.85</w:t>
            </w:r>
          </w:p>
        </w:tc>
        <w:tc>
          <w:tcPr>
            <w:tcW w:w="850" w:type="dxa"/>
            <w:tcBorders>
              <w:top w:val="nil"/>
              <w:left w:val="nil"/>
              <w:bottom w:val="single" w:sz="4" w:space="0" w:color="FFFFFF"/>
              <w:right w:val="single" w:sz="4" w:space="0" w:color="FFFFFF"/>
            </w:tcBorders>
            <w:shd w:val="clear" w:color="auto" w:fill="auto"/>
            <w:noWrap/>
            <w:vAlign w:val="center"/>
            <w:hideMark/>
          </w:tcPr>
          <w:p w14:paraId="227BBDFE"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11.02</w:t>
            </w:r>
          </w:p>
        </w:tc>
        <w:tc>
          <w:tcPr>
            <w:tcW w:w="993" w:type="dxa"/>
            <w:tcBorders>
              <w:top w:val="nil"/>
              <w:left w:val="nil"/>
              <w:bottom w:val="single" w:sz="4" w:space="0" w:color="FFFFFF"/>
              <w:right w:val="single" w:sz="4" w:space="0" w:color="FFFFFF"/>
            </w:tcBorders>
            <w:shd w:val="clear" w:color="auto" w:fill="auto"/>
            <w:noWrap/>
            <w:vAlign w:val="center"/>
            <w:hideMark/>
          </w:tcPr>
          <w:p w14:paraId="003473DF"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198.05</w:t>
            </w:r>
          </w:p>
        </w:tc>
        <w:tc>
          <w:tcPr>
            <w:tcW w:w="1134" w:type="dxa"/>
            <w:tcBorders>
              <w:top w:val="nil"/>
              <w:left w:val="nil"/>
              <w:bottom w:val="single" w:sz="4" w:space="0" w:color="FFFFFF"/>
              <w:right w:val="single" w:sz="4" w:space="0" w:color="FFFFFF"/>
            </w:tcBorders>
            <w:shd w:val="clear" w:color="auto" w:fill="auto"/>
            <w:noWrap/>
            <w:vAlign w:val="center"/>
            <w:hideMark/>
          </w:tcPr>
          <w:p w14:paraId="774DE722"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102.1685</w:t>
            </w:r>
          </w:p>
        </w:tc>
        <w:tc>
          <w:tcPr>
            <w:tcW w:w="1559" w:type="dxa"/>
            <w:tcBorders>
              <w:top w:val="nil"/>
              <w:left w:val="nil"/>
              <w:bottom w:val="single" w:sz="4" w:space="0" w:color="FFFFFF"/>
              <w:right w:val="single" w:sz="4" w:space="0" w:color="FFFFFF"/>
            </w:tcBorders>
            <w:shd w:val="clear" w:color="auto" w:fill="auto"/>
            <w:noWrap/>
            <w:vAlign w:val="center"/>
            <w:hideMark/>
          </w:tcPr>
          <w:p w14:paraId="02A8FB3E"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62613.5500</w:t>
            </w:r>
          </w:p>
        </w:tc>
        <w:tc>
          <w:tcPr>
            <w:tcW w:w="1701" w:type="dxa"/>
            <w:tcBorders>
              <w:top w:val="nil"/>
              <w:left w:val="nil"/>
              <w:bottom w:val="single" w:sz="4" w:space="0" w:color="FFFFFF"/>
              <w:right w:val="single" w:sz="4" w:space="0" w:color="FFFFFF"/>
            </w:tcBorders>
            <w:shd w:val="clear" w:color="auto" w:fill="auto"/>
            <w:noWrap/>
            <w:vAlign w:val="center"/>
            <w:hideMark/>
          </w:tcPr>
          <w:p w14:paraId="27BB2D00"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24768166.9099</w:t>
            </w:r>
          </w:p>
        </w:tc>
      </w:tr>
      <w:tr w:rsidR="00664EB0" w:rsidRPr="008906CA" w14:paraId="429A4379" w14:textId="77777777" w:rsidTr="00440DCA">
        <w:trPr>
          <w:trHeight w:val="567"/>
        </w:trPr>
        <w:tc>
          <w:tcPr>
            <w:tcW w:w="1135" w:type="dxa"/>
            <w:tcBorders>
              <w:top w:val="nil"/>
              <w:left w:val="single" w:sz="4" w:space="0" w:color="FFFFFF"/>
              <w:bottom w:val="single" w:sz="4" w:space="0" w:color="FFFFFF"/>
              <w:right w:val="single" w:sz="4" w:space="0" w:color="FFFFFF"/>
            </w:tcBorders>
            <w:shd w:val="clear" w:color="auto" w:fill="auto"/>
            <w:noWrap/>
            <w:vAlign w:val="center"/>
            <w:hideMark/>
          </w:tcPr>
          <w:p w14:paraId="4B03F8E0"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&gt;74</w:t>
            </w:r>
          </w:p>
        </w:tc>
        <w:tc>
          <w:tcPr>
            <w:tcW w:w="567" w:type="dxa"/>
            <w:tcBorders>
              <w:top w:val="nil"/>
              <w:left w:val="nil"/>
              <w:bottom w:val="single" w:sz="4" w:space="0" w:color="FFFFFF"/>
              <w:right w:val="single" w:sz="4" w:space="0" w:color="FFFFFF"/>
            </w:tcBorders>
            <w:shd w:val="clear" w:color="auto" w:fill="auto"/>
            <w:noWrap/>
            <w:vAlign w:val="center"/>
            <w:hideMark/>
          </w:tcPr>
          <w:p w14:paraId="726F94E5"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214</w:t>
            </w:r>
          </w:p>
        </w:tc>
        <w:tc>
          <w:tcPr>
            <w:tcW w:w="992" w:type="dxa"/>
            <w:tcBorders>
              <w:top w:val="nil"/>
              <w:left w:val="nil"/>
              <w:bottom w:val="single" w:sz="4" w:space="0" w:color="FFFFFF"/>
              <w:right w:val="single" w:sz="4" w:space="0" w:color="FFFFFF"/>
            </w:tcBorders>
            <w:shd w:val="clear" w:color="auto" w:fill="auto"/>
            <w:noWrap/>
            <w:vAlign w:val="center"/>
            <w:hideMark/>
          </w:tcPr>
          <w:p w14:paraId="3DB00822"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183.12</w:t>
            </w:r>
          </w:p>
        </w:tc>
        <w:tc>
          <w:tcPr>
            <w:tcW w:w="850" w:type="dxa"/>
            <w:tcBorders>
              <w:top w:val="nil"/>
              <w:left w:val="nil"/>
              <w:bottom w:val="single" w:sz="4" w:space="0" w:color="FFFFFF"/>
              <w:right w:val="single" w:sz="4" w:space="0" w:color="FFFFFF"/>
            </w:tcBorders>
            <w:shd w:val="clear" w:color="auto" w:fill="auto"/>
            <w:noWrap/>
            <w:vAlign w:val="center"/>
            <w:hideMark/>
          </w:tcPr>
          <w:p w14:paraId="2534CC68"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9.01</w:t>
            </w:r>
          </w:p>
        </w:tc>
        <w:tc>
          <w:tcPr>
            <w:tcW w:w="993" w:type="dxa"/>
            <w:tcBorders>
              <w:top w:val="nil"/>
              <w:left w:val="nil"/>
              <w:bottom w:val="single" w:sz="4" w:space="0" w:color="FFFFFF"/>
              <w:right w:val="single" w:sz="4" w:space="0" w:color="FFFFFF"/>
            </w:tcBorders>
            <w:shd w:val="clear" w:color="auto" w:fill="auto"/>
            <w:noWrap/>
            <w:vAlign w:val="center"/>
            <w:hideMark/>
          </w:tcPr>
          <w:p w14:paraId="75927344"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131.80</w:t>
            </w:r>
          </w:p>
        </w:tc>
        <w:tc>
          <w:tcPr>
            <w:tcW w:w="1134" w:type="dxa"/>
            <w:tcBorders>
              <w:top w:val="nil"/>
              <w:left w:val="nil"/>
              <w:bottom w:val="single" w:sz="4" w:space="0" w:color="FFFFFF"/>
              <w:right w:val="single" w:sz="4" w:space="0" w:color="FFFFFF"/>
            </w:tcBorders>
            <w:shd w:val="clear" w:color="auto" w:fill="auto"/>
            <w:noWrap/>
            <w:vAlign w:val="center"/>
            <w:hideMark/>
          </w:tcPr>
          <w:p w14:paraId="0E5CEE78"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71.9774</w:t>
            </w:r>
          </w:p>
        </w:tc>
        <w:tc>
          <w:tcPr>
            <w:tcW w:w="1559" w:type="dxa"/>
            <w:tcBorders>
              <w:top w:val="nil"/>
              <w:left w:val="nil"/>
              <w:bottom w:val="single" w:sz="4" w:space="0" w:color="FFFFFF"/>
              <w:right w:val="single" w:sz="4" w:space="0" w:color="FFFFFF"/>
            </w:tcBorders>
            <w:shd w:val="clear" w:color="auto" w:fill="auto"/>
            <w:noWrap/>
            <w:vAlign w:val="center"/>
            <w:hideMark/>
          </w:tcPr>
          <w:p w14:paraId="1E352153"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39187.6800</w:t>
            </w:r>
          </w:p>
        </w:tc>
        <w:tc>
          <w:tcPr>
            <w:tcW w:w="1701" w:type="dxa"/>
            <w:tcBorders>
              <w:top w:val="nil"/>
              <w:left w:val="nil"/>
              <w:bottom w:val="single" w:sz="4" w:space="0" w:color="FFFFFF"/>
              <w:right w:val="single" w:sz="4" w:space="0" w:color="FFFFFF"/>
            </w:tcBorders>
            <w:shd w:val="clear" w:color="auto" w:fill="auto"/>
            <w:noWrap/>
            <w:vAlign w:val="center"/>
            <w:hideMark/>
          </w:tcPr>
          <w:p w14:paraId="774C3BAD"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10876399.2798</w:t>
            </w:r>
          </w:p>
        </w:tc>
      </w:tr>
      <w:tr w:rsidR="00664EB0" w:rsidRPr="008906CA" w14:paraId="67A5612E" w14:textId="77777777" w:rsidTr="00440DCA">
        <w:trPr>
          <w:trHeight w:val="567"/>
        </w:trPr>
        <w:tc>
          <w:tcPr>
            <w:tcW w:w="1135" w:type="dxa"/>
            <w:tcBorders>
              <w:top w:val="nil"/>
              <w:left w:val="single" w:sz="4" w:space="0" w:color="FFFFFF"/>
              <w:bottom w:val="single" w:sz="4" w:space="0" w:color="auto"/>
              <w:right w:val="single" w:sz="4" w:space="0" w:color="FFFFFF"/>
            </w:tcBorders>
            <w:shd w:val="clear" w:color="auto" w:fill="auto"/>
            <w:noWrap/>
            <w:vAlign w:val="center"/>
            <w:hideMark/>
          </w:tcPr>
          <w:p w14:paraId="331B5AE4" w14:textId="77777777" w:rsidR="00664EB0" w:rsidRPr="008906CA" w:rsidRDefault="00664EB0" w:rsidP="002D0662">
            <w:pPr>
              <w:jc w:val="both"/>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All </w:t>
            </w:r>
            <w:r w:rsidRPr="008906CA">
              <w:rPr>
                <w:rFonts w:ascii="Times New Roman" w:eastAsia="新細明體" w:hAnsi="Times New Roman" w:cs="Times New Roman"/>
                <w:color w:val="000000"/>
                <w:kern w:val="0"/>
                <w:szCs w:val="24"/>
              </w:rPr>
              <w:sym w:font="Symbol" w:char="F0B3"/>
            </w:r>
            <w:r w:rsidRPr="008906CA">
              <w:rPr>
                <w:rFonts w:ascii="Times New Roman" w:eastAsia="新細明體" w:hAnsi="Times New Roman" w:cs="Times New Roman"/>
                <w:color w:val="000000"/>
                <w:kern w:val="0"/>
                <w:szCs w:val="24"/>
              </w:rPr>
              <w:t xml:space="preserve"> 19</w:t>
            </w:r>
          </w:p>
        </w:tc>
        <w:tc>
          <w:tcPr>
            <w:tcW w:w="567" w:type="dxa"/>
            <w:tcBorders>
              <w:top w:val="nil"/>
              <w:left w:val="nil"/>
              <w:bottom w:val="single" w:sz="4" w:space="0" w:color="auto"/>
              <w:right w:val="single" w:sz="4" w:space="0" w:color="FFFFFF"/>
            </w:tcBorders>
            <w:shd w:val="clear" w:color="auto" w:fill="auto"/>
            <w:noWrap/>
            <w:vAlign w:val="center"/>
            <w:hideMark/>
          </w:tcPr>
          <w:p w14:paraId="3B7A9FD1"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1496</w:t>
            </w:r>
          </w:p>
        </w:tc>
        <w:tc>
          <w:tcPr>
            <w:tcW w:w="992" w:type="dxa"/>
            <w:tcBorders>
              <w:top w:val="nil"/>
              <w:left w:val="nil"/>
              <w:bottom w:val="single" w:sz="4" w:space="0" w:color="auto"/>
              <w:right w:val="single" w:sz="4" w:space="0" w:color="FFFFFF"/>
            </w:tcBorders>
            <w:shd w:val="clear" w:color="auto" w:fill="auto"/>
            <w:noWrap/>
            <w:vAlign w:val="center"/>
            <w:hideMark/>
          </w:tcPr>
          <w:p w14:paraId="6A51D73C"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182.50</w:t>
            </w:r>
          </w:p>
        </w:tc>
        <w:tc>
          <w:tcPr>
            <w:tcW w:w="850" w:type="dxa"/>
            <w:tcBorders>
              <w:top w:val="nil"/>
              <w:left w:val="nil"/>
              <w:bottom w:val="single" w:sz="4" w:space="0" w:color="auto"/>
              <w:right w:val="single" w:sz="4" w:space="0" w:color="FFFFFF"/>
            </w:tcBorders>
            <w:shd w:val="clear" w:color="auto" w:fill="auto"/>
            <w:noWrap/>
            <w:vAlign w:val="center"/>
            <w:hideMark/>
          </w:tcPr>
          <w:p w14:paraId="60BB0F7B"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3.68</w:t>
            </w:r>
          </w:p>
        </w:tc>
        <w:tc>
          <w:tcPr>
            <w:tcW w:w="993" w:type="dxa"/>
            <w:tcBorders>
              <w:top w:val="nil"/>
              <w:left w:val="nil"/>
              <w:bottom w:val="single" w:sz="4" w:space="0" w:color="auto"/>
              <w:right w:val="single" w:sz="4" w:space="0" w:color="FFFFFF"/>
            </w:tcBorders>
            <w:shd w:val="clear" w:color="auto" w:fill="auto"/>
            <w:noWrap/>
            <w:vAlign w:val="center"/>
            <w:hideMark/>
          </w:tcPr>
          <w:p w14:paraId="034DD71A"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142.33</w:t>
            </w:r>
          </w:p>
        </w:tc>
        <w:tc>
          <w:tcPr>
            <w:tcW w:w="1134" w:type="dxa"/>
            <w:tcBorders>
              <w:top w:val="nil"/>
              <w:left w:val="nil"/>
              <w:bottom w:val="single" w:sz="4" w:space="0" w:color="auto"/>
              <w:right w:val="single" w:sz="4" w:space="0" w:color="FFFFFF"/>
            </w:tcBorders>
            <w:shd w:val="clear" w:color="auto" w:fill="auto"/>
            <w:noWrap/>
            <w:vAlign w:val="center"/>
            <w:hideMark/>
          </w:tcPr>
          <w:p w14:paraId="5C41A5C2"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77.9874</w:t>
            </w:r>
          </w:p>
        </w:tc>
        <w:tc>
          <w:tcPr>
            <w:tcW w:w="1559" w:type="dxa"/>
            <w:tcBorders>
              <w:top w:val="nil"/>
              <w:left w:val="nil"/>
              <w:bottom w:val="single" w:sz="4" w:space="0" w:color="auto"/>
              <w:right w:val="single" w:sz="4" w:space="0" w:color="FFFFFF"/>
            </w:tcBorders>
            <w:shd w:val="clear" w:color="auto" w:fill="auto"/>
            <w:noWrap/>
            <w:vAlign w:val="center"/>
            <w:hideMark/>
          </w:tcPr>
          <w:p w14:paraId="5D80EEDA"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273026.4100</w:t>
            </w:r>
          </w:p>
        </w:tc>
        <w:tc>
          <w:tcPr>
            <w:tcW w:w="1701" w:type="dxa"/>
            <w:tcBorders>
              <w:top w:val="nil"/>
              <w:left w:val="nil"/>
              <w:bottom w:val="single" w:sz="4" w:space="0" w:color="auto"/>
              <w:right w:val="single" w:sz="4" w:space="0" w:color="FFFFFF"/>
            </w:tcBorders>
            <w:shd w:val="clear" w:color="auto" w:fill="auto"/>
            <w:noWrap/>
            <w:vAlign w:val="center"/>
            <w:hideMark/>
          </w:tcPr>
          <w:p w14:paraId="3657F6D7"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80114109.1033</w:t>
            </w:r>
          </w:p>
        </w:tc>
      </w:tr>
      <w:tr w:rsidR="00664EB0" w:rsidRPr="008906CA" w14:paraId="1322340F" w14:textId="77777777" w:rsidTr="00440DCA">
        <w:trPr>
          <w:trHeight w:val="567"/>
        </w:trPr>
        <w:tc>
          <w:tcPr>
            <w:tcW w:w="1135" w:type="dxa"/>
            <w:tcBorders>
              <w:top w:val="nil"/>
              <w:left w:val="single" w:sz="4" w:space="0" w:color="FFFFFF"/>
              <w:bottom w:val="single" w:sz="4" w:space="0" w:color="auto"/>
              <w:right w:val="single" w:sz="4" w:space="0" w:color="FFFFFF"/>
            </w:tcBorders>
            <w:shd w:val="clear" w:color="auto" w:fill="auto"/>
            <w:noWrap/>
            <w:vAlign w:val="center"/>
            <w:hideMark/>
          </w:tcPr>
          <w:p w14:paraId="4E8E2210"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Female</w:t>
            </w:r>
          </w:p>
        </w:tc>
        <w:tc>
          <w:tcPr>
            <w:tcW w:w="567" w:type="dxa"/>
            <w:tcBorders>
              <w:top w:val="nil"/>
              <w:left w:val="nil"/>
              <w:bottom w:val="single" w:sz="4" w:space="0" w:color="auto"/>
              <w:right w:val="single" w:sz="4" w:space="0" w:color="FFFFFF"/>
            </w:tcBorders>
            <w:shd w:val="clear" w:color="auto" w:fill="auto"/>
            <w:noWrap/>
            <w:vAlign w:val="center"/>
            <w:hideMark/>
          </w:tcPr>
          <w:p w14:paraId="3DBD9F6C"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992" w:type="dxa"/>
            <w:tcBorders>
              <w:top w:val="nil"/>
              <w:left w:val="nil"/>
              <w:bottom w:val="single" w:sz="4" w:space="0" w:color="auto"/>
              <w:right w:val="single" w:sz="4" w:space="0" w:color="FFFFFF"/>
            </w:tcBorders>
            <w:shd w:val="clear" w:color="auto" w:fill="auto"/>
            <w:noWrap/>
            <w:vAlign w:val="center"/>
            <w:hideMark/>
          </w:tcPr>
          <w:p w14:paraId="2E99C362"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850" w:type="dxa"/>
            <w:tcBorders>
              <w:top w:val="nil"/>
              <w:left w:val="nil"/>
              <w:bottom w:val="single" w:sz="4" w:space="0" w:color="auto"/>
              <w:right w:val="single" w:sz="4" w:space="0" w:color="FFFFFF"/>
            </w:tcBorders>
            <w:shd w:val="clear" w:color="auto" w:fill="auto"/>
            <w:noWrap/>
            <w:vAlign w:val="center"/>
            <w:hideMark/>
          </w:tcPr>
          <w:p w14:paraId="5BE95593"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993" w:type="dxa"/>
            <w:tcBorders>
              <w:top w:val="nil"/>
              <w:left w:val="nil"/>
              <w:bottom w:val="single" w:sz="4" w:space="0" w:color="auto"/>
              <w:right w:val="single" w:sz="4" w:space="0" w:color="FFFFFF"/>
            </w:tcBorders>
            <w:shd w:val="clear" w:color="auto" w:fill="auto"/>
            <w:noWrap/>
            <w:vAlign w:val="center"/>
            <w:hideMark/>
          </w:tcPr>
          <w:p w14:paraId="2184D37A"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1134" w:type="dxa"/>
            <w:tcBorders>
              <w:top w:val="nil"/>
              <w:left w:val="nil"/>
              <w:bottom w:val="single" w:sz="4" w:space="0" w:color="auto"/>
              <w:right w:val="single" w:sz="4" w:space="0" w:color="FFFFFF"/>
            </w:tcBorders>
            <w:shd w:val="clear" w:color="auto" w:fill="auto"/>
            <w:noWrap/>
            <w:vAlign w:val="center"/>
            <w:hideMark/>
          </w:tcPr>
          <w:p w14:paraId="7FB1B872"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1559" w:type="dxa"/>
            <w:tcBorders>
              <w:top w:val="nil"/>
              <w:left w:val="nil"/>
              <w:bottom w:val="single" w:sz="4" w:space="0" w:color="auto"/>
              <w:right w:val="single" w:sz="4" w:space="0" w:color="FFFFFF"/>
            </w:tcBorders>
            <w:shd w:val="clear" w:color="auto" w:fill="auto"/>
            <w:noWrap/>
            <w:vAlign w:val="center"/>
            <w:hideMark/>
          </w:tcPr>
          <w:p w14:paraId="5FFDF868"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1701" w:type="dxa"/>
            <w:tcBorders>
              <w:top w:val="nil"/>
              <w:left w:val="nil"/>
              <w:bottom w:val="single" w:sz="4" w:space="0" w:color="auto"/>
              <w:right w:val="single" w:sz="4" w:space="0" w:color="FFFFFF"/>
            </w:tcBorders>
            <w:shd w:val="clear" w:color="auto" w:fill="auto"/>
            <w:noWrap/>
            <w:vAlign w:val="center"/>
            <w:hideMark/>
          </w:tcPr>
          <w:p w14:paraId="2D2F8586"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r>
      <w:tr w:rsidR="00664EB0" w:rsidRPr="008906CA" w14:paraId="68A81BE1" w14:textId="77777777" w:rsidTr="00440DCA">
        <w:trPr>
          <w:trHeight w:val="567"/>
        </w:trPr>
        <w:tc>
          <w:tcPr>
            <w:tcW w:w="1135" w:type="dxa"/>
            <w:tcBorders>
              <w:top w:val="nil"/>
              <w:left w:val="single" w:sz="4" w:space="0" w:color="FFFFFF"/>
              <w:bottom w:val="single" w:sz="4" w:space="0" w:color="FFFFFF"/>
              <w:right w:val="single" w:sz="4" w:space="0" w:color="FFFFFF"/>
            </w:tcBorders>
            <w:shd w:val="clear" w:color="auto" w:fill="auto"/>
            <w:noWrap/>
            <w:vAlign w:val="center"/>
            <w:hideMark/>
          </w:tcPr>
          <w:p w14:paraId="2233D6C7"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19–44</w:t>
            </w:r>
          </w:p>
        </w:tc>
        <w:tc>
          <w:tcPr>
            <w:tcW w:w="567" w:type="dxa"/>
            <w:tcBorders>
              <w:top w:val="nil"/>
              <w:left w:val="nil"/>
              <w:bottom w:val="single" w:sz="4" w:space="0" w:color="FFFFFF"/>
              <w:right w:val="single" w:sz="4" w:space="0" w:color="FFFFFF"/>
            </w:tcBorders>
            <w:shd w:val="clear" w:color="auto" w:fill="auto"/>
            <w:noWrap/>
            <w:vAlign w:val="center"/>
            <w:hideMark/>
          </w:tcPr>
          <w:p w14:paraId="39C35407"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487</w:t>
            </w:r>
          </w:p>
        </w:tc>
        <w:tc>
          <w:tcPr>
            <w:tcW w:w="992" w:type="dxa"/>
            <w:tcBorders>
              <w:top w:val="nil"/>
              <w:left w:val="nil"/>
              <w:bottom w:val="single" w:sz="4" w:space="0" w:color="FFFFFF"/>
              <w:right w:val="single" w:sz="4" w:space="0" w:color="FFFFFF"/>
            </w:tcBorders>
            <w:shd w:val="clear" w:color="auto" w:fill="auto"/>
            <w:noWrap/>
            <w:vAlign w:val="center"/>
            <w:hideMark/>
          </w:tcPr>
          <w:p w14:paraId="157B722D"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171.83</w:t>
            </w:r>
          </w:p>
        </w:tc>
        <w:tc>
          <w:tcPr>
            <w:tcW w:w="850" w:type="dxa"/>
            <w:tcBorders>
              <w:top w:val="nil"/>
              <w:left w:val="nil"/>
              <w:bottom w:val="single" w:sz="4" w:space="0" w:color="FFFFFF"/>
              <w:right w:val="single" w:sz="4" w:space="0" w:color="FFFFFF"/>
            </w:tcBorders>
            <w:shd w:val="clear" w:color="auto" w:fill="auto"/>
            <w:noWrap/>
            <w:vAlign w:val="center"/>
            <w:hideMark/>
          </w:tcPr>
          <w:p w14:paraId="3BD7F5D3"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7.70</w:t>
            </w:r>
          </w:p>
        </w:tc>
        <w:tc>
          <w:tcPr>
            <w:tcW w:w="993" w:type="dxa"/>
            <w:tcBorders>
              <w:top w:val="nil"/>
              <w:left w:val="nil"/>
              <w:bottom w:val="single" w:sz="4" w:space="0" w:color="FFFFFF"/>
              <w:right w:val="single" w:sz="4" w:space="0" w:color="FFFFFF"/>
            </w:tcBorders>
            <w:shd w:val="clear" w:color="auto" w:fill="auto"/>
            <w:noWrap/>
            <w:vAlign w:val="center"/>
            <w:hideMark/>
          </w:tcPr>
          <w:p w14:paraId="66FE7272"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169.92</w:t>
            </w:r>
          </w:p>
        </w:tc>
        <w:tc>
          <w:tcPr>
            <w:tcW w:w="1134" w:type="dxa"/>
            <w:tcBorders>
              <w:top w:val="nil"/>
              <w:left w:val="nil"/>
              <w:bottom w:val="single" w:sz="4" w:space="0" w:color="FFFFFF"/>
              <w:right w:val="single" w:sz="4" w:space="0" w:color="FFFFFF"/>
            </w:tcBorders>
            <w:shd w:val="clear" w:color="auto" w:fill="auto"/>
            <w:noWrap/>
            <w:vAlign w:val="center"/>
            <w:hideMark/>
          </w:tcPr>
          <w:p w14:paraId="4A79749A"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98.8909</w:t>
            </w:r>
          </w:p>
        </w:tc>
        <w:tc>
          <w:tcPr>
            <w:tcW w:w="1559" w:type="dxa"/>
            <w:tcBorders>
              <w:top w:val="nil"/>
              <w:left w:val="nil"/>
              <w:bottom w:val="single" w:sz="4" w:space="0" w:color="FFFFFF"/>
              <w:right w:val="single" w:sz="4" w:space="0" w:color="FFFFFF"/>
            </w:tcBorders>
            <w:shd w:val="clear" w:color="auto" w:fill="auto"/>
            <w:noWrap/>
            <w:vAlign w:val="center"/>
            <w:hideMark/>
          </w:tcPr>
          <w:p w14:paraId="307B1515"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83681.2100</w:t>
            </w:r>
          </w:p>
        </w:tc>
        <w:tc>
          <w:tcPr>
            <w:tcW w:w="1701" w:type="dxa"/>
            <w:tcBorders>
              <w:top w:val="nil"/>
              <w:left w:val="nil"/>
              <w:bottom w:val="single" w:sz="4" w:space="0" w:color="FFFFFF"/>
              <w:right w:val="single" w:sz="4" w:space="0" w:color="FFFFFF"/>
            </w:tcBorders>
            <w:shd w:val="clear" w:color="auto" w:fill="auto"/>
            <w:noWrap/>
            <w:vAlign w:val="center"/>
            <w:hideMark/>
          </w:tcPr>
          <w:p w14:paraId="7CE497FF"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28411818.0943</w:t>
            </w:r>
          </w:p>
        </w:tc>
      </w:tr>
      <w:tr w:rsidR="00664EB0" w:rsidRPr="008906CA" w14:paraId="77F9F06F" w14:textId="77777777" w:rsidTr="00440DCA">
        <w:trPr>
          <w:trHeight w:val="567"/>
        </w:trPr>
        <w:tc>
          <w:tcPr>
            <w:tcW w:w="1135" w:type="dxa"/>
            <w:tcBorders>
              <w:top w:val="nil"/>
              <w:left w:val="single" w:sz="4" w:space="0" w:color="FFFFFF"/>
              <w:bottom w:val="single" w:sz="4" w:space="0" w:color="FFFFFF"/>
              <w:right w:val="single" w:sz="4" w:space="0" w:color="FFFFFF"/>
            </w:tcBorders>
            <w:shd w:val="clear" w:color="auto" w:fill="auto"/>
            <w:noWrap/>
            <w:vAlign w:val="center"/>
            <w:hideMark/>
          </w:tcPr>
          <w:p w14:paraId="14426587"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45–64</w:t>
            </w:r>
          </w:p>
        </w:tc>
        <w:tc>
          <w:tcPr>
            <w:tcW w:w="567" w:type="dxa"/>
            <w:tcBorders>
              <w:top w:val="nil"/>
              <w:left w:val="nil"/>
              <w:bottom w:val="single" w:sz="4" w:space="0" w:color="FFFFFF"/>
              <w:right w:val="single" w:sz="4" w:space="0" w:color="FFFFFF"/>
            </w:tcBorders>
            <w:shd w:val="clear" w:color="auto" w:fill="auto"/>
            <w:noWrap/>
            <w:vAlign w:val="center"/>
            <w:hideMark/>
          </w:tcPr>
          <w:p w14:paraId="523D96E7"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573</w:t>
            </w:r>
          </w:p>
        </w:tc>
        <w:tc>
          <w:tcPr>
            <w:tcW w:w="992" w:type="dxa"/>
            <w:tcBorders>
              <w:top w:val="nil"/>
              <w:left w:val="nil"/>
              <w:bottom w:val="single" w:sz="4" w:space="0" w:color="FFFFFF"/>
              <w:right w:val="single" w:sz="4" w:space="0" w:color="FFFFFF"/>
            </w:tcBorders>
            <w:shd w:val="clear" w:color="auto" w:fill="auto"/>
            <w:noWrap/>
            <w:vAlign w:val="center"/>
            <w:hideMark/>
          </w:tcPr>
          <w:p w14:paraId="1FD2F1DD"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178.48</w:t>
            </w:r>
          </w:p>
        </w:tc>
        <w:tc>
          <w:tcPr>
            <w:tcW w:w="850" w:type="dxa"/>
            <w:tcBorders>
              <w:top w:val="nil"/>
              <w:left w:val="nil"/>
              <w:bottom w:val="single" w:sz="4" w:space="0" w:color="FFFFFF"/>
              <w:right w:val="single" w:sz="4" w:space="0" w:color="FFFFFF"/>
            </w:tcBorders>
            <w:shd w:val="clear" w:color="auto" w:fill="auto"/>
            <w:noWrap/>
            <w:vAlign w:val="center"/>
            <w:hideMark/>
          </w:tcPr>
          <w:p w14:paraId="7A956BDF"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6.45</w:t>
            </w:r>
          </w:p>
        </w:tc>
        <w:tc>
          <w:tcPr>
            <w:tcW w:w="993" w:type="dxa"/>
            <w:tcBorders>
              <w:top w:val="nil"/>
              <w:left w:val="nil"/>
              <w:bottom w:val="single" w:sz="4" w:space="0" w:color="FFFFFF"/>
              <w:right w:val="single" w:sz="4" w:space="0" w:color="FFFFFF"/>
            </w:tcBorders>
            <w:shd w:val="clear" w:color="auto" w:fill="auto"/>
            <w:noWrap/>
            <w:vAlign w:val="center"/>
            <w:hideMark/>
          </w:tcPr>
          <w:p w14:paraId="515839E1"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154.40</w:t>
            </w:r>
          </w:p>
        </w:tc>
        <w:tc>
          <w:tcPr>
            <w:tcW w:w="1134" w:type="dxa"/>
            <w:tcBorders>
              <w:top w:val="nil"/>
              <w:left w:val="nil"/>
              <w:bottom w:val="single" w:sz="4" w:space="0" w:color="FFFFFF"/>
              <w:right w:val="single" w:sz="4" w:space="0" w:color="FFFFFF"/>
            </w:tcBorders>
            <w:shd w:val="clear" w:color="auto" w:fill="auto"/>
            <w:noWrap/>
            <w:vAlign w:val="center"/>
            <w:hideMark/>
          </w:tcPr>
          <w:p w14:paraId="40B14DEC"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86.5062</w:t>
            </w:r>
          </w:p>
        </w:tc>
        <w:tc>
          <w:tcPr>
            <w:tcW w:w="1559" w:type="dxa"/>
            <w:tcBorders>
              <w:top w:val="nil"/>
              <w:left w:val="nil"/>
              <w:bottom w:val="single" w:sz="4" w:space="0" w:color="FFFFFF"/>
              <w:right w:val="single" w:sz="4" w:space="0" w:color="FFFFFF"/>
            </w:tcBorders>
            <w:shd w:val="clear" w:color="auto" w:fill="auto"/>
            <w:noWrap/>
            <w:vAlign w:val="center"/>
            <w:hideMark/>
          </w:tcPr>
          <w:p w14:paraId="6D0720C3"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102269.0400</w:t>
            </w:r>
          </w:p>
        </w:tc>
        <w:tc>
          <w:tcPr>
            <w:tcW w:w="1701" w:type="dxa"/>
            <w:tcBorders>
              <w:top w:val="nil"/>
              <w:left w:val="nil"/>
              <w:bottom w:val="single" w:sz="4" w:space="0" w:color="FFFFFF"/>
              <w:right w:val="single" w:sz="4" w:space="0" w:color="FFFFFF"/>
            </w:tcBorders>
            <w:shd w:val="clear" w:color="auto" w:fill="auto"/>
            <w:noWrap/>
            <w:vAlign w:val="center"/>
            <w:hideMark/>
          </w:tcPr>
          <w:p w14:paraId="4580C45D"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31888447.2492</w:t>
            </w:r>
          </w:p>
        </w:tc>
      </w:tr>
      <w:tr w:rsidR="00664EB0" w:rsidRPr="008906CA" w14:paraId="5EA8F1F9" w14:textId="77777777" w:rsidTr="00440DCA">
        <w:trPr>
          <w:trHeight w:val="567"/>
        </w:trPr>
        <w:tc>
          <w:tcPr>
            <w:tcW w:w="1135" w:type="dxa"/>
            <w:tcBorders>
              <w:top w:val="nil"/>
              <w:left w:val="single" w:sz="4" w:space="0" w:color="FFFFFF"/>
              <w:bottom w:val="single" w:sz="4" w:space="0" w:color="FFFFFF"/>
              <w:right w:val="single" w:sz="4" w:space="0" w:color="FFFFFF"/>
            </w:tcBorders>
            <w:shd w:val="clear" w:color="auto" w:fill="auto"/>
            <w:noWrap/>
            <w:vAlign w:val="center"/>
            <w:hideMark/>
          </w:tcPr>
          <w:p w14:paraId="4A89CB8F"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65–74</w:t>
            </w:r>
          </w:p>
        </w:tc>
        <w:tc>
          <w:tcPr>
            <w:tcW w:w="567" w:type="dxa"/>
            <w:tcBorders>
              <w:top w:val="nil"/>
              <w:left w:val="nil"/>
              <w:bottom w:val="single" w:sz="4" w:space="0" w:color="FFFFFF"/>
              <w:right w:val="single" w:sz="4" w:space="0" w:color="FFFFFF"/>
            </w:tcBorders>
            <w:shd w:val="clear" w:color="auto" w:fill="auto"/>
            <w:noWrap/>
            <w:vAlign w:val="center"/>
            <w:hideMark/>
          </w:tcPr>
          <w:p w14:paraId="235302E5"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318</w:t>
            </w:r>
          </w:p>
        </w:tc>
        <w:tc>
          <w:tcPr>
            <w:tcW w:w="992" w:type="dxa"/>
            <w:tcBorders>
              <w:top w:val="nil"/>
              <w:left w:val="nil"/>
              <w:bottom w:val="single" w:sz="4" w:space="0" w:color="FFFFFF"/>
              <w:right w:val="single" w:sz="4" w:space="0" w:color="FFFFFF"/>
            </w:tcBorders>
            <w:shd w:val="clear" w:color="auto" w:fill="auto"/>
            <w:noWrap/>
            <w:vAlign w:val="center"/>
            <w:hideMark/>
          </w:tcPr>
          <w:p w14:paraId="42A2CBC8"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209.74</w:t>
            </w:r>
          </w:p>
        </w:tc>
        <w:tc>
          <w:tcPr>
            <w:tcW w:w="850" w:type="dxa"/>
            <w:tcBorders>
              <w:top w:val="nil"/>
              <w:left w:val="nil"/>
              <w:bottom w:val="single" w:sz="4" w:space="0" w:color="FFFFFF"/>
              <w:right w:val="single" w:sz="4" w:space="0" w:color="FFFFFF"/>
            </w:tcBorders>
            <w:shd w:val="clear" w:color="auto" w:fill="auto"/>
            <w:noWrap/>
            <w:vAlign w:val="center"/>
            <w:hideMark/>
          </w:tcPr>
          <w:p w14:paraId="7A708128"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9.84</w:t>
            </w:r>
          </w:p>
        </w:tc>
        <w:tc>
          <w:tcPr>
            <w:tcW w:w="993" w:type="dxa"/>
            <w:tcBorders>
              <w:top w:val="nil"/>
              <w:left w:val="nil"/>
              <w:bottom w:val="single" w:sz="4" w:space="0" w:color="FFFFFF"/>
              <w:right w:val="single" w:sz="4" w:space="0" w:color="FFFFFF"/>
            </w:tcBorders>
            <w:shd w:val="clear" w:color="auto" w:fill="auto"/>
            <w:noWrap/>
            <w:vAlign w:val="center"/>
            <w:hideMark/>
          </w:tcPr>
          <w:p w14:paraId="4917E300"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175.53</w:t>
            </w:r>
          </w:p>
        </w:tc>
        <w:tc>
          <w:tcPr>
            <w:tcW w:w="1134" w:type="dxa"/>
            <w:tcBorders>
              <w:top w:val="nil"/>
              <w:left w:val="nil"/>
              <w:bottom w:val="single" w:sz="4" w:space="0" w:color="FFFFFF"/>
              <w:right w:val="single" w:sz="4" w:space="0" w:color="FFFFFF"/>
            </w:tcBorders>
            <w:shd w:val="clear" w:color="auto" w:fill="auto"/>
            <w:noWrap/>
            <w:vAlign w:val="center"/>
            <w:hideMark/>
          </w:tcPr>
          <w:p w14:paraId="346C606D"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83.6897</w:t>
            </w:r>
          </w:p>
        </w:tc>
        <w:tc>
          <w:tcPr>
            <w:tcW w:w="1559" w:type="dxa"/>
            <w:tcBorders>
              <w:top w:val="nil"/>
              <w:left w:val="nil"/>
              <w:bottom w:val="single" w:sz="4" w:space="0" w:color="FFFFFF"/>
              <w:right w:val="single" w:sz="4" w:space="0" w:color="FFFFFF"/>
            </w:tcBorders>
            <w:shd w:val="clear" w:color="auto" w:fill="auto"/>
            <w:noWrap/>
            <w:vAlign w:val="center"/>
            <w:hideMark/>
          </w:tcPr>
          <w:p w14:paraId="3CBBFEE1"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66697.3200</w:t>
            </w:r>
          </w:p>
        </w:tc>
        <w:tc>
          <w:tcPr>
            <w:tcW w:w="1701" w:type="dxa"/>
            <w:tcBorders>
              <w:top w:val="nil"/>
              <w:left w:val="nil"/>
              <w:bottom w:val="single" w:sz="4" w:space="0" w:color="FFFFFF"/>
              <w:right w:val="single" w:sz="4" w:space="0" w:color="FFFFFF"/>
            </w:tcBorders>
            <w:shd w:val="clear" w:color="auto" w:fill="auto"/>
            <w:noWrap/>
            <w:vAlign w:val="center"/>
            <w:hideMark/>
          </w:tcPr>
          <w:p w14:paraId="132DC9F2"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23756192.1078</w:t>
            </w:r>
          </w:p>
        </w:tc>
      </w:tr>
      <w:tr w:rsidR="00664EB0" w:rsidRPr="008906CA" w14:paraId="2EBD3BA0" w14:textId="77777777" w:rsidTr="00440DCA">
        <w:trPr>
          <w:trHeight w:val="567"/>
        </w:trPr>
        <w:tc>
          <w:tcPr>
            <w:tcW w:w="1135" w:type="dxa"/>
            <w:tcBorders>
              <w:top w:val="nil"/>
              <w:left w:val="single" w:sz="4" w:space="0" w:color="FFFFFF"/>
              <w:bottom w:val="single" w:sz="4" w:space="0" w:color="FFFFFF"/>
              <w:right w:val="single" w:sz="4" w:space="0" w:color="FFFFFF"/>
            </w:tcBorders>
            <w:shd w:val="clear" w:color="auto" w:fill="auto"/>
            <w:noWrap/>
            <w:vAlign w:val="center"/>
            <w:hideMark/>
          </w:tcPr>
          <w:p w14:paraId="1257CBFB"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&gt;74</w:t>
            </w:r>
          </w:p>
        </w:tc>
        <w:tc>
          <w:tcPr>
            <w:tcW w:w="567" w:type="dxa"/>
            <w:tcBorders>
              <w:top w:val="nil"/>
              <w:left w:val="nil"/>
              <w:bottom w:val="single" w:sz="4" w:space="0" w:color="FFFFFF"/>
              <w:right w:val="single" w:sz="4" w:space="0" w:color="FFFFFF"/>
            </w:tcBorders>
            <w:shd w:val="clear" w:color="auto" w:fill="auto"/>
            <w:noWrap/>
            <w:vAlign w:val="center"/>
            <w:hideMark/>
          </w:tcPr>
          <w:p w14:paraId="4D390C96"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195</w:t>
            </w:r>
          </w:p>
        </w:tc>
        <w:tc>
          <w:tcPr>
            <w:tcW w:w="992" w:type="dxa"/>
            <w:tcBorders>
              <w:top w:val="nil"/>
              <w:left w:val="nil"/>
              <w:bottom w:val="single" w:sz="4" w:space="0" w:color="FFFFFF"/>
              <w:right w:val="single" w:sz="4" w:space="0" w:color="FFFFFF"/>
            </w:tcBorders>
            <w:shd w:val="clear" w:color="auto" w:fill="auto"/>
            <w:noWrap/>
            <w:vAlign w:val="center"/>
            <w:hideMark/>
          </w:tcPr>
          <w:p w14:paraId="20A4BD5F"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193.50</w:t>
            </w:r>
          </w:p>
        </w:tc>
        <w:tc>
          <w:tcPr>
            <w:tcW w:w="850" w:type="dxa"/>
            <w:tcBorders>
              <w:top w:val="nil"/>
              <w:left w:val="nil"/>
              <w:bottom w:val="single" w:sz="4" w:space="0" w:color="FFFFFF"/>
              <w:right w:val="single" w:sz="4" w:space="0" w:color="FFFFFF"/>
            </w:tcBorders>
            <w:shd w:val="clear" w:color="auto" w:fill="auto"/>
            <w:noWrap/>
            <w:vAlign w:val="center"/>
            <w:hideMark/>
          </w:tcPr>
          <w:p w14:paraId="6B01A80C"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12.77</w:t>
            </w:r>
          </w:p>
        </w:tc>
        <w:tc>
          <w:tcPr>
            <w:tcW w:w="993" w:type="dxa"/>
            <w:tcBorders>
              <w:top w:val="nil"/>
              <w:left w:val="nil"/>
              <w:bottom w:val="single" w:sz="4" w:space="0" w:color="FFFFFF"/>
              <w:right w:val="single" w:sz="4" w:space="0" w:color="FFFFFF"/>
            </w:tcBorders>
            <w:shd w:val="clear" w:color="auto" w:fill="auto"/>
            <w:noWrap/>
            <w:vAlign w:val="center"/>
            <w:hideMark/>
          </w:tcPr>
          <w:p w14:paraId="3998B997"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178.32</w:t>
            </w:r>
          </w:p>
        </w:tc>
        <w:tc>
          <w:tcPr>
            <w:tcW w:w="1134" w:type="dxa"/>
            <w:tcBorders>
              <w:top w:val="nil"/>
              <w:left w:val="nil"/>
              <w:bottom w:val="single" w:sz="4" w:space="0" w:color="FFFFFF"/>
              <w:right w:val="single" w:sz="4" w:space="0" w:color="FFFFFF"/>
            </w:tcBorders>
            <w:shd w:val="clear" w:color="auto" w:fill="auto"/>
            <w:noWrap/>
            <w:vAlign w:val="center"/>
            <w:hideMark/>
          </w:tcPr>
          <w:p w14:paraId="3314989E"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92.1568</w:t>
            </w:r>
          </w:p>
        </w:tc>
        <w:tc>
          <w:tcPr>
            <w:tcW w:w="1559" w:type="dxa"/>
            <w:tcBorders>
              <w:top w:val="nil"/>
              <w:left w:val="nil"/>
              <w:bottom w:val="single" w:sz="4" w:space="0" w:color="FFFFFF"/>
              <w:right w:val="single" w:sz="4" w:space="0" w:color="FFFFFF"/>
            </w:tcBorders>
            <w:shd w:val="clear" w:color="auto" w:fill="auto"/>
            <w:noWrap/>
            <w:vAlign w:val="center"/>
            <w:hideMark/>
          </w:tcPr>
          <w:p w14:paraId="382FB92B"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37732.5000</w:t>
            </w:r>
          </w:p>
        </w:tc>
        <w:tc>
          <w:tcPr>
            <w:tcW w:w="1701" w:type="dxa"/>
            <w:tcBorders>
              <w:top w:val="nil"/>
              <w:left w:val="nil"/>
              <w:bottom w:val="single" w:sz="4" w:space="0" w:color="FFFFFF"/>
              <w:right w:val="single" w:sz="4" w:space="0" w:color="FFFFFF"/>
            </w:tcBorders>
            <w:shd w:val="clear" w:color="auto" w:fill="auto"/>
            <w:noWrap/>
            <w:vAlign w:val="center"/>
            <w:hideMark/>
          </w:tcPr>
          <w:p w14:paraId="19DF834F"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13470286.5570</w:t>
            </w:r>
          </w:p>
        </w:tc>
      </w:tr>
      <w:tr w:rsidR="00664EB0" w:rsidRPr="008906CA" w14:paraId="067261B9" w14:textId="77777777" w:rsidTr="00440DCA">
        <w:trPr>
          <w:trHeight w:val="567"/>
        </w:trPr>
        <w:tc>
          <w:tcPr>
            <w:tcW w:w="1135" w:type="dxa"/>
            <w:tcBorders>
              <w:top w:val="nil"/>
              <w:left w:val="single" w:sz="4" w:space="0" w:color="FFFFFF"/>
              <w:bottom w:val="single" w:sz="4" w:space="0" w:color="auto"/>
              <w:right w:val="single" w:sz="4" w:space="0" w:color="FFFFFF"/>
            </w:tcBorders>
            <w:shd w:val="clear" w:color="auto" w:fill="auto"/>
            <w:noWrap/>
            <w:vAlign w:val="center"/>
            <w:hideMark/>
          </w:tcPr>
          <w:p w14:paraId="2CA53F5E" w14:textId="77777777" w:rsidR="00664EB0" w:rsidRPr="008906CA" w:rsidRDefault="00664EB0" w:rsidP="009848C9">
            <w:pPr>
              <w:jc w:val="both"/>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All </w:t>
            </w:r>
            <w:r w:rsidRPr="008906CA">
              <w:rPr>
                <w:rFonts w:ascii="Times New Roman" w:eastAsia="新細明體" w:hAnsi="Times New Roman" w:cs="Times New Roman"/>
                <w:color w:val="000000"/>
                <w:kern w:val="0"/>
                <w:szCs w:val="24"/>
              </w:rPr>
              <w:sym w:font="Symbol" w:char="F0B3"/>
            </w:r>
            <w:r w:rsidRPr="008906CA">
              <w:rPr>
                <w:rFonts w:ascii="Times New Roman" w:eastAsia="新細明體" w:hAnsi="Times New Roman" w:cs="Times New Roman"/>
                <w:color w:val="000000"/>
                <w:kern w:val="0"/>
                <w:szCs w:val="24"/>
              </w:rPr>
              <w:t xml:space="preserve"> 19</w:t>
            </w:r>
          </w:p>
        </w:tc>
        <w:tc>
          <w:tcPr>
            <w:tcW w:w="567" w:type="dxa"/>
            <w:tcBorders>
              <w:top w:val="nil"/>
              <w:left w:val="nil"/>
              <w:bottom w:val="single" w:sz="4" w:space="0" w:color="auto"/>
              <w:right w:val="single" w:sz="4" w:space="0" w:color="FFFFFF"/>
            </w:tcBorders>
            <w:shd w:val="clear" w:color="auto" w:fill="auto"/>
            <w:noWrap/>
            <w:vAlign w:val="center"/>
            <w:hideMark/>
          </w:tcPr>
          <w:p w14:paraId="5A7CD59C"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1573</w:t>
            </w:r>
          </w:p>
        </w:tc>
        <w:tc>
          <w:tcPr>
            <w:tcW w:w="992" w:type="dxa"/>
            <w:tcBorders>
              <w:top w:val="nil"/>
              <w:left w:val="nil"/>
              <w:bottom w:val="single" w:sz="4" w:space="0" w:color="auto"/>
              <w:right w:val="single" w:sz="4" w:space="0" w:color="FFFFFF"/>
            </w:tcBorders>
            <w:shd w:val="clear" w:color="auto" w:fill="auto"/>
            <w:noWrap/>
            <w:vAlign w:val="center"/>
            <w:hideMark/>
          </w:tcPr>
          <w:p w14:paraId="021BA10F"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184.60</w:t>
            </w:r>
          </w:p>
        </w:tc>
        <w:tc>
          <w:tcPr>
            <w:tcW w:w="850" w:type="dxa"/>
            <w:tcBorders>
              <w:top w:val="nil"/>
              <w:left w:val="nil"/>
              <w:bottom w:val="single" w:sz="4" w:space="0" w:color="auto"/>
              <w:right w:val="single" w:sz="4" w:space="0" w:color="FFFFFF"/>
            </w:tcBorders>
            <w:shd w:val="clear" w:color="auto" w:fill="auto"/>
            <w:noWrap/>
            <w:vAlign w:val="center"/>
            <w:hideMark/>
          </w:tcPr>
          <w:p w14:paraId="78FE78B0"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4.21</w:t>
            </w:r>
          </w:p>
        </w:tc>
        <w:tc>
          <w:tcPr>
            <w:tcW w:w="993" w:type="dxa"/>
            <w:tcBorders>
              <w:top w:val="nil"/>
              <w:left w:val="nil"/>
              <w:bottom w:val="single" w:sz="4" w:space="0" w:color="auto"/>
              <w:right w:val="single" w:sz="4" w:space="0" w:color="FFFFFF"/>
            </w:tcBorders>
            <w:shd w:val="clear" w:color="auto" w:fill="auto"/>
            <w:noWrap/>
            <w:vAlign w:val="center"/>
            <w:hideMark/>
          </w:tcPr>
          <w:p w14:paraId="5568F9A4"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167.15</w:t>
            </w:r>
          </w:p>
        </w:tc>
        <w:tc>
          <w:tcPr>
            <w:tcW w:w="1134" w:type="dxa"/>
            <w:tcBorders>
              <w:top w:val="nil"/>
              <w:left w:val="nil"/>
              <w:bottom w:val="single" w:sz="4" w:space="0" w:color="auto"/>
              <w:right w:val="single" w:sz="4" w:space="0" w:color="FFFFFF"/>
            </w:tcBorders>
            <w:shd w:val="clear" w:color="auto" w:fill="auto"/>
            <w:noWrap/>
            <w:vAlign w:val="center"/>
            <w:hideMark/>
          </w:tcPr>
          <w:p w14:paraId="373DE32B"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90.5473</w:t>
            </w:r>
          </w:p>
        </w:tc>
        <w:tc>
          <w:tcPr>
            <w:tcW w:w="1559" w:type="dxa"/>
            <w:tcBorders>
              <w:top w:val="nil"/>
              <w:left w:val="nil"/>
              <w:bottom w:val="single" w:sz="4" w:space="0" w:color="auto"/>
              <w:right w:val="single" w:sz="4" w:space="0" w:color="FFFFFF"/>
            </w:tcBorders>
            <w:shd w:val="clear" w:color="auto" w:fill="auto"/>
            <w:noWrap/>
            <w:vAlign w:val="center"/>
            <w:hideMark/>
          </w:tcPr>
          <w:p w14:paraId="5C40B340"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290380.0700</w:t>
            </w:r>
          </w:p>
        </w:tc>
        <w:tc>
          <w:tcPr>
            <w:tcW w:w="1701" w:type="dxa"/>
            <w:tcBorders>
              <w:top w:val="nil"/>
              <w:left w:val="nil"/>
              <w:bottom w:val="single" w:sz="4" w:space="0" w:color="auto"/>
              <w:right w:val="single" w:sz="4" w:space="0" w:color="FFFFFF"/>
            </w:tcBorders>
            <w:shd w:val="clear" w:color="auto" w:fill="auto"/>
            <w:noWrap/>
            <w:vAlign w:val="center"/>
            <w:hideMark/>
          </w:tcPr>
          <w:p w14:paraId="392974CB"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97526744.0083</w:t>
            </w:r>
          </w:p>
        </w:tc>
      </w:tr>
      <w:tr w:rsidR="00664EB0" w:rsidRPr="008906CA" w14:paraId="2A3467AD" w14:textId="77777777" w:rsidTr="00440DCA">
        <w:trPr>
          <w:trHeight w:val="567"/>
        </w:trPr>
        <w:tc>
          <w:tcPr>
            <w:tcW w:w="3544" w:type="dxa"/>
            <w:gridSpan w:val="4"/>
            <w:tcBorders>
              <w:top w:val="single" w:sz="4" w:space="0" w:color="FFFFFF"/>
              <w:left w:val="single" w:sz="4" w:space="0" w:color="FFFFFF"/>
              <w:bottom w:val="nil"/>
              <w:right w:val="single" w:sz="4" w:space="0" w:color="FFFFFF"/>
            </w:tcBorders>
            <w:shd w:val="clear" w:color="auto" w:fill="auto"/>
            <w:noWrap/>
            <w:vAlign w:val="center"/>
            <w:hideMark/>
          </w:tcPr>
          <w:p w14:paraId="6D1B9EBE"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Combined male and female </w:t>
            </w:r>
            <w:r w:rsidRPr="008906CA">
              <w:rPr>
                <w:rFonts w:ascii="Times New Roman" w:eastAsia="新細明體" w:hAnsi="Times New Roman" w:cs="Times New Roman"/>
                <w:color w:val="000000"/>
                <w:kern w:val="0"/>
                <w:szCs w:val="24"/>
              </w:rPr>
              <w:sym w:font="Symbol" w:char="F0B3"/>
            </w:r>
            <w:r w:rsidRPr="008906CA">
              <w:rPr>
                <w:rFonts w:ascii="Times New Roman" w:eastAsia="新細明體" w:hAnsi="Times New Roman" w:cs="Times New Roman"/>
                <w:color w:val="000000"/>
                <w:kern w:val="0"/>
                <w:szCs w:val="24"/>
              </w:rPr>
              <w:t xml:space="preserve"> 19 y</w:t>
            </w:r>
          </w:p>
        </w:tc>
        <w:tc>
          <w:tcPr>
            <w:tcW w:w="993" w:type="dxa"/>
            <w:tcBorders>
              <w:top w:val="single" w:sz="4" w:space="0" w:color="FFFFFF"/>
              <w:left w:val="nil"/>
              <w:bottom w:val="nil"/>
              <w:right w:val="single" w:sz="4" w:space="0" w:color="FFFFFF"/>
            </w:tcBorders>
            <w:shd w:val="clear" w:color="auto" w:fill="auto"/>
            <w:noWrap/>
            <w:vAlign w:val="center"/>
            <w:hideMark/>
          </w:tcPr>
          <w:p w14:paraId="57A5C320"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1134" w:type="dxa"/>
            <w:tcBorders>
              <w:top w:val="single" w:sz="4" w:space="0" w:color="FFFFFF"/>
              <w:left w:val="nil"/>
              <w:bottom w:val="nil"/>
              <w:right w:val="single" w:sz="4" w:space="0" w:color="FFFFFF"/>
            </w:tcBorders>
            <w:shd w:val="clear" w:color="auto" w:fill="auto"/>
            <w:noWrap/>
            <w:vAlign w:val="center"/>
            <w:hideMark/>
          </w:tcPr>
          <w:p w14:paraId="0D3B963E"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1559" w:type="dxa"/>
            <w:tcBorders>
              <w:top w:val="single" w:sz="4" w:space="0" w:color="FFFFFF"/>
              <w:left w:val="nil"/>
              <w:bottom w:val="nil"/>
              <w:right w:val="single" w:sz="4" w:space="0" w:color="FFFFFF"/>
            </w:tcBorders>
            <w:shd w:val="clear" w:color="auto" w:fill="auto"/>
            <w:noWrap/>
            <w:vAlign w:val="center"/>
            <w:hideMark/>
          </w:tcPr>
          <w:p w14:paraId="41FF866A"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c>
          <w:tcPr>
            <w:tcW w:w="1701" w:type="dxa"/>
            <w:tcBorders>
              <w:top w:val="single" w:sz="4" w:space="0" w:color="FFFFFF"/>
              <w:left w:val="nil"/>
              <w:bottom w:val="nil"/>
              <w:right w:val="single" w:sz="4" w:space="0" w:color="FFFFFF"/>
            </w:tcBorders>
            <w:shd w:val="clear" w:color="auto" w:fill="auto"/>
            <w:noWrap/>
            <w:vAlign w:val="center"/>
            <w:hideMark/>
          </w:tcPr>
          <w:p w14:paraId="02D46BB3" w14:textId="77777777" w:rsidR="00664EB0" w:rsidRPr="008906CA" w:rsidRDefault="00664EB0" w:rsidP="00707211">
            <w:pPr>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　</w:t>
            </w:r>
          </w:p>
        </w:tc>
      </w:tr>
      <w:tr w:rsidR="00664EB0" w:rsidRPr="008906CA" w14:paraId="2FF605D8" w14:textId="77777777" w:rsidTr="00440DCA">
        <w:trPr>
          <w:trHeight w:val="567"/>
        </w:trPr>
        <w:tc>
          <w:tcPr>
            <w:tcW w:w="1135" w:type="dxa"/>
            <w:tcBorders>
              <w:top w:val="single" w:sz="4" w:space="0" w:color="auto"/>
              <w:left w:val="single" w:sz="4" w:space="0" w:color="FFFFFF"/>
              <w:bottom w:val="single" w:sz="4" w:space="0" w:color="auto"/>
              <w:right w:val="single" w:sz="4" w:space="0" w:color="FFFFFF"/>
            </w:tcBorders>
            <w:shd w:val="clear" w:color="auto" w:fill="auto"/>
            <w:noWrap/>
            <w:vAlign w:val="center"/>
            <w:hideMark/>
          </w:tcPr>
          <w:p w14:paraId="377A33CA" w14:textId="77777777" w:rsidR="00664EB0" w:rsidRPr="008906CA" w:rsidRDefault="00664EB0" w:rsidP="002D0662">
            <w:pPr>
              <w:jc w:val="both"/>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 xml:space="preserve">All </w:t>
            </w:r>
            <w:r w:rsidRPr="008906CA">
              <w:rPr>
                <w:rFonts w:ascii="Times New Roman" w:eastAsia="新細明體" w:hAnsi="Times New Roman" w:cs="Times New Roman"/>
                <w:color w:val="000000"/>
                <w:kern w:val="0"/>
                <w:szCs w:val="24"/>
              </w:rPr>
              <w:sym w:font="Symbol" w:char="F0B3"/>
            </w:r>
            <w:r w:rsidRPr="008906CA">
              <w:rPr>
                <w:rFonts w:ascii="Times New Roman" w:eastAsia="新細明體" w:hAnsi="Times New Roman" w:cs="Times New Roman"/>
                <w:color w:val="000000"/>
                <w:kern w:val="0"/>
                <w:szCs w:val="24"/>
              </w:rPr>
              <w:t xml:space="preserve"> 19</w:t>
            </w:r>
          </w:p>
        </w:tc>
        <w:tc>
          <w:tcPr>
            <w:tcW w:w="567" w:type="dxa"/>
            <w:tcBorders>
              <w:top w:val="single" w:sz="4" w:space="0" w:color="auto"/>
              <w:left w:val="nil"/>
              <w:bottom w:val="single" w:sz="4" w:space="0" w:color="auto"/>
              <w:right w:val="single" w:sz="4" w:space="0" w:color="FFFFFF"/>
            </w:tcBorders>
            <w:shd w:val="clear" w:color="auto" w:fill="auto"/>
            <w:noWrap/>
            <w:vAlign w:val="center"/>
            <w:hideMark/>
          </w:tcPr>
          <w:p w14:paraId="662191FD" w14:textId="77777777" w:rsidR="00664EB0" w:rsidRPr="008906CA" w:rsidRDefault="00664EB0" w:rsidP="00707211">
            <w:pPr>
              <w:jc w:val="right"/>
              <w:rPr>
                <w:rFonts w:ascii="Times New Roman" w:eastAsia="新細明體" w:hAnsi="Times New Roman" w:cs="Times New Roman"/>
                <w:b/>
                <w:bCs/>
                <w:color w:val="000000"/>
                <w:kern w:val="0"/>
                <w:szCs w:val="24"/>
              </w:rPr>
            </w:pPr>
            <w:r w:rsidRPr="008906CA">
              <w:rPr>
                <w:rFonts w:ascii="Times New Roman" w:eastAsia="新細明體" w:hAnsi="Times New Roman" w:cs="Times New Roman"/>
                <w:b/>
                <w:bCs/>
                <w:color w:val="000000"/>
                <w:kern w:val="0"/>
                <w:szCs w:val="24"/>
              </w:rPr>
              <w:t>3069</w:t>
            </w:r>
          </w:p>
        </w:tc>
        <w:tc>
          <w:tcPr>
            <w:tcW w:w="992" w:type="dxa"/>
            <w:tcBorders>
              <w:top w:val="single" w:sz="4" w:space="0" w:color="auto"/>
              <w:left w:val="nil"/>
              <w:bottom w:val="single" w:sz="4" w:space="0" w:color="auto"/>
              <w:right w:val="single" w:sz="4" w:space="0" w:color="FFFFFF"/>
            </w:tcBorders>
            <w:shd w:val="clear" w:color="auto" w:fill="auto"/>
            <w:noWrap/>
            <w:vAlign w:val="center"/>
            <w:hideMark/>
          </w:tcPr>
          <w:p w14:paraId="30EA8D4C" w14:textId="77777777" w:rsidR="00664EB0" w:rsidRPr="008906CA" w:rsidRDefault="00664EB0" w:rsidP="00707211">
            <w:pPr>
              <w:jc w:val="right"/>
              <w:rPr>
                <w:rFonts w:ascii="Times New Roman" w:eastAsia="新細明體" w:hAnsi="Times New Roman" w:cs="Times New Roman"/>
                <w:b/>
                <w:bCs/>
                <w:color w:val="000000"/>
                <w:kern w:val="0"/>
                <w:szCs w:val="24"/>
              </w:rPr>
            </w:pPr>
            <w:r w:rsidRPr="008906CA">
              <w:rPr>
                <w:rFonts w:ascii="Times New Roman" w:eastAsia="新細明體" w:hAnsi="Times New Roman" w:cs="Times New Roman"/>
                <w:b/>
                <w:bCs/>
                <w:color w:val="000000"/>
                <w:kern w:val="0"/>
                <w:szCs w:val="24"/>
              </w:rPr>
              <w:t>183.58</w:t>
            </w:r>
          </w:p>
        </w:tc>
        <w:tc>
          <w:tcPr>
            <w:tcW w:w="850" w:type="dxa"/>
            <w:tcBorders>
              <w:top w:val="single" w:sz="4" w:space="0" w:color="auto"/>
              <w:left w:val="nil"/>
              <w:bottom w:val="single" w:sz="4" w:space="0" w:color="auto"/>
              <w:right w:val="single" w:sz="4" w:space="0" w:color="FFFFFF"/>
            </w:tcBorders>
            <w:shd w:val="clear" w:color="auto" w:fill="auto"/>
            <w:noWrap/>
            <w:vAlign w:val="center"/>
            <w:hideMark/>
          </w:tcPr>
          <w:p w14:paraId="313B7626"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2.81</w:t>
            </w:r>
          </w:p>
        </w:tc>
        <w:tc>
          <w:tcPr>
            <w:tcW w:w="993" w:type="dxa"/>
            <w:tcBorders>
              <w:top w:val="single" w:sz="4" w:space="0" w:color="auto"/>
              <w:left w:val="nil"/>
              <w:bottom w:val="single" w:sz="4" w:space="0" w:color="auto"/>
              <w:right w:val="single" w:sz="4" w:space="0" w:color="FFFFFF"/>
            </w:tcBorders>
            <w:shd w:val="clear" w:color="auto" w:fill="auto"/>
            <w:noWrap/>
            <w:vAlign w:val="center"/>
            <w:hideMark/>
          </w:tcPr>
          <w:p w14:paraId="51306BF7" w14:textId="77777777" w:rsidR="00664EB0" w:rsidRPr="008906CA" w:rsidRDefault="00664EB0" w:rsidP="00707211">
            <w:pPr>
              <w:jc w:val="right"/>
              <w:rPr>
                <w:rFonts w:ascii="Times New Roman" w:eastAsia="新細明體" w:hAnsi="Times New Roman" w:cs="Times New Roman"/>
                <w:b/>
                <w:bCs/>
                <w:color w:val="000000"/>
                <w:kern w:val="0"/>
                <w:szCs w:val="24"/>
              </w:rPr>
            </w:pPr>
            <w:r w:rsidRPr="008906CA">
              <w:rPr>
                <w:rFonts w:ascii="Times New Roman" w:eastAsia="新細明體" w:hAnsi="Times New Roman" w:cs="Times New Roman"/>
                <w:b/>
                <w:bCs/>
                <w:color w:val="000000"/>
                <w:kern w:val="0"/>
                <w:szCs w:val="24"/>
              </w:rPr>
              <w:t>155.53</w:t>
            </w:r>
          </w:p>
        </w:tc>
        <w:tc>
          <w:tcPr>
            <w:tcW w:w="1134" w:type="dxa"/>
            <w:tcBorders>
              <w:top w:val="single" w:sz="4" w:space="0" w:color="auto"/>
              <w:left w:val="nil"/>
              <w:bottom w:val="single" w:sz="4" w:space="0" w:color="auto"/>
              <w:right w:val="single" w:sz="4" w:space="0" w:color="FFFFFF"/>
            </w:tcBorders>
            <w:shd w:val="clear" w:color="auto" w:fill="auto"/>
            <w:noWrap/>
            <w:vAlign w:val="center"/>
            <w:hideMark/>
          </w:tcPr>
          <w:p w14:paraId="49AACC9B"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84.7190</w:t>
            </w:r>
          </w:p>
        </w:tc>
        <w:tc>
          <w:tcPr>
            <w:tcW w:w="1559" w:type="dxa"/>
            <w:tcBorders>
              <w:top w:val="single" w:sz="4" w:space="0" w:color="auto"/>
              <w:left w:val="nil"/>
              <w:bottom w:val="single" w:sz="4" w:space="0" w:color="auto"/>
              <w:right w:val="single" w:sz="4" w:space="0" w:color="FFFFFF"/>
            </w:tcBorders>
            <w:shd w:val="clear" w:color="auto" w:fill="auto"/>
            <w:noWrap/>
            <w:vAlign w:val="center"/>
            <w:hideMark/>
          </w:tcPr>
          <w:p w14:paraId="38782309"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563406.4800</w:t>
            </w:r>
          </w:p>
        </w:tc>
        <w:tc>
          <w:tcPr>
            <w:tcW w:w="1701" w:type="dxa"/>
            <w:tcBorders>
              <w:top w:val="single" w:sz="4" w:space="0" w:color="auto"/>
              <w:left w:val="nil"/>
              <w:bottom w:val="single" w:sz="4" w:space="0" w:color="auto"/>
              <w:right w:val="single" w:sz="4" w:space="0" w:color="FFFFFF"/>
            </w:tcBorders>
            <w:shd w:val="clear" w:color="auto" w:fill="auto"/>
            <w:noWrap/>
            <w:vAlign w:val="center"/>
            <w:hideMark/>
          </w:tcPr>
          <w:p w14:paraId="73E4EA1B" w14:textId="77777777" w:rsidR="00664EB0" w:rsidRPr="008906CA" w:rsidRDefault="00664EB0" w:rsidP="00707211">
            <w:pPr>
              <w:jc w:val="right"/>
              <w:rPr>
                <w:rFonts w:ascii="Times New Roman" w:eastAsia="新細明體" w:hAnsi="Times New Roman" w:cs="Times New Roman"/>
                <w:color w:val="000000"/>
                <w:kern w:val="0"/>
                <w:szCs w:val="24"/>
              </w:rPr>
            </w:pPr>
            <w:r w:rsidRPr="008906CA">
              <w:rPr>
                <w:rFonts w:ascii="Times New Roman" w:eastAsia="新細明體" w:hAnsi="Times New Roman" w:cs="Times New Roman"/>
                <w:color w:val="000000"/>
                <w:kern w:val="0"/>
                <w:szCs w:val="24"/>
              </w:rPr>
              <w:t>177640853.1116</w:t>
            </w:r>
          </w:p>
        </w:tc>
      </w:tr>
    </w:tbl>
    <w:p w14:paraId="0C4B0903" w14:textId="16A351FD" w:rsidR="00664EB0" w:rsidRPr="008906CA" w:rsidRDefault="008D263A" w:rsidP="00B8693D">
      <w:pPr>
        <w:spacing w:beforeLines="50" w:before="120" w:afterLines="50" w:after="120"/>
        <w:ind w:leftChars="-59" w:left="-142"/>
        <w:rPr>
          <w:rFonts w:ascii="Times New Roman" w:eastAsiaTheme="minorEastAsia" w:hAnsi="Times New Roman" w:cs="Times New Roman"/>
          <w:b/>
          <w:bCs/>
          <w:caps/>
          <w:kern w:val="52"/>
          <w:szCs w:val="52"/>
        </w:rPr>
      </w:pPr>
      <w:r w:rsidRPr="008906CA">
        <w:rPr>
          <w:rFonts w:ascii="Times New Roman" w:eastAsiaTheme="minorEastAsia" w:hAnsi="Times New Roman" w:cs="Times New Roman"/>
          <w:sz w:val="20"/>
          <w:szCs w:val="20"/>
        </w:rPr>
        <w:t xml:space="preserve">N = </w:t>
      </w:r>
      <w:r w:rsidRPr="008906CA">
        <w:rPr>
          <w:rFonts w:ascii="Times New Roman" w:hAnsi="Times New Roman" w:cs="Times New Roman"/>
          <w:sz w:val="20"/>
          <w:szCs w:val="20"/>
        </w:rPr>
        <w:t>No. of subjects</w:t>
      </w:r>
      <w:r w:rsidRPr="008906CA">
        <w:rPr>
          <w:rFonts w:ascii="Times New Roman" w:eastAsia="新細明體" w:hAnsi="Times New Roman" w:cs="Times New Roman"/>
          <w:sz w:val="20"/>
          <w:szCs w:val="20"/>
        </w:rPr>
        <w:t xml:space="preserve">; </w:t>
      </w:r>
      <w:r>
        <w:rPr>
          <w:rFonts w:ascii="Times New Roman" w:eastAsia="新細明體" w:hAnsi="Times New Roman" w:cs="Times New Roman" w:hint="eastAsia"/>
          <w:sz w:val="20"/>
          <w:szCs w:val="20"/>
        </w:rPr>
        <w:t>SE</w:t>
      </w:r>
      <w:r>
        <w:rPr>
          <w:rFonts w:ascii="Times New Roman" w:eastAsia="新細明體" w:hAnsi="Times New Roman" w:cs="Times New Roman"/>
          <w:sz w:val="20"/>
          <w:szCs w:val="20"/>
        </w:rPr>
        <w:t xml:space="preserve"> = Standard error; </w:t>
      </w:r>
      <w:r w:rsidRPr="008906CA">
        <w:rPr>
          <w:rFonts w:ascii="Times New Roman" w:eastAsia="新細明體" w:hAnsi="Times New Roman" w:cs="Times New Roman"/>
          <w:sz w:val="20"/>
          <w:szCs w:val="20"/>
        </w:rPr>
        <w:t>SD = Standard deviation;</w:t>
      </w:r>
      <w:r>
        <w:rPr>
          <w:rFonts w:ascii="Times New Roman" w:eastAsia="新細明體" w:hAnsi="Times New Roman" w:cs="Times New Roman" w:hint="eastAsia"/>
          <w:sz w:val="20"/>
          <w:szCs w:val="20"/>
        </w:rPr>
        <w:t xml:space="preserve"> </w:t>
      </w:r>
      <w:r w:rsidR="00B8693D">
        <w:rPr>
          <w:rFonts w:ascii="Times New Roman" w:eastAsia="新細明體" w:hAnsi="Times New Roman" w:cs="Times New Roman"/>
          <w:sz w:val="20"/>
          <w:szCs w:val="20"/>
        </w:rPr>
        <w:t>CV = coefficient of variation</w:t>
      </w:r>
    </w:p>
    <w:p w14:paraId="1C656C70" w14:textId="77777777" w:rsidR="004C5351" w:rsidRPr="008906CA" w:rsidRDefault="004C5351">
      <w:pPr>
        <w:rPr>
          <w:rFonts w:ascii="Times New Roman" w:hAnsi="Times New Roman" w:cs="Times New Roman"/>
        </w:rPr>
      </w:pPr>
    </w:p>
    <w:sectPr w:rsidR="004C5351" w:rsidRPr="008906CA" w:rsidSect="00134012">
      <w:headerReference w:type="default" r:id="rId10"/>
      <w:pgSz w:w="11906" w:h="16838" w:code="9"/>
      <w:pgMar w:top="1440" w:right="1440" w:bottom="1440" w:left="1440" w:header="567"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53A05" w14:textId="77777777" w:rsidR="00084145" w:rsidRDefault="00084145" w:rsidP="00664EB0">
      <w:r>
        <w:separator/>
      </w:r>
    </w:p>
  </w:endnote>
  <w:endnote w:type="continuationSeparator" w:id="0">
    <w:p w14:paraId="08586FAB" w14:textId="77777777" w:rsidR="00084145" w:rsidRDefault="00084145" w:rsidP="00664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2388759"/>
      <w:docPartObj>
        <w:docPartGallery w:val="Page Numbers (Bottom of Page)"/>
        <w:docPartUnique/>
      </w:docPartObj>
    </w:sdtPr>
    <w:sdtEndPr>
      <w:rPr>
        <w:rFonts w:ascii="Times New Roman" w:hAnsi="Times New Roman" w:cs="Times New Roman"/>
      </w:rPr>
    </w:sdtEndPr>
    <w:sdtContent>
      <w:p w14:paraId="74638991" w14:textId="347443E5" w:rsidR="00664EB0" w:rsidRPr="00664EB0" w:rsidRDefault="00664EB0">
        <w:pPr>
          <w:pStyle w:val="a7"/>
          <w:jc w:val="center"/>
          <w:rPr>
            <w:rFonts w:ascii="Times New Roman" w:hAnsi="Times New Roman" w:cs="Times New Roman"/>
          </w:rPr>
        </w:pPr>
        <w:r w:rsidRPr="00664EB0">
          <w:rPr>
            <w:rFonts w:ascii="Times New Roman" w:hAnsi="Times New Roman" w:cs="Times New Roman"/>
          </w:rPr>
          <w:fldChar w:fldCharType="begin"/>
        </w:r>
        <w:r w:rsidRPr="00664EB0">
          <w:rPr>
            <w:rFonts w:ascii="Times New Roman" w:hAnsi="Times New Roman" w:cs="Times New Roman"/>
          </w:rPr>
          <w:instrText>PAGE   \* MERGEFORMAT</w:instrText>
        </w:r>
        <w:r w:rsidRPr="00664EB0">
          <w:rPr>
            <w:rFonts w:ascii="Times New Roman" w:hAnsi="Times New Roman" w:cs="Times New Roman"/>
          </w:rPr>
          <w:fldChar w:fldCharType="separate"/>
        </w:r>
        <w:r w:rsidRPr="00664EB0">
          <w:rPr>
            <w:rFonts w:ascii="Times New Roman" w:hAnsi="Times New Roman" w:cs="Times New Roman"/>
            <w:lang w:val="zh-TW"/>
          </w:rPr>
          <w:t>2</w:t>
        </w:r>
        <w:r w:rsidRPr="00664EB0">
          <w:rPr>
            <w:rFonts w:ascii="Times New Roman" w:hAnsi="Times New Roman" w:cs="Times New Roman"/>
          </w:rPr>
          <w:fldChar w:fldCharType="end"/>
        </w:r>
      </w:p>
    </w:sdtContent>
  </w:sdt>
  <w:p w14:paraId="30524556" w14:textId="77777777" w:rsidR="00664EB0" w:rsidRDefault="00664EB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9FDFC" w14:textId="77777777" w:rsidR="00084145" w:rsidRDefault="00084145" w:rsidP="00664EB0">
      <w:r>
        <w:separator/>
      </w:r>
    </w:p>
  </w:footnote>
  <w:footnote w:type="continuationSeparator" w:id="0">
    <w:p w14:paraId="60B9517F" w14:textId="77777777" w:rsidR="00084145" w:rsidRDefault="00084145" w:rsidP="00664E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58757" w14:textId="70007941" w:rsidR="00EB62D1" w:rsidRPr="00EA0256" w:rsidRDefault="00FB65A4" w:rsidP="00664EB0">
    <w:pPr>
      <w:pStyle w:val="a3"/>
      <w:rPr>
        <w:u w:val="single"/>
      </w:rPr>
    </w:pPr>
    <w:r>
      <w:rPr>
        <w:rFonts w:ascii="Times New Roman" w:hAnsi="Times New Roman"/>
        <w:b/>
        <w:i/>
        <w:color w:val="FF0000"/>
        <w:sz w:val="24"/>
        <w:szCs w:val="32"/>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28B85" w14:textId="58573E3B" w:rsidR="00EB62D1" w:rsidRPr="00664EB0" w:rsidRDefault="00084145" w:rsidP="00664EB0">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B4054"/>
    <w:multiLevelType w:val="hybridMultilevel"/>
    <w:tmpl w:val="6804BE0E"/>
    <w:lvl w:ilvl="0" w:tplc="ABFA31FE">
      <w:start w:val="1"/>
      <w:numFmt w:val="decimal"/>
      <w:pStyle w:val="1"/>
      <w:lvlText w:val="%1."/>
      <w:lvlJc w:val="left"/>
      <w:pPr>
        <w:ind w:left="905" w:hanging="480"/>
      </w:p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num w:numId="1" w16cid:durableId="16020340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EB0"/>
    <w:rsid w:val="00000E7F"/>
    <w:rsid w:val="0000773D"/>
    <w:rsid w:val="000350BA"/>
    <w:rsid w:val="00054BCB"/>
    <w:rsid w:val="00063219"/>
    <w:rsid w:val="00084145"/>
    <w:rsid w:val="000D3A01"/>
    <w:rsid w:val="000D3C72"/>
    <w:rsid w:val="00134012"/>
    <w:rsid w:val="0015488F"/>
    <w:rsid w:val="0016596D"/>
    <w:rsid w:val="0018521D"/>
    <w:rsid w:val="001A2F52"/>
    <w:rsid w:val="001C1358"/>
    <w:rsid w:val="001E7CCE"/>
    <w:rsid w:val="001F2F12"/>
    <w:rsid w:val="0021017A"/>
    <w:rsid w:val="002238D4"/>
    <w:rsid w:val="00242BC8"/>
    <w:rsid w:val="002627FF"/>
    <w:rsid w:val="00263E2C"/>
    <w:rsid w:val="002710D3"/>
    <w:rsid w:val="00275EF4"/>
    <w:rsid w:val="0027778B"/>
    <w:rsid w:val="00280B24"/>
    <w:rsid w:val="002A2BC7"/>
    <w:rsid w:val="002A2DBA"/>
    <w:rsid w:val="002A4136"/>
    <w:rsid w:val="002A7BBE"/>
    <w:rsid w:val="002B5823"/>
    <w:rsid w:val="002D0662"/>
    <w:rsid w:val="002F5458"/>
    <w:rsid w:val="00310576"/>
    <w:rsid w:val="00311F50"/>
    <w:rsid w:val="00342F08"/>
    <w:rsid w:val="0036525C"/>
    <w:rsid w:val="00372741"/>
    <w:rsid w:val="003867CF"/>
    <w:rsid w:val="003B754E"/>
    <w:rsid w:val="003D2220"/>
    <w:rsid w:val="003E076C"/>
    <w:rsid w:val="004227BB"/>
    <w:rsid w:val="00440DCA"/>
    <w:rsid w:val="00441EF7"/>
    <w:rsid w:val="00442A3A"/>
    <w:rsid w:val="00442F08"/>
    <w:rsid w:val="00445CFD"/>
    <w:rsid w:val="00463CFF"/>
    <w:rsid w:val="004A290A"/>
    <w:rsid w:val="004A6B0D"/>
    <w:rsid w:val="004B0C29"/>
    <w:rsid w:val="004B508C"/>
    <w:rsid w:val="004C5351"/>
    <w:rsid w:val="004E066F"/>
    <w:rsid w:val="004F5807"/>
    <w:rsid w:val="00504586"/>
    <w:rsid w:val="00504DF2"/>
    <w:rsid w:val="0052298F"/>
    <w:rsid w:val="00553C04"/>
    <w:rsid w:val="00561326"/>
    <w:rsid w:val="005649F1"/>
    <w:rsid w:val="005A33BF"/>
    <w:rsid w:val="00620346"/>
    <w:rsid w:val="00625E48"/>
    <w:rsid w:val="00664EB0"/>
    <w:rsid w:val="006956A9"/>
    <w:rsid w:val="006A2867"/>
    <w:rsid w:val="006B2345"/>
    <w:rsid w:val="006B6B07"/>
    <w:rsid w:val="006D63E2"/>
    <w:rsid w:val="0071777F"/>
    <w:rsid w:val="00744B17"/>
    <w:rsid w:val="00746A70"/>
    <w:rsid w:val="00752D01"/>
    <w:rsid w:val="00755E6B"/>
    <w:rsid w:val="00771F74"/>
    <w:rsid w:val="00773EA5"/>
    <w:rsid w:val="00790103"/>
    <w:rsid w:val="007C5887"/>
    <w:rsid w:val="007D78F1"/>
    <w:rsid w:val="0083372E"/>
    <w:rsid w:val="00873D53"/>
    <w:rsid w:val="00881A66"/>
    <w:rsid w:val="008906CA"/>
    <w:rsid w:val="008925FC"/>
    <w:rsid w:val="00893A05"/>
    <w:rsid w:val="008A1EEC"/>
    <w:rsid w:val="008A4403"/>
    <w:rsid w:val="008A7541"/>
    <w:rsid w:val="008A7882"/>
    <w:rsid w:val="008B41D4"/>
    <w:rsid w:val="008B4518"/>
    <w:rsid w:val="008B5655"/>
    <w:rsid w:val="008D263A"/>
    <w:rsid w:val="008D4A3D"/>
    <w:rsid w:val="00923C92"/>
    <w:rsid w:val="009307C2"/>
    <w:rsid w:val="00936ECB"/>
    <w:rsid w:val="009474E5"/>
    <w:rsid w:val="009618B3"/>
    <w:rsid w:val="00963A7A"/>
    <w:rsid w:val="00980406"/>
    <w:rsid w:val="00983561"/>
    <w:rsid w:val="009848C9"/>
    <w:rsid w:val="00987AC2"/>
    <w:rsid w:val="009A6513"/>
    <w:rsid w:val="009D006C"/>
    <w:rsid w:val="009F47E7"/>
    <w:rsid w:val="00A02032"/>
    <w:rsid w:val="00A10430"/>
    <w:rsid w:val="00A25F28"/>
    <w:rsid w:val="00A30B75"/>
    <w:rsid w:val="00A519B9"/>
    <w:rsid w:val="00A60017"/>
    <w:rsid w:val="00A70A43"/>
    <w:rsid w:val="00A94545"/>
    <w:rsid w:val="00AA2D92"/>
    <w:rsid w:val="00B0599A"/>
    <w:rsid w:val="00B1083D"/>
    <w:rsid w:val="00B309EC"/>
    <w:rsid w:val="00B3686B"/>
    <w:rsid w:val="00B42C6E"/>
    <w:rsid w:val="00B43178"/>
    <w:rsid w:val="00B54E83"/>
    <w:rsid w:val="00B8693D"/>
    <w:rsid w:val="00BC21E5"/>
    <w:rsid w:val="00C104C3"/>
    <w:rsid w:val="00C55E7D"/>
    <w:rsid w:val="00C82384"/>
    <w:rsid w:val="00C82FF5"/>
    <w:rsid w:val="00CA1179"/>
    <w:rsid w:val="00CA41F6"/>
    <w:rsid w:val="00CB2857"/>
    <w:rsid w:val="00CB3F56"/>
    <w:rsid w:val="00CD1B1E"/>
    <w:rsid w:val="00CD35C0"/>
    <w:rsid w:val="00CD6245"/>
    <w:rsid w:val="00CE0B11"/>
    <w:rsid w:val="00CE1B7D"/>
    <w:rsid w:val="00CE1C47"/>
    <w:rsid w:val="00D15BA2"/>
    <w:rsid w:val="00D504D9"/>
    <w:rsid w:val="00DA2B0F"/>
    <w:rsid w:val="00DB75AF"/>
    <w:rsid w:val="00DD02B3"/>
    <w:rsid w:val="00DF104A"/>
    <w:rsid w:val="00E52573"/>
    <w:rsid w:val="00E5533F"/>
    <w:rsid w:val="00E645F7"/>
    <w:rsid w:val="00E754DF"/>
    <w:rsid w:val="00F00D59"/>
    <w:rsid w:val="00F02555"/>
    <w:rsid w:val="00F07DC5"/>
    <w:rsid w:val="00F11B1D"/>
    <w:rsid w:val="00F11BB6"/>
    <w:rsid w:val="00F1422B"/>
    <w:rsid w:val="00F43FD8"/>
    <w:rsid w:val="00F70E15"/>
    <w:rsid w:val="00FB65A4"/>
    <w:rsid w:val="00FE216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C25B96"/>
  <w15:chartTrackingRefBased/>
  <w15:docId w15:val="{FC79D46A-7786-4B31-9591-4279A05EF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4EB0"/>
    <w:rPr>
      <w:rFonts w:eastAsia="Times New Roman"/>
    </w:rPr>
  </w:style>
  <w:style w:type="paragraph" w:styleId="1">
    <w:name w:val="heading 1"/>
    <w:basedOn w:val="a"/>
    <w:next w:val="a"/>
    <w:link w:val="10"/>
    <w:autoRedefine/>
    <w:uiPriority w:val="9"/>
    <w:qFormat/>
    <w:rsid w:val="00664EB0"/>
    <w:pPr>
      <w:keepNext/>
      <w:widowControl w:val="0"/>
      <w:numPr>
        <w:numId w:val="1"/>
      </w:numPr>
      <w:spacing w:beforeLines="50" w:before="180" w:afterLines="50" w:after="180"/>
      <w:ind w:left="425" w:hanging="425"/>
      <w:outlineLvl w:val="0"/>
    </w:pPr>
    <w:rPr>
      <w:rFonts w:ascii="Times New Roman" w:hAnsi="Times New Roman" w:cs="Times New Roman"/>
      <w:b/>
      <w:bCs/>
      <w:caps/>
      <w:kern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4EB0"/>
    <w:pPr>
      <w:tabs>
        <w:tab w:val="center" w:pos="4153"/>
        <w:tab w:val="right" w:pos="8306"/>
      </w:tabs>
      <w:snapToGrid w:val="0"/>
    </w:pPr>
    <w:rPr>
      <w:sz w:val="20"/>
      <w:szCs w:val="20"/>
    </w:rPr>
  </w:style>
  <w:style w:type="character" w:customStyle="1" w:styleId="a4">
    <w:name w:val="頁首 字元"/>
    <w:basedOn w:val="a0"/>
    <w:link w:val="a3"/>
    <w:uiPriority w:val="99"/>
    <w:rsid w:val="00664EB0"/>
    <w:rPr>
      <w:rFonts w:eastAsia="Times New Roman"/>
      <w:sz w:val="20"/>
      <w:szCs w:val="20"/>
    </w:rPr>
  </w:style>
  <w:style w:type="table" w:styleId="a5">
    <w:name w:val="Table Grid"/>
    <w:basedOn w:val="a1"/>
    <w:uiPriority w:val="39"/>
    <w:rsid w:val="00664EB0"/>
    <w:pPr>
      <w:spacing w:beforeLines="50" w:afterLines="5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caption"/>
    <w:basedOn w:val="a"/>
    <w:next w:val="a"/>
    <w:uiPriority w:val="35"/>
    <w:unhideWhenUsed/>
    <w:qFormat/>
    <w:rsid w:val="00664EB0"/>
    <w:rPr>
      <w:sz w:val="20"/>
      <w:szCs w:val="20"/>
    </w:rPr>
  </w:style>
  <w:style w:type="paragraph" w:styleId="a7">
    <w:name w:val="footer"/>
    <w:basedOn w:val="a"/>
    <w:link w:val="a8"/>
    <w:uiPriority w:val="99"/>
    <w:unhideWhenUsed/>
    <w:rsid w:val="00664EB0"/>
    <w:pPr>
      <w:tabs>
        <w:tab w:val="center" w:pos="4153"/>
        <w:tab w:val="right" w:pos="8306"/>
      </w:tabs>
      <w:snapToGrid w:val="0"/>
    </w:pPr>
    <w:rPr>
      <w:sz w:val="20"/>
      <w:szCs w:val="20"/>
    </w:rPr>
  </w:style>
  <w:style w:type="character" w:customStyle="1" w:styleId="a8">
    <w:name w:val="頁尾 字元"/>
    <w:basedOn w:val="a0"/>
    <w:link w:val="a7"/>
    <w:uiPriority w:val="99"/>
    <w:rsid w:val="00664EB0"/>
    <w:rPr>
      <w:rFonts w:eastAsia="Times New Roman"/>
      <w:sz w:val="20"/>
      <w:szCs w:val="20"/>
    </w:rPr>
  </w:style>
  <w:style w:type="character" w:customStyle="1" w:styleId="10">
    <w:name w:val="標題 1 字元"/>
    <w:basedOn w:val="a0"/>
    <w:link w:val="1"/>
    <w:uiPriority w:val="9"/>
    <w:rsid w:val="00664EB0"/>
    <w:rPr>
      <w:rFonts w:ascii="Times New Roman" w:eastAsia="Times New Roman" w:hAnsi="Times New Roman" w:cs="Times New Roman"/>
      <w:b/>
      <w:bCs/>
      <w:caps/>
      <w:kern w:val="52"/>
      <w:szCs w:val="52"/>
    </w:rPr>
  </w:style>
  <w:style w:type="paragraph" w:styleId="a9">
    <w:name w:val="Revision"/>
    <w:hidden/>
    <w:uiPriority w:val="99"/>
    <w:semiHidden/>
    <w:rsid w:val="00280B24"/>
    <w:rPr>
      <w:rFonts w:eastAsia="Times New Roman"/>
    </w:rPr>
  </w:style>
  <w:style w:type="character" w:styleId="aa">
    <w:name w:val="annotation reference"/>
    <w:basedOn w:val="a0"/>
    <w:uiPriority w:val="99"/>
    <w:semiHidden/>
    <w:unhideWhenUsed/>
    <w:rsid w:val="00280B24"/>
    <w:rPr>
      <w:sz w:val="18"/>
      <w:szCs w:val="18"/>
    </w:rPr>
  </w:style>
  <w:style w:type="paragraph" w:styleId="ab">
    <w:name w:val="annotation text"/>
    <w:basedOn w:val="a"/>
    <w:link w:val="ac"/>
    <w:uiPriority w:val="99"/>
    <w:semiHidden/>
    <w:unhideWhenUsed/>
    <w:rsid w:val="00280B24"/>
  </w:style>
  <w:style w:type="character" w:customStyle="1" w:styleId="ac">
    <w:name w:val="註解文字 字元"/>
    <w:basedOn w:val="a0"/>
    <w:link w:val="ab"/>
    <w:uiPriority w:val="99"/>
    <w:semiHidden/>
    <w:rsid w:val="00280B24"/>
    <w:rPr>
      <w:rFonts w:eastAsia="Times New Roman"/>
    </w:rPr>
  </w:style>
  <w:style w:type="paragraph" w:styleId="ad">
    <w:name w:val="annotation subject"/>
    <w:basedOn w:val="ab"/>
    <w:next w:val="ab"/>
    <w:link w:val="ae"/>
    <w:uiPriority w:val="99"/>
    <w:semiHidden/>
    <w:unhideWhenUsed/>
    <w:rsid w:val="00280B24"/>
    <w:rPr>
      <w:b/>
      <w:bCs/>
    </w:rPr>
  </w:style>
  <w:style w:type="character" w:customStyle="1" w:styleId="ae">
    <w:name w:val="註解主旨 字元"/>
    <w:basedOn w:val="ac"/>
    <w:link w:val="ad"/>
    <w:uiPriority w:val="99"/>
    <w:semiHidden/>
    <w:rsid w:val="00280B24"/>
    <w:rPr>
      <w:rFonts w:eastAsia="Times New Roman"/>
      <w:b/>
      <w:bCs/>
    </w:rPr>
  </w:style>
  <w:style w:type="character" w:styleId="af">
    <w:name w:val="Placeholder Text"/>
    <w:basedOn w:val="a0"/>
    <w:uiPriority w:val="99"/>
    <w:semiHidden/>
    <w:rsid w:val="00F11B1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3963258">
      <w:bodyDiv w:val="1"/>
      <w:marLeft w:val="0"/>
      <w:marRight w:val="0"/>
      <w:marTop w:val="0"/>
      <w:marBottom w:val="0"/>
      <w:divBdr>
        <w:top w:val="none" w:sz="0" w:space="0" w:color="auto"/>
        <w:left w:val="none" w:sz="0" w:space="0" w:color="auto"/>
        <w:bottom w:val="none" w:sz="0" w:space="0" w:color="auto"/>
        <w:right w:val="none" w:sz="0" w:space="0" w:color="auto"/>
      </w:divBdr>
    </w:div>
    <w:div w:id="1899783252">
      <w:bodyDiv w:val="1"/>
      <w:marLeft w:val="0"/>
      <w:marRight w:val="0"/>
      <w:marTop w:val="0"/>
      <w:marBottom w:val="0"/>
      <w:divBdr>
        <w:top w:val="none" w:sz="0" w:space="0" w:color="auto"/>
        <w:left w:val="none" w:sz="0" w:space="0" w:color="auto"/>
        <w:bottom w:val="none" w:sz="0" w:space="0" w:color="auto"/>
        <w:right w:val="none" w:sz="0" w:space="0" w:color="auto"/>
      </w:divBdr>
    </w:div>
    <w:div w:id="2077435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66A10B-9970-4886-9B05-D6241678C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7</Pages>
  <Words>1525</Words>
  <Characters>8693</Characters>
  <Application>Microsoft Office Word</Application>
  <DocSecurity>0</DocSecurity>
  <Lines>72</Lines>
  <Paragraphs>20</Paragraphs>
  <ScaleCrop>false</ScaleCrop>
  <Company/>
  <LinksUpToDate>false</LinksUpToDate>
  <CharactersWithSpaces>10198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Chao</dc:creator>
  <cp:keywords/>
  <dc:description/>
  <cp:lastModifiedBy>Tiffany Chao</cp:lastModifiedBy>
  <cp:revision>35</cp:revision>
  <cp:lastPrinted>2022-05-23T06:18:00Z</cp:lastPrinted>
  <dcterms:created xsi:type="dcterms:W3CDTF">2022-05-23T06:29:00Z</dcterms:created>
  <dcterms:modified xsi:type="dcterms:W3CDTF">2022-07-07T01:50:00Z</dcterms:modified>
</cp:coreProperties>
</file>