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2AF42" w14:textId="77777777" w:rsidR="009C79FF" w:rsidRDefault="009C79FF" w:rsidP="009C79FF">
      <w:pPr>
        <w:spacing w:line="480" w:lineRule="auto"/>
      </w:pPr>
      <w:r w:rsidRPr="006449B1">
        <w:rPr>
          <w:b/>
        </w:rPr>
        <w:t xml:space="preserve">Table </w:t>
      </w:r>
      <w:r>
        <w:rPr>
          <w:b/>
        </w:rPr>
        <w:t>1</w:t>
      </w:r>
      <w:r w:rsidRPr="006449B1">
        <w:rPr>
          <w:b/>
        </w:rPr>
        <w:t>: Summary of extent of manual curat</w:t>
      </w:r>
      <w:r>
        <w:rPr>
          <w:b/>
        </w:rPr>
        <w:t>ion across the different models</w:t>
      </w:r>
    </w:p>
    <w:tbl>
      <w:tblPr>
        <w:tblpPr w:leftFromText="180" w:rightFromText="180" w:vertAnchor="text" w:horzAnchor="margin" w:tblpY="511"/>
        <w:tblW w:w="8921" w:type="dxa"/>
        <w:tblLayout w:type="fixed"/>
        <w:tblLook w:val="04A0" w:firstRow="1" w:lastRow="0" w:firstColumn="1" w:lastColumn="0" w:noHBand="0" w:noVBand="1"/>
      </w:tblPr>
      <w:tblGrid>
        <w:gridCol w:w="1975"/>
        <w:gridCol w:w="1157"/>
        <w:gridCol w:w="1158"/>
        <w:gridCol w:w="1158"/>
        <w:gridCol w:w="1157"/>
        <w:gridCol w:w="1158"/>
        <w:gridCol w:w="1158"/>
      </w:tblGrid>
      <w:tr w:rsidR="009C79FF" w:rsidRPr="001E6DD4" w14:paraId="04C826DA" w14:textId="77777777" w:rsidTr="00BA133C">
        <w:trPr>
          <w:trHeight w:val="450"/>
        </w:trPr>
        <w:tc>
          <w:tcPr>
            <w:tcW w:w="1975" w:type="dxa"/>
            <w:vMerge w:val="restart"/>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79FA6618" w14:textId="77777777" w:rsidR="009C79FF" w:rsidRPr="001E6DD4" w:rsidRDefault="009C79FF" w:rsidP="00BA133C">
            <w:pPr>
              <w:spacing w:after="0" w:line="240" w:lineRule="auto"/>
              <w:jc w:val="center"/>
              <w:rPr>
                <w:rFonts w:ascii="Calibri" w:eastAsia="Times New Roman" w:hAnsi="Calibri" w:cs="Times New Roman"/>
                <w:b/>
                <w:bCs/>
                <w:color w:val="000000"/>
                <w:lang w:eastAsia="en-AU"/>
              </w:rPr>
            </w:pPr>
            <w:r>
              <w:rPr>
                <w:rFonts w:ascii="Calibri" w:eastAsia="Times New Roman" w:hAnsi="Calibri" w:cs="Times New Roman"/>
                <w:b/>
                <w:bCs/>
                <w:color w:val="000000"/>
                <w:lang w:eastAsia="en-AU"/>
              </w:rPr>
              <w:t>M</w:t>
            </w:r>
            <w:r w:rsidRPr="001E6DD4">
              <w:rPr>
                <w:rFonts w:ascii="Calibri" w:eastAsia="Times New Roman" w:hAnsi="Calibri" w:cs="Times New Roman"/>
                <w:b/>
                <w:bCs/>
                <w:color w:val="000000"/>
                <w:lang w:eastAsia="en-AU"/>
              </w:rPr>
              <w:t>odel</w:t>
            </w:r>
          </w:p>
        </w:tc>
        <w:tc>
          <w:tcPr>
            <w:tcW w:w="1157"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162B8EF2"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i/>
                <w:iCs/>
                <w:color w:val="000000"/>
                <w:lang w:eastAsia="en-AU"/>
              </w:rPr>
              <w:t xml:space="preserve">P. </w:t>
            </w:r>
            <w:proofErr w:type="spellStart"/>
            <w:r w:rsidRPr="001E6DD4">
              <w:rPr>
                <w:rFonts w:ascii="Calibri" w:eastAsia="Times New Roman" w:hAnsi="Calibri" w:cs="Times New Roman"/>
                <w:i/>
                <w:iCs/>
                <w:color w:val="000000"/>
                <w:lang w:eastAsia="en-AU"/>
              </w:rPr>
              <w:t>acidi</w:t>
            </w:r>
            <w:proofErr w:type="spellEnd"/>
            <w:r>
              <w:rPr>
                <w:rFonts w:ascii="Calibri" w:eastAsia="Times New Roman" w:hAnsi="Calibri" w:cs="Times New Roman"/>
                <w:i/>
                <w:iCs/>
                <w:color w:val="000000"/>
                <w:lang w:eastAsia="en-AU"/>
              </w:rPr>
              <w:t>.</w:t>
            </w:r>
            <w:r w:rsidRPr="001E6DD4">
              <w:rPr>
                <w:rFonts w:ascii="Calibri" w:eastAsia="Times New Roman" w:hAnsi="Calibri" w:cs="Times New Roman"/>
                <w:i/>
                <w:iCs/>
                <w:color w:val="000000"/>
                <w:lang w:eastAsia="en-AU"/>
              </w:rPr>
              <w:t xml:space="preserve"> </w:t>
            </w:r>
            <w:r w:rsidRPr="001E6DD4">
              <w:rPr>
                <w:rFonts w:ascii="Calibri" w:eastAsia="Times New Roman" w:hAnsi="Calibri" w:cs="Times New Roman"/>
                <w:color w:val="000000"/>
                <w:lang w:eastAsia="en-AU"/>
              </w:rPr>
              <w:t>4875</w:t>
            </w:r>
          </w:p>
        </w:tc>
        <w:tc>
          <w:tcPr>
            <w:tcW w:w="1158"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2017A6DE"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i/>
                <w:iCs/>
                <w:color w:val="000000"/>
                <w:lang w:eastAsia="en-AU"/>
              </w:rPr>
              <w:t xml:space="preserve">P. </w:t>
            </w:r>
            <w:proofErr w:type="spellStart"/>
            <w:r w:rsidRPr="001E6DD4">
              <w:rPr>
                <w:rFonts w:ascii="Calibri" w:eastAsia="Times New Roman" w:hAnsi="Calibri" w:cs="Times New Roman"/>
                <w:i/>
                <w:iCs/>
                <w:color w:val="000000"/>
                <w:lang w:eastAsia="en-AU"/>
              </w:rPr>
              <w:t>acidi</w:t>
            </w:r>
            <w:proofErr w:type="spellEnd"/>
            <w:r>
              <w:rPr>
                <w:rFonts w:ascii="Calibri" w:eastAsia="Times New Roman" w:hAnsi="Calibri" w:cs="Times New Roman"/>
                <w:i/>
                <w:iCs/>
                <w:color w:val="000000"/>
                <w:lang w:eastAsia="en-AU"/>
              </w:rPr>
              <w:t>.</w:t>
            </w:r>
            <w:r w:rsidRPr="001E6DD4">
              <w:rPr>
                <w:rFonts w:ascii="Calibri" w:eastAsia="Times New Roman" w:hAnsi="Calibri" w:cs="Times New Roman"/>
                <w:i/>
                <w:iCs/>
                <w:color w:val="000000"/>
                <w:lang w:eastAsia="en-AU"/>
              </w:rPr>
              <w:t xml:space="preserve"> </w:t>
            </w:r>
            <w:r w:rsidRPr="001E6DD4">
              <w:rPr>
                <w:rFonts w:ascii="Calibri" w:eastAsia="Times New Roman" w:hAnsi="Calibri" w:cs="Times New Roman"/>
                <w:color w:val="000000"/>
                <w:lang w:eastAsia="en-AU"/>
              </w:rPr>
              <w:t>55737</w:t>
            </w:r>
          </w:p>
        </w:tc>
        <w:tc>
          <w:tcPr>
            <w:tcW w:w="1158"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46695B07"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r w:rsidRPr="001E6DD4">
              <w:rPr>
                <w:rFonts w:ascii="Calibri" w:eastAsia="Times New Roman" w:hAnsi="Calibri" w:cs="Times New Roman"/>
                <w:i/>
                <w:iCs/>
                <w:color w:val="000000"/>
                <w:lang w:eastAsia="en-AU"/>
              </w:rPr>
              <w:t xml:space="preserve">P. </w:t>
            </w:r>
            <w:proofErr w:type="spellStart"/>
            <w:r w:rsidRPr="001E6DD4">
              <w:rPr>
                <w:rFonts w:ascii="Calibri" w:eastAsia="Times New Roman" w:hAnsi="Calibri" w:cs="Times New Roman"/>
                <w:i/>
                <w:iCs/>
                <w:color w:val="000000"/>
                <w:lang w:eastAsia="en-AU"/>
              </w:rPr>
              <w:t>sherm</w:t>
            </w:r>
            <w:proofErr w:type="spellEnd"/>
            <w:r>
              <w:rPr>
                <w:rFonts w:ascii="Calibri" w:eastAsia="Times New Roman" w:hAnsi="Calibri" w:cs="Times New Roman"/>
                <w:i/>
                <w:iCs/>
                <w:color w:val="000000"/>
                <w:lang w:eastAsia="en-AU"/>
              </w:rPr>
              <w:t>.</w:t>
            </w:r>
          </w:p>
        </w:tc>
        <w:tc>
          <w:tcPr>
            <w:tcW w:w="1157"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52D60737"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r w:rsidRPr="001E6DD4">
              <w:rPr>
                <w:rFonts w:ascii="Calibri" w:eastAsia="Times New Roman" w:hAnsi="Calibri" w:cs="Times New Roman"/>
                <w:i/>
                <w:iCs/>
                <w:color w:val="000000"/>
                <w:lang w:eastAsia="en-AU"/>
              </w:rPr>
              <w:t xml:space="preserve">P. </w:t>
            </w:r>
            <w:proofErr w:type="spellStart"/>
            <w:r w:rsidRPr="001E6DD4">
              <w:rPr>
                <w:rFonts w:ascii="Calibri" w:eastAsia="Times New Roman" w:hAnsi="Calibri" w:cs="Times New Roman"/>
                <w:i/>
                <w:iCs/>
                <w:color w:val="000000"/>
                <w:lang w:eastAsia="en-AU"/>
              </w:rPr>
              <w:t>avidum</w:t>
            </w:r>
            <w:proofErr w:type="spellEnd"/>
          </w:p>
        </w:tc>
        <w:tc>
          <w:tcPr>
            <w:tcW w:w="1158"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77DFA37E"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r w:rsidRPr="001E6DD4">
              <w:rPr>
                <w:rFonts w:ascii="Calibri" w:eastAsia="Times New Roman" w:hAnsi="Calibri" w:cs="Times New Roman"/>
                <w:i/>
                <w:iCs/>
                <w:color w:val="000000"/>
                <w:lang w:eastAsia="en-AU"/>
              </w:rPr>
              <w:t>P. prop</w:t>
            </w:r>
            <w:r>
              <w:rPr>
                <w:rFonts w:ascii="Calibri" w:eastAsia="Times New Roman" w:hAnsi="Calibri" w:cs="Times New Roman"/>
                <w:i/>
                <w:iCs/>
                <w:color w:val="000000"/>
                <w:lang w:eastAsia="en-AU"/>
              </w:rPr>
              <w:t>.</w:t>
            </w:r>
          </w:p>
        </w:tc>
        <w:tc>
          <w:tcPr>
            <w:tcW w:w="1158" w:type="dxa"/>
            <w:vMerge w:val="restart"/>
            <w:tcBorders>
              <w:top w:val="single" w:sz="8" w:space="0" w:color="auto"/>
              <w:left w:val="single" w:sz="8" w:space="0" w:color="auto"/>
              <w:bottom w:val="single" w:sz="4" w:space="0" w:color="auto"/>
              <w:right w:val="single" w:sz="8" w:space="0" w:color="auto"/>
            </w:tcBorders>
            <w:shd w:val="clear" w:color="auto" w:fill="auto"/>
            <w:vAlign w:val="center"/>
            <w:hideMark/>
          </w:tcPr>
          <w:p w14:paraId="599002CC"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r w:rsidRPr="001E6DD4">
              <w:rPr>
                <w:rFonts w:ascii="Calibri" w:eastAsia="Times New Roman" w:hAnsi="Calibri" w:cs="Times New Roman"/>
                <w:i/>
                <w:iCs/>
                <w:color w:val="000000"/>
                <w:lang w:eastAsia="en-AU"/>
              </w:rPr>
              <w:t>P. acnes</w:t>
            </w:r>
          </w:p>
        </w:tc>
      </w:tr>
      <w:tr w:rsidR="009C79FF" w:rsidRPr="001E6DD4" w14:paraId="12C56FD3" w14:textId="77777777" w:rsidTr="00BA133C">
        <w:trPr>
          <w:trHeight w:val="450"/>
        </w:trPr>
        <w:tc>
          <w:tcPr>
            <w:tcW w:w="1975" w:type="dxa"/>
            <w:vMerge/>
            <w:tcBorders>
              <w:top w:val="single" w:sz="8" w:space="0" w:color="auto"/>
              <w:left w:val="single" w:sz="8" w:space="0" w:color="auto"/>
              <w:bottom w:val="single" w:sz="4" w:space="0" w:color="auto"/>
              <w:right w:val="single" w:sz="8" w:space="0" w:color="auto"/>
            </w:tcBorders>
            <w:vAlign w:val="center"/>
            <w:hideMark/>
          </w:tcPr>
          <w:p w14:paraId="0D872B67" w14:textId="77777777" w:rsidR="009C79FF" w:rsidRPr="001E6DD4" w:rsidRDefault="009C79FF" w:rsidP="00BA133C">
            <w:pPr>
              <w:spacing w:after="0" w:line="240" w:lineRule="auto"/>
              <w:jc w:val="center"/>
              <w:rPr>
                <w:rFonts w:ascii="Calibri" w:eastAsia="Times New Roman" w:hAnsi="Calibri" w:cs="Times New Roman"/>
                <w:b/>
                <w:bCs/>
                <w:color w:val="000000"/>
                <w:lang w:eastAsia="en-AU"/>
              </w:rPr>
            </w:pPr>
          </w:p>
        </w:tc>
        <w:tc>
          <w:tcPr>
            <w:tcW w:w="1157" w:type="dxa"/>
            <w:vMerge/>
            <w:tcBorders>
              <w:top w:val="single" w:sz="8" w:space="0" w:color="auto"/>
              <w:left w:val="single" w:sz="8" w:space="0" w:color="auto"/>
              <w:bottom w:val="single" w:sz="4" w:space="0" w:color="auto"/>
              <w:right w:val="single" w:sz="8" w:space="0" w:color="auto"/>
            </w:tcBorders>
            <w:vAlign w:val="center"/>
            <w:hideMark/>
          </w:tcPr>
          <w:p w14:paraId="1598B65C"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p>
        </w:tc>
        <w:tc>
          <w:tcPr>
            <w:tcW w:w="1158" w:type="dxa"/>
            <w:vMerge/>
            <w:tcBorders>
              <w:top w:val="single" w:sz="8" w:space="0" w:color="auto"/>
              <w:left w:val="single" w:sz="8" w:space="0" w:color="auto"/>
              <w:bottom w:val="single" w:sz="4" w:space="0" w:color="auto"/>
              <w:right w:val="single" w:sz="8" w:space="0" w:color="auto"/>
            </w:tcBorders>
            <w:vAlign w:val="center"/>
            <w:hideMark/>
          </w:tcPr>
          <w:p w14:paraId="1E9893C8"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p>
        </w:tc>
        <w:tc>
          <w:tcPr>
            <w:tcW w:w="1158" w:type="dxa"/>
            <w:vMerge/>
            <w:tcBorders>
              <w:top w:val="single" w:sz="8" w:space="0" w:color="auto"/>
              <w:left w:val="single" w:sz="8" w:space="0" w:color="auto"/>
              <w:bottom w:val="single" w:sz="4" w:space="0" w:color="auto"/>
              <w:right w:val="single" w:sz="8" w:space="0" w:color="auto"/>
            </w:tcBorders>
            <w:vAlign w:val="center"/>
            <w:hideMark/>
          </w:tcPr>
          <w:p w14:paraId="5E6A2783"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p>
        </w:tc>
        <w:tc>
          <w:tcPr>
            <w:tcW w:w="1157" w:type="dxa"/>
            <w:vMerge/>
            <w:tcBorders>
              <w:top w:val="single" w:sz="8" w:space="0" w:color="auto"/>
              <w:left w:val="single" w:sz="8" w:space="0" w:color="auto"/>
              <w:bottom w:val="single" w:sz="4" w:space="0" w:color="auto"/>
              <w:right w:val="single" w:sz="8" w:space="0" w:color="auto"/>
            </w:tcBorders>
            <w:vAlign w:val="center"/>
            <w:hideMark/>
          </w:tcPr>
          <w:p w14:paraId="297AADD9"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p>
        </w:tc>
        <w:tc>
          <w:tcPr>
            <w:tcW w:w="1158" w:type="dxa"/>
            <w:vMerge/>
            <w:tcBorders>
              <w:top w:val="single" w:sz="8" w:space="0" w:color="auto"/>
              <w:left w:val="single" w:sz="8" w:space="0" w:color="auto"/>
              <w:bottom w:val="single" w:sz="4" w:space="0" w:color="auto"/>
              <w:right w:val="single" w:sz="8" w:space="0" w:color="auto"/>
            </w:tcBorders>
            <w:vAlign w:val="center"/>
            <w:hideMark/>
          </w:tcPr>
          <w:p w14:paraId="626C2ED4"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p>
        </w:tc>
        <w:tc>
          <w:tcPr>
            <w:tcW w:w="1158" w:type="dxa"/>
            <w:vMerge/>
            <w:tcBorders>
              <w:top w:val="single" w:sz="8" w:space="0" w:color="auto"/>
              <w:left w:val="single" w:sz="8" w:space="0" w:color="auto"/>
              <w:bottom w:val="single" w:sz="4" w:space="0" w:color="auto"/>
              <w:right w:val="single" w:sz="8" w:space="0" w:color="auto"/>
            </w:tcBorders>
            <w:vAlign w:val="center"/>
            <w:hideMark/>
          </w:tcPr>
          <w:p w14:paraId="6B4D626A" w14:textId="77777777" w:rsidR="009C79FF" w:rsidRPr="001E6DD4" w:rsidRDefault="009C79FF" w:rsidP="00BA133C">
            <w:pPr>
              <w:spacing w:after="0" w:line="240" w:lineRule="auto"/>
              <w:jc w:val="center"/>
              <w:rPr>
                <w:rFonts w:ascii="Calibri" w:eastAsia="Times New Roman" w:hAnsi="Calibri" w:cs="Times New Roman"/>
                <w:i/>
                <w:iCs/>
                <w:color w:val="000000"/>
                <w:lang w:eastAsia="en-AU"/>
              </w:rPr>
            </w:pPr>
          </w:p>
        </w:tc>
      </w:tr>
      <w:tr w:rsidR="009C79FF" w:rsidRPr="001E6DD4" w14:paraId="1DA9747A"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hideMark/>
          </w:tcPr>
          <w:p w14:paraId="3B5FBA1C"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Reactions added</w:t>
            </w:r>
          </w:p>
        </w:tc>
        <w:tc>
          <w:tcPr>
            <w:tcW w:w="1157" w:type="dxa"/>
            <w:tcBorders>
              <w:top w:val="nil"/>
              <w:left w:val="nil"/>
              <w:bottom w:val="single" w:sz="4" w:space="0" w:color="auto"/>
              <w:right w:val="single" w:sz="8" w:space="0" w:color="auto"/>
            </w:tcBorders>
            <w:shd w:val="clear" w:color="auto" w:fill="auto"/>
            <w:noWrap/>
            <w:vAlign w:val="center"/>
            <w:hideMark/>
          </w:tcPr>
          <w:p w14:paraId="62739072" w14:textId="77777777" w:rsidR="009C79FF" w:rsidRPr="00D90180"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250</w:t>
            </w:r>
          </w:p>
        </w:tc>
        <w:tc>
          <w:tcPr>
            <w:tcW w:w="1158" w:type="dxa"/>
            <w:tcBorders>
              <w:top w:val="nil"/>
              <w:left w:val="nil"/>
              <w:bottom w:val="single" w:sz="4" w:space="0" w:color="auto"/>
              <w:right w:val="single" w:sz="8" w:space="0" w:color="auto"/>
            </w:tcBorders>
            <w:shd w:val="clear" w:color="auto" w:fill="auto"/>
            <w:noWrap/>
            <w:vAlign w:val="center"/>
            <w:hideMark/>
          </w:tcPr>
          <w:p w14:paraId="0679622C" w14:textId="77777777" w:rsidR="009C79FF" w:rsidRPr="00E8463D" w:rsidRDefault="009C79FF" w:rsidP="00BA133C">
            <w:pPr>
              <w:spacing w:after="0" w:line="240" w:lineRule="auto"/>
              <w:jc w:val="center"/>
              <w:rPr>
                <w:rFonts w:ascii="Calibri" w:eastAsia="Times New Roman" w:hAnsi="Calibri" w:cs="Times New Roman"/>
                <w:color w:val="000000"/>
                <w:lang w:eastAsia="en-AU"/>
              </w:rPr>
            </w:pPr>
            <w:r w:rsidRPr="00E8463D">
              <w:rPr>
                <w:rFonts w:ascii="Calibri" w:hAnsi="Calibri"/>
                <w:color w:val="000000"/>
              </w:rPr>
              <w:t>23</w:t>
            </w:r>
            <w:r>
              <w:rPr>
                <w:rFonts w:ascii="Calibri" w:hAnsi="Calibri"/>
                <w:color w:val="000000"/>
              </w:rPr>
              <w:t>9</w:t>
            </w:r>
          </w:p>
        </w:tc>
        <w:tc>
          <w:tcPr>
            <w:tcW w:w="1158" w:type="dxa"/>
            <w:tcBorders>
              <w:top w:val="nil"/>
              <w:left w:val="nil"/>
              <w:bottom w:val="single" w:sz="4" w:space="0" w:color="auto"/>
              <w:right w:val="single" w:sz="8" w:space="0" w:color="auto"/>
            </w:tcBorders>
            <w:shd w:val="clear" w:color="auto" w:fill="auto"/>
            <w:noWrap/>
            <w:vAlign w:val="center"/>
            <w:hideMark/>
          </w:tcPr>
          <w:p w14:paraId="79B7F604" w14:textId="77777777" w:rsidR="009C79FF" w:rsidRPr="006B29E0" w:rsidRDefault="009C79FF" w:rsidP="00BA133C">
            <w:pPr>
              <w:spacing w:after="0" w:line="240" w:lineRule="auto"/>
              <w:jc w:val="center"/>
              <w:rPr>
                <w:rFonts w:ascii="Calibri" w:eastAsia="Times New Roman" w:hAnsi="Calibri" w:cs="Times New Roman"/>
                <w:color w:val="000000"/>
                <w:lang w:eastAsia="en-AU"/>
              </w:rPr>
            </w:pPr>
            <w:r w:rsidRPr="006B29E0">
              <w:rPr>
                <w:rFonts w:ascii="Calibri" w:hAnsi="Calibri"/>
                <w:color w:val="000000"/>
              </w:rPr>
              <w:t>21</w:t>
            </w:r>
            <w:r>
              <w:rPr>
                <w:rFonts w:ascii="Calibri" w:hAnsi="Calibri"/>
                <w:color w:val="000000"/>
              </w:rPr>
              <w:t>9</w:t>
            </w:r>
          </w:p>
        </w:tc>
        <w:tc>
          <w:tcPr>
            <w:tcW w:w="1157" w:type="dxa"/>
            <w:tcBorders>
              <w:top w:val="nil"/>
              <w:left w:val="nil"/>
              <w:bottom w:val="single" w:sz="4" w:space="0" w:color="auto"/>
              <w:right w:val="single" w:sz="8" w:space="0" w:color="auto"/>
            </w:tcBorders>
            <w:shd w:val="clear" w:color="auto" w:fill="auto"/>
            <w:noWrap/>
            <w:vAlign w:val="center"/>
            <w:hideMark/>
          </w:tcPr>
          <w:p w14:paraId="2165F4F6" w14:textId="77777777" w:rsidR="009C79FF" w:rsidRPr="00DD6662" w:rsidRDefault="009C79FF" w:rsidP="00BA133C">
            <w:pPr>
              <w:spacing w:after="0" w:line="240" w:lineRule="auto"/>
              <w:jc w:val="center"/>
              <w:rPr>
                <w:rFonts w:ascii="Calibri" w:eastAsia="Times New Roman" w:hAnsi="Calibri" w:cs="Times New Roman"/>
                <w:color w:val="000000"/>
                <w:lang w:eastAsia="en-AU"/>
              </w:rPr>
            </w:pPr>
            <w:r w:rsidRPr="00DD6662">
              <w:rPr>
                <w:rFonts w:ascii="Calibri" w:hAnsi="Calibri"/>
                <w:color w:val="000000"/>
              </w:rPr>
              <w:t>23</w:t>
            </w:r>
            <w:r>
              <w:rPr>
                <w:rFonts w:ascii="Calibri" w:hAnsi="Calibri"/>
                <w:color w:val="000000"/>
              </w:rPr>
              <w:t>7</w:t>
            </w:r>
          </w:p>
        </w:tc>
        <w:tc>
          <w:tcPr>
            <w:tcW w:w="1158" w:type="dxa"/>
            <w:tcBorders>
              <w:top w:val="nil"/>
              <w:left w:val="nil"/>
              <w:bottom w:val="single" w:sz="4" w:space="0" w:color="auto"/>
              <w:right w:val="single" w:sz="8" w:space="0" w:color="auto"/>
            </w:tcBorders>
            <w:shd w:val="clear" w:color="auto" w:fill="auto"/>
            <w:noWrap/>
            <w:vAlign w:val="center"/>
            <w:hideMark/>
          </w:tcPr>
          <w:p w14:paraId="5F733E6F"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21</w:t>
            </w:r>
            <w:r>
              <w:rPr>
                <w:rFonts w:ascii="Calibri" w:hAnsi="Calibri"/>
                <w:color w:val="000000"/>
              </w:rPr>
              <w:t>3</w:t>
            </w:r>
          </w:p>
        </w:tc>
        <w:tc>
          <w:tcPr>
            <w:tcW w:w="1158" w:type="dxa"/>
            <w:tcBorders>
              <w:top w:val="nil"/>
              <w:left w:val="nil"/>
              <w:bottom w:val="single" w:sz="4" w:space="0" w:color="auto"/>
              <w:right w:val="single" w:sz="8" w:space="0" w:color="auto"/>
            </w:tcBorders>
            <w:shd w:val="clear" w:color="auto" w:fill="auto"/>
            <w:noWrap/>
            <w:vAlign w:val="center"/>
            <w:hideMark/>
          </w:tcPr>
          <w:p w14:paraId="632F0396"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22</w:t>
            </w:r>
            <w:r>
              <w:rPr>
                <w:rFonts w:ascii="Calibri" w:hAnsi="Calibri"/>
                <w:color w:val="000000"/>
              </w:rPr>
              <w:t>6</w:t>
            </w:r>
          </w:p>
        </w:tc>
      </w:tr>
      <w:tr w:rsidR="009C79FF" w:rsidRPr="001E6DD4" w14:paraId="4D3B2EF4"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tcPr>
          <w:p w14:paraId="08E61DC7"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Transporters added</w:t>
            </w:r>
          </w:p>
        </w:tc>
        <w:tc>
          <w:tcPr>
            <w:tcW w:w="1157" w:type="dxa"/>
            <w:tcBorders>
              <w:top w:val="nil"/>
              <w:left w:val="nil"/>
              <w:bottom w:val="single" w:sz="4" w:space="0" w:color="auto"/>
              <w:right w:val="single" w:sz="8" w:space="0" w:color="auto"/>
            </w:tcBorders>
            <w:shd w:val="clear" w:color="auto" w:fill="auto"/>
            <w:noWrap/>
            <w:vAlign w:val="center"/>
          </w:tcPr>
          <w:p w14:paraId="7F110A45" w14:textId="77777777" w:rsidR="009C79FF" w:rsidRPr="00D90180"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117</w:t>
            </w:r>
          </w:p>
        </w:tc>
        <w:tc>
          <w:tcPr>
            <w:tcW w:w="1158" w:type="dxa"/>
            <w:tcBorders>
              <w:top w:val="nil"/>
              <w:left w:val="nil"/>
              <w:bottom w:val="single" w:sz="4" w:space="0" w:color="auto"/>
              <w:right w:val="single" w:sz="8" w:space="0" w:color="auto"/>
            </w:tcBorders>
            <w:shd w:val="clear" w:color="auto" w:fill="auto"/>
            <w:noWrap/>
            <w:vAlign w:val="center"/>
          </w:tcPr>
          <w:p w14:paraId="4BC3F4FF" w14:textId="77777777" w:rsidR="009C79FF" w:rsidRPr="00E8463D" w:rsidRDefault="009C79FF" w:rsidP="00BA133C">
            <w:pPr>
              <w:spacing w:after="0" w:line="240" w:lineRule="auto"/>
              <w:jc w:val="center"/>
              <w:rPr>
                <w:rFonts w:ascii="Calibri" w:eastAsia="Times New Roman" w:hAnsi="Calibri" w:cs="Times New Roman"/>
                <w:color w:val="000000"/>
                <w:lang w:eastAsia="en-AU"/>
              </w:rPr>
            </w:pPr>
            <w:r w:rsidRPr="00E8463D">
              <w:rPr>
                <w:rFonts w:ascii="Calibri" w:hAnsi="Calibri"/>
                <w:color w:val="000000"/>
              </w:rPr>
              <w:t>121</w:t>
            </w:r>
          </w:p>
        </w:tc>
        <w:tc>
          <w:tcPr>
            <w:tcW w:w="1158" w:type="dxa"/>
            <w:tcBorders>
              <w:top w:val="nil"/>
              <w:left w:val="nil"/>
              <w:bottom w:val="single" w:sz="4" w:space="0" w:color="auto"/>
              <w:right w:val="single" w:sz="8" w:space="0" w:color="auto"/>
            </w:tcBorders>
            <w:shd w:val="clear" w:color="auto" w:fill="auto"/>
            <w:noWrap/>
            <w:vAlign w:val="center"/>
          </w:tcPr>
          <w:p w14:paraId="379AC543" w14:textId="77777777" w:rsidR="009C79FF" w:rsidRPr="006B29E0"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121</w:t>
            </w:r>
          </w:p>
        </w:tc>
        <w:tc>
          <w:tcPr>
            <w:tcW w:w="1157" w:type="dxa"/>
            <w:tcBorders>
              <w:top w:val="nil"/>
              <w:left w:val="nil"/>
              <w:bottom w:val="single" w:sz="4" w:space="0" w:color="auto"/>
              <w:right w:val="single" w:sz="8" w:space="0" w:color="auto"/>
            </w:tcBorders>
            <w:shd w:val="clear" w:color="auto" w:fill="auto"/>
            <w:noWrap/>
            <w:vAlign w:val="center"/>
          </w:tcPr>
          <w:p w14:paraId="478E6106" w14:textId="77777777" w:rsidR="009C79FF" w:rsidRPr="00DD6662" w:rsidRDefault="009C79FF" w:rsidP="00BA133C">
            <w:pPr>
              <w:spacing w:after="0" w:line="240" w:lineRule="auto"/>
              <w:jc w:val="center"/>
              <w:rPr>
                <w:rFonts w:ascii="Calibri" w:eastAsia="Times New Roman" w:hAnsi="Calibri" w:cs="Times New Roman"/>
                <w:color w:val="000000"/>
                <w:lang w:eastAsia="en-AU"/>
              </w:rPr>
            </w:pPr>
            <w:r w:rsidRPr="00DD6662">
              <w:rPr>
                <w:rFonts w:ascii="Calibri" w:hAnsi="Calibri"/>
                <w:color w:val="000000"/>
              </w:rPr>
              <w:t>131</w:t>
            </w:r>
          </w:p>
        </w:tc>
        <w:tc>
          <w:tcPr>
            <w:tcW w:w="1158" w:type="dxa"/>
            <w:tcBorders>
              <w:top w:val="nil"/>
              <w:left w:val="nil"/>
              <w:bottom w:val="single" w:sz="4" w:space="0" w:color="auto"/>
              <w:right w:val="single" w:sz="8" w:space="0" w:color="auto"/>
            </w:tcBorders>
            <w:shd w:val="clear" w:color="auto" w:fill="auto"/>
            <w:noWrap/>
            <w:vAlign w:val="center"/>
          </w:tcPr>
          <w:p w14:paraId="3C2CFA2C"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1</w:t>
            </w:r>
            <w:r>
              <w:rPr>
                <w:rFonts w:ascii="Calibri" w:hAnsi="Calibri"/>
                <w:color w:val="000000"/>
              </w:rPr>
              <w:t>31</w:t>
            </w:r>
          </w:p>
        </w:tc>
        <w:tc>
          <w:tcPr>
            <w:tcW w:w="1158" w:type="dxa"/>
            <w:tcBorders>
              <w:top w:val="nil"/>
              <w:left w:val="nil"/>
              <w:bottom w:val="single" w:sz="4" w:space="0" w:color="auto"/>
              <w:right w:val="single" w:sz="8" w:space="0" w:color="auto"/>
            </w:tcBorders>
            <w:shd w:val="clear" w:color="auto" w:fill="auto"/>
            <w:noWrap/>
            <w:vAlign w:val="center"/>
          </w:tcPr>
          <w:p w14:paraId="24863F68"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12</w:t>
            </w:r>
            <w:r>
              <w:rPr>
                <w:rFonts w:ascii="Calibri" w:hAnsi="Calibri"/>
                <w:color w:val="000000"/>
              </w:rPr>
              <w:t>7</w:t>
            </w:r>
          </w:p>
        </w:tc>
      </w:tr>
      <w:tr w:rsidR="009C79FF" w:rsidRPr="001E6DD4" w14:paraId="0AA2B4EF"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hideMark/>
          </w:tcPr>
          <w:p w14:paraId="72852CFD"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Reactions removed</w:t>
            </w:r>
          </w:p>
        </w:tc>
        <w:tc>
          <w:tcPr>
            <w:tcW w:w="1157" w:type="dxa"/>
            <w:tcBorders>
              <w:top w:val="nil"/>
              <w:left w:val="nil"/>
              <w:bottom w:val="single" w:sz="4" w:space="0" w:color="auto"/>
              <w:right w:val="single" w:sz="8" w:space="0" w:color="auto"/>
            </w:tcBorders>
            <w:shd w:val="clear" w:color="auto" w:fill="auto"/>
            <w:noWrap/>
            <w:vAlign w:val="center"/>
            <w:hideMark/>
          </w:tcPr>
          <w:p w14:paraId="7A1BEAC1" w14:textId="77777777" w:rsidR="009C79FF" w:rsidRPr="00D90180" w:rsidRDefault="009C79FF" w:rsidP="00BA133C">
            <w:pPr>
              <w:spacing w:after="0" w:line="240" w:lineRule="auto"/>
              <w:jc w:val="center"/>
              <w:rPr>
                <w:rFonts w:ascii="Calibri" w:eastAsia="Times New Roman" w:hAnsi="Calibri" w:cs="Times New Roman"/>
                <w:color w:val="000000"/>
                <w:lang w:eastAsia="en-AU"/>
              </w:rPr>
            </w:pPr>
            <w:r w:rsidRPr="00D90180">
              <w:rPr>
                <w:rFonts w:ascii="Calibri" w:hAnsi="Calibri"/>
                <w:color w:val="000000"/>
              </w:rPr>
              <w:t>26</w:t>
            </w:r>
          </w:p>
        </w:tc>
        <w:tc>
          <w:tcPr>
            <w:tcW w:w="1158" w:type="dxa"/>
            <w:tcBorders>
              <w:top w:val="nil"/>
              <w:left w:val="nil"/>
              <w:bottom w:val="single" w:sz="4" w:space="0" w:color="auto"/>
              <w:right w:val="single" w:sz="8" w:space="0" w:color="auto"/>
            </w:tcBorders>
            <w:shd w:val="clear" w:color="auto" w:fill="auto"/>
            <w:noWrap/>
            <w:vAlign w:val="center"/>
            <w:hideMark/>
          </w:tcPr>
          <w:p w14:paraId="1C09F044" w14:textId="77777777" w:rsidR="009C79FF" w:rsidRPr="00355499" w:rsidRDefault="009C79FF" w:rsidP="00BA133C">
            <w:pPr>
              <w:spacing w:after="0" w:line="240" w:lineRule="auto"/>
              <w:jc w:val="center"/>
              <w:rPr>
                <w:rFonts w:ascii="Calibri" w:eastAsia="Times New Roman" w:hAnsi="Calibri" w:cs="Times New Roman"/>
                <w:color w:val="000000"/>
                <w:highlight w:val="yellow"/>
                <w:lang w:eastAsia="en-AU"/>
              </w:rPr>
            </w:pPr>
            <w:r w:rsidRPr="00E8463D">
              <w:rPr>
                <w:rFonts w:ascii="Calibri" w:hAnsi="Calibri"/>
                <w:color w:val="000000"/>
              </w:rPr>
              <w:t>22</w:t>
            </w:r>
          </w:p>
        </w:tc>
        <w:tc>
          <w:tcPr>
            <w:tcW w:w="1158" w:type="dxa"/>
            <w:tcBorders>
              <w:top w:val="nil"/>
              <w:left w:val="nil"/>
              <w:bottom w:val="single" w:sz="4" w:space="0" w:color="auto"/>
              <w:right w:val="single" w:sz="8" w:space="0" w:color="auto"/>
            </w:tcBorders>
            <w:shd w:val="clear" w:color="auto" w:fill="auto"/>
            <w:noWrap/>
            <w:vAlign w:val="center"/>
            <w:hideMark/>
          </w:tcPr>
          <w:p w14:paraId="445327CF" w14:textId="77777777" w:rsidR="009C79FF" w:rsidRPr="006B29E0" w:rsidRDefault="009C79FF" w:rsidP="00BA133C">
            <w:pPr>
              <w:spacing w:after="0" w:line="240" w:lineRule="auto"/>
              <w:jc w:val="center"/>
              <w:rPr>
                <w:rFonts w:ascii="Calibri" w:eastAsia="Times New Roman" w:hAnsi="Calibri" w:cs="Times New Roman"/>
                <w:color w:val="000000"/>
                <w:lang w:eastAsia="en-AU"/>
              </w:rPr>
            </w:pPr>
            <w:r w:rsidRPr="006B29E0">
              <w:rPr>
                <w:rFonts w:ascii="Calibri" w:hAnsi="Calibri"/>
                <w:color w:val="000000"/>
              </w:rPr>
              <w:t>29</w:t>
            </w:r>
          </w:p>
        </w:tc>
        <w:tc>
          <w:tcPr>
            <w:tcW w:w="1157" w:type="dxa"/>
            <w:tcBorders>
              <w:top w:val="nil"/>
              <w:left w:val="nil"/>
              <w:bottom w:val="single" w:sz="4" w:space="0" w:color="auto"/>
              <w:right w:val="single" w:sz="8" w:space="0" w:color="auto"/>
            </w:tcBorders>
            <w:shd w:val="clear" w:color="auto" w:fill="auto"/>
            <w:noWrap/>
            <w:vAlign w:val="center"/>
            <w:hideMark/>
          </w:tcPr>
          <w:p w14:paraId="452B1880" w14:textId="77777777" w:rsidR="009C79FF" w:rsidRPr="00DD6662" w:rsidRDefault="009C79FF" w:rsidP="00BA133C">
            <w:pPr>
              <w:spacing w:after="0" w:line="240" w:lineRule="auto"/>
              <w:jc w:val="center"/>
              <w:rPr>
                <w:rFonts w:ascii="Calibri" w:eastAsia="Times New Roman" w:hAnsi="Calibri" w:cs="Times New Roman"/>
                <w:color w:val="000000"/>
                <w:lang w:eastAsia="en-AU"/>
              </w:rPr>
            </w:pPr>
            <w:r w:rsidRPr="00DD6662">
              <w:rPr>
                <w:rFonts w:ascii="Calibri" w:hAnsi="Calibri"/>
                <w:color w:val="000000"/>
              </w:rPr>
              <w:t>21</w:t>
            </w:r>
          </w:p>
        </w:tc>
        <w:tc>
          <w:tcPr>
            <w:tcW w:w="1158" w:type="dxa"/>
            <w:tcBorders>
              <w:top w:val="nil"/>
              <w:left w:val="nil"/>
              <w:bottom w:val="single" w:sz="4" w:space="0" w:color="auto"/>
              <w:right w:val="single" w:sz="8" w:space="0" w:color="auto"/>
            </w:tcBorders>
            <w:shd w:val="clear" w:color="auto" w:fill="auto"/>
            <w:noWrap/>
            <w:vAlign w:val="center"/>
            <w:hideMark/>
          </w:tcPr>
          <w:p w14:paraId="2157BA59"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22</w:t>
            </w:r>
          </w:p>
        </w:tc>
        <w:tc>
          <w:tcPr>
            <w:tcW w:w="1158" w:type="dxa"/>
            <w:tcBorders>
              <w:top w:val="nil"/>
              <w:left w:val="nil"/>
              <w:bottom w:val="single" w:sz="4" w:space="0" w:color="auto"/>
              <w:right w:val="single" w:sz="8" w:space="0" w:color="auto"/>
            </w:tcBorders>
            <w:shd w:val="clear" w:color="auto" w:fill="auto"/>
            <w:noWrap/>
            <w:vAlign w:val="center"/>
            <w:hideMark/>
          </w:tcPr>
          <w:p w14:paraId="3D94A5A0" w14:textId="77777777" w:rsidR="009C79FF" w:rsidRPr="004545D7" w:rsidRDefault="009C79FF" w:rsidP="00BA133C">
            <w:pPr>
              <w:spacing w:after="0" w:line="240" w:lineRule="auto"/>
              <w:jc w:val="center"/>
              <w:rPr>
                <w:rFonts w:ascii="Calibri" w:eastAsia="Times New Roman" w:hAnsi="Calibri" w:cs="Times New Roman"/>
                <w:color w:val="000000"/>
                <w:lang w:eastAsia="en-AU"/>
              </w:rPr>
            </w:pPr>
            <w:r w:rsidRPr="004545D7">
              <w:rPr>
                <w:rFonts w:ascii="Calibri" w:hAnsi="Calibri"/>
                <w:color w:val="000000"/>
              </w:rPr>
              <w:t>19</w:t>
            </w:r>
          </w:p>
        </w:tc>
      </w:tr>
      <w:tr w:rsidR="009C79FF" w:rsidRPr="001E6DD4" w14:paraId="0711A1C5"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tcPr>
          <w:p w14:paraId="1F03E51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GPR altered</w:t>
            </w:r>
          </w:p>
        </w:tc>
        <w:tc>
          <w:tcPr>
            <w:tcW w:w="1157" w:type="dxa"/>
            <w:tcBorders>
              <w:top w:val="nil"/>
              <w:left w:val="nil"/>
              <w:bottom w:val="single" w:sz="4" w:space="0" w:color="auto"/>
              <w:right w:val="single" w:sz="8" w:space="0" w:color="auto"/>
            </w:tcBorders>
            <w:shd w:val="clear" w:color="auto" w:fill="auto"/>
            <w:noWrap/>
            <w:vAlign w:val="center"/>
          </w:tcPr>
          <w:p w14:paraId="73780934" w14:textId="77777777" w:rsidR="009C79FF" w:rsidRDefault="009C79FF" w:rsidP="00BA133C">
            <w:pPr>
              <w:spacing w:after="0" w:line="240" w:lineRule="auto"/>
              <w:jc w:val="center"/>
              <w:rPr>
                <w:rFonts w:ascii="Calibri" w:hAnsi="Calibri"/>
                <w:color w:val="000000"/>
              </w:rPr>
            </w:pPr>
            <w:r>
              <w:rPr>
                <w:rFonts w:ascii="Calibri" w:hAnsi="Calibri"/>
                <w:color w:val="000000"/>
              </w:rPr>
              <w:t>139</w:t>
            </w:r>
          </w:p>
        </w:tc>
        <w:tc>
          <w:tcPr>
            <w:tcW w:w="1158" w:type="dxa"/>
            <w:tcBorders>
              <w:top w:val="nil"/>
              <w:left w:val="nil"/>
              <w:bottom w:val="single" w:sz="4" w:space="0" w:color="auto"/>
              <w:right w:val="single" w:sz="8" w:space="0" w:color="auto"/>
            </w:tcBorders>
            <w:shd w:val="clear" w:color="auto" w:fill="auto"/>
            <w:noWrap/>
            <w:vAlign w:val="center"/>
          </w:tcPr>
          <w:p w14:paraId="5F060108" w14:textId="77777777" w:rsidR="009C79FF" w:rsidRPr="00E8463D" w:rsidRDefault="009C79FF" w:rsidP="00BA133C">
            <w:pPr>
              <w:spacing w:after="0" w:line="240" w:lineRule="auto"/>
              <w:jc w:val="center"/>
              <w:rPr>
                <w:rFonts w:ascii="Calibri" w:hAnsi="Calibri"/>
                <w:color w:val="000000"/>
              </w:rPr>
            </w:pPr>
            <w:r>
              <w:rPr>
                <w:rFonts w:ascii="Calibri" w:hAnsi="Calibri"/>
                <w:color w:val="000000"/>
              </w:rPr>
              <w:t>141</w:t>
            </w:r>
          </w:p>
        </w:tc>
        <w:tc>
          <w:tcPr>
            <w:tcW w:w="1158" w:type="dxa"/>
            <w:tcBorders>
              <w:top w:val="nil"/>
              <w:left w:val="nil"/>
              <w:bottom w:val="single" w:sz="4" w:space="0" w:color="auto"/>
              <w:right w:val="single" w:sz="8" w:space="0" w:color="auto"/>
            </w:tcBorders>
            <w:shd w:val="clear" w:color="auto" w:fill="auto"/>
            <w:noWrap/>
            <w:vAlign w:val="center"/>
          </w:tcPr>
          <w:p w14:paraId="0462748A" w14:textId="77777777" w:rsidR="009C79FF" w:rsidRPr="006B29E0" w:rsidRDefault="009C79FF" w:rsidP="00BA133C">
            <w:pPr>
              <w:spacing w:after="0" w:line="240" w:lineRule="auto"/>
              <w:jc w:val="center"/>
              <w:rPr>
                <w:rFonts w:ascii="Calibri" w:hAnsi="Calibri"/>
                <w:color w:val="000000"/>
              </w:rPr>
            </w:pPr>
            <w:r>
              <w:rPr>
                <w:rFonts w:ascii="Calibri" w:hAnsi="Calibri"/>
                <w:color w:val="000000"/>
              </w:rPr>
              <w:t>107</w:t>
            </w:r>
          </w:p>
        </w:tc>
        <w:tc>
          <w:tcPr>
            <w:tcW w:w="1157" w:type="dxa"/>
            <w:tcBorders>
              <w:top w:val="nil"/>
              <w:left w:val="nil"/>
              <w:bottom w:val="single" w:sz="4" w:space="0" w:color="auto"/>
              <w:right w:val="single" w:sz="8" w:space="0" w:color="auto"/>
            </w:tcBorders>
            <w:shd w:val="clear" w:color="auto" w:fill="auto"/>
            <w:noWrap/>
            <w:vAlign w:val="center"/>
          </w:tcPr>
          <w:p w14:paraId="501D836F" w14:textId="77777777" w:rsidR="009C79FF" w:rsidRPr="00DD6662" w:rsidRDefault="009C79FF" w:rsidP="00BA133C">
            <w:pPr>
              <w:spacing w:after="0" w:line="240" w:lineRule="auto"/>
              <w:jc w:val="center"/>
              <w:rPr>
                <w:rFonts w:ascii="Calibri" w:hAnsi="Calibri"/>
                <w:color w:val="000000"/>
              </w:rPr>
            </w:pPr>
            <w:r>
              <w:rPr>
                <w:rFonts w:ascii="Calibri" w:hAnsi="Calibri"/>
                <w:color w:val="000000"/>
              </w:rPr>
              <w:t>119</w:t>
            </w:r>
          </w:p>
        </w:tc>
        <w:tc>
          <w:tcPr>
            <w:tcW w:w="1158" w:type="dxa"/>
            <w:tcBorders>
              <w:top w:val="nil"/>
              <w:left w:val="nil"/>
              <w:bottom w:val="single" w:sz="4" w:space="0" w:color="auto"/>
              <w:right w:val="single" w:sz="8" w:space="0" w:color="auto"/>
            </w:tcBorders>
            <w:shd w:val="clear" w:color="auto" w:fill="auto"/>
            <w:noWrap/>
            <w:vAlign w:val="center"/>
          </w:tcPr>
          <w:p w14:paraId="17482719" w14:textId="77777777" w:rsidR="009C79FF" w:rsidRPr="004545D7" w:rsidRDefault="009C79FF" w:rsidP="00BA133C">
            <w:pPr>
              <w:spacing w:after="0" w:line="240" w:lineRule="auto"/>
              <w:jc w:val="center"/>
              <w:rPr>
                <w:rFonts w:ascii="Calibri" w:hAnsi="Calibri"/>
                <w:color w:val="000000"/>
              </w:rPr>
            </w:pPr>
            <w:r>
              <w:rPr>
                <w:rFonts w:ascii="Calibri" w:hAnsi="Calibri"/>
                <w:color w:val="000000"/>
              </w:rPr>
              <w:t>111</w:t>
            </w:r>
          </w:p>
        </w:tc>
        <w:tc>
          <w:tcPr>
            <w:tcW w:w="1158" w:type="dxa"/>
            <w:tcBorders>
              <w:top w:val="nil"/>
              <w:left w:val="nil"/>
              <w:bottom w:val="single" w:sz="4" w:space="0" w:color="auto"/>
              <w:right w:val="single" w:sz="8" w:space="0" w:color="auto"/>
            </w:tcBorders>
            <w:shd w:val="clear" w:color="auto" w:fill="auto"/>
            <w:noWrap/>
            <w:vAlign w:val="center"/>
          </w:tcPr>
          <w:p w14:paraId="4610A187" w14:textId="77777777" w:rsidR="009C79FF" w:rsidRPr="004545D7" w:rsidRDefault="009C79FF" w:rsidP="00BA133C">
            <w:pPr>
              <w:spacing w:after="0" w:line="240" w:lineRule="auto"/>
              <w:jc w:val="center"/>
              <w:rPr>
                <w:rFonts w:ascii="Calibri" w:hAnsi="Calibri"/>
                <w:color w:val="000000"/>
              </w:rPr>
            </w:pPr>
            <w:r>
              <w:rPr>
                <w:rFonts w:ascii="Calibri" w:hAnsi="Calibri"/>
                <w:color w:val="000000"/>
              </w:rPr>
              <w:t>122</w:t>
            </w:r>
          </w:p>
        </w:tc>
      </w:tr>
      <w:tr w:rsidR="009C79FF" w:rsidRPr="001E6DD4" w14:paraId="75AE80B2"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hideMark/>
          </w:tcPr>
          <w:p w14:paraId="4A77C15B"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Total reactions</w:t>
            </w:r>
          </w:p>
        </w:tc>
        <w:tc>
          <w:tcPr>
            <w:tcW w:w="1157" w:type="dxa"/>
            <w:tcBorders>
              <w:top w:val="nil"/>
              <w:left w:val="nil"/>
              <w:bottom w:val="single" w:sz="4" w:space="0" w:color="auto"/>
              <w:right w:val="single" w:sz="8" w:space="0" w:color="auto"/>
            </w:tcBorders>
            <w:shd w:val="clear" w:color="auto" w:fill="auto"/>
            <w:noWrap/>
            <w:vAlign w:val="center"/>
            <w:hideMark/>
          </w:tcPr>
          <w:p w14:paraId="6F41A223"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1050</w:t>
            </w:r>
          </w:p>
        </w:tc>
        <w:tc>
          <w:tcPr>
            <w:tcW w:w="1158" w:type="dxa"/>
            <w:tcBorders>
              <w:top w:val="nil"/>
              <w:left w:val="nil"/>
              <w:bottom w:val="single" w:sz="4" w:space="0" w:color="auto"/>
              <w:right w:val="single" w:sz="8" w:space="0" w:color="auto"/>
            </w:tcBorders>
            <w:shd w:val="clear" w:color="auto" w:fill="auto"/>
            <w:noWrap/>
            <w:vAlign w:val="center"/>
            <w:hideMark/>
          </w:tcPr>
          <w:p w14:paraId="43F61000"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1056</w:t>
            </w:r>
          </w:p>
        </w:tc>
        <w:tc>
          <w:tcPr>
            <w:tcW w:w="1158" w:type="dxa"/>
            <w:tcBorders>
              <w:top w:val="nil"/>
              <w:left w:val="nil"/>
              <w:bottom w:val="single" w:sz="4" w:space="0" w:color="auto"/>
              <w:right w:val="single" w:sz="8" w:space="0" w:color="auto"/>
            </w:tcBorders>
            <w:shd w:val="clear" w:color="auto" w:fill="auto"/>
            <w:noWrap/>
            <w:vAlign w:val="center"/>
            <w:hideMark/>
          </w:tcPr>
          <w:p w14:paraId="51D0B06F"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933</w:t>
            </w:r>
          </w:p>
        </w:tc>
        <w:tc>
          <w:tcPr>
            <w:tcW w:w="1157" w:type="dxa"/>
            <w:tcBorders>
              <w:top w:val="nil"/>
              <w:left w:val="nil"/>
              <w:bottom w:val="single" w:sz="4" w:space="0" w:color="auto"/>
              <w:right w:val="single" w:sz="8" w:space="0" w:color="auto"/>
            </w:tcBorders>
            <w:shd w:val="clear" w:color="auto" w:fill="auto"/>
            <w:noWrap/>
            <w:vAlign w:val="center"/>
            <w:hideMark/>
          </w:tcPr>
          <w:p w14:paraId="4E0D636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962</w:t>
            </w:r>
          </w:p>
        </w:tc>
        <w:tc>
          <w:tcPr>
            <w:tcW w:w="1158" w:type="dxa"/>
            <w:tcBorders>
              <w:top w:val="nil"/>
              <w:left w:val="nil"/>
              <w:bottom w:val="single" w:sz="4" w:space="0" w:color="auto"/>
              <w:right w:val="single" w:sz="8" w:space="0" w:color="auto"/>
            </w:tcBorders>
            <w:shd w:val="clear" w:color="auto" w:fill="auto"/>
            <w:noWrap/>
            <w:vAlign w:val="center"/>
            <w:hideMark/>
          </w:tcPr>
          <w:p w14:paraId="72AB080F"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977</w:t>
            </w:r>
          </w:p>
        </w:tc>
        <w:tc>
          <w:tcPr>
            <w:tcW w:w="1158" w:type="dxa"/>
            <w:tcBorders>
              <w:top w:val="nil"/>
              <w:left w:val="nil"/>
              <w:bottom w:val="single" w:sz="4" w:space="0" w:color="auto"/>
              <w:right w:val="single" w:sz="8" w:space="0" w:color="auto"/>
            </w:tcBorders>
            <w:shd w:val="clear" w:color="auto" w:fill="auto"/>
            <w:noWrap/>
            <w:vAlign w:val="center"/>
            <w:hideMark/>
          </w:tcPr>
          <w:p w14:paraId="266116A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952</w:t>
            </w:r>
          </w:p>
        </w:tc>
      </w:tr>
      <w:tr w:rsidR="009C79FF" w:rsidRPr="001E6DD4" w14:paraId="65CCE97A"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hideMark/>
          </w:tcPr>
          <w:p w14:paraId="428C14D1"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Total transporters</w:t>
            </w:r>
          </w:p>
        </w:tc>
        <w:tc>
          <w:tcPr>
            <w:tcW w:w="1157" w:type="dxa"/>
            <w:tcBorders>
              <w:top w:val="nil"/>
              <w:left w:val="nil"/>
              <w:bottom w:val="single" w:sz="4" w:space="0" w:color="auto"/>
              <w:right w:val="single" w:sz="8" w:space="0" w:color="auto"/>
            </w:tcBorders>
            <w:shd w:val="clear" w:color="auto" w:fill="auto"/>
            <w:noWrap/>
            <w:vAlign w:val="center"/>
            <w:hideMark/>
          </w:tcPr>
          <w:p w14:paraId="13075BFD"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242</w:t>
            </w:r>
          </w:p>
        </w:tc>
        <w:tc>
          <w:tcPr>
            <w:tcW w:w="1158" w:type="dxa"/>
            <w:tcBorders>
              <w:top w:val="nil"/>
              <w:left w:val="nil"/>
              <w:bottom w:val="single" w:sz="4" w:space="0" w:color="auto"/>
              <w:right w:val="single" w:sz="8" w:space="0" w:color="auto"/>
            </w:tcBorders>
            <w:shd w:val="clear" w:color="auto" w:fill="auto"/>
            <w:noWrap/>
            <w:vAlign w:val="center"/>
            <w:hideMark/>
          </w:tcPr>
          <w:p w14:paraId="1C60A60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241</w:t>
            </w:r>
          </w:p>
        </w:tc>
        <w:tc>
          <w:tcPr>
            <w:tcW w:w="1158" w:type="dxa"/>
            <w:tcBorders>
              <w:top w:val="nil"/>
              <w:left w:val="nil"/>
              <w:bottom w:val="single" w:sz="4" w:space="0" w:color="auto"/>
              <w:right w:val="single" w:sz="8" w:space="0" w:color="auto"/>
            </w:tcBorders>
            <w:shd w:val="clear" w:color="auto" w:fill="auto"/>
            <w:noWrap/>
            <w:vAlign w:val="center"/>
            <w:hideMark/>
          </w:tcPr>
          <w:p w14:paraId="42CDCEA1"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217</w:t>
            </w:r>
          </w:p>
        </w:tc>
        <w:tc>
          <w:tcPr>
            <w:tcW w:w="1157" w:type="dxa"/>
            <w:tcBorders>
              <w:top w:val="nil"/>
              <w:left w:val="nil"/>
              <w:bottom w:val="single" w:sz="4" w:space="0" w:color="auto"/>
              <w:right w:val="single" w:sz="8" w:space="0" w:color="auto"/>
            </w:tcBorders>
            <w:shd w:val="clear" w:color="auto" w:fill="auto"/>
            <w:noWrap/>
            <w:vAlign w:val="center"/>
            <w:hideMark/>
          </w:tcPr>
          <w:p w14:paraId="6C7CD4E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229</w:t>
            </w:r>
          </w:p>
        </w:tc>
        <w:tc>
          <w:tcPr>
            <w:tcW w:w="1158" w:type="dxa"/>
            <w:tcBorders>
              <w:top w:val="nil"/>
              <w:left w:val="nil"/>
              <w:bottom w:val="single" w:sz="4" w:space="0" w:color="auto"/>
              <w:right w:val="single" w:sz="8" w:space="0" w:color="auto"/>
            </w:tcBorders>
            <w:shd w:val="clear" w:color="auto" w:fill="auto"/>
            <w:noWrap/>
            <w:vAlign w:val="center"/>
            <w:hideMark/>
          </w:tcPr>
          <w:p w14:paraId="0C00504D"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218</w:t>
            </w:r>
          </w:p>
        </w:tc>
        <w:tc>
          <w:tcPr>
            <w:tcW w:w="1158" w:type="dxa"/>
            <w:tcBorders>
              <w:top w:val="nil"/>
              <w:left w:val="nil"/>
              <w:bottom w:val="single" w:sz="4" w:space="0" w:color="auto"/>
              <w:right w:val="single" w:sz="8" w:space="0" w:color="auto"/>
            </w:tcBorders>
            <w:shd w:val="clear" w:color="auto" w:fill="auto"/>
            <w:noWrap/>
            <w:vAlign w:val="center"/>
            <w:hideMark/>
          </w:tcPr>
          <w:p w14:paraId="03155E3D"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231</w:t>
            </w:r>
          </w:p>
        </w:tc>
      </w:tr>
      <w:tr w:rsidR="009C79FF" w:rsidRPr="001E6DD4" w14:paraId="0FFF12FC" w14:textId="77777777" w:rsidTr="00BA133C">
        <w:trPr>
          <w:trHeight w:val="289"/>
        </w:trPr>
        <w:tc>
          <w:tcPr>
            <w:tcW w:w="1975" w:type="dxa"/>
            <w:tcBorders>
              <w:top w:val="nil"/>
              <w:left w:val="single" w:sz="8" w:space="0" w:color="auto"/>
              <w:bottom w:val="single" w:sz="4" w:space="0" w:color="auto"/>
              <w:right w:val="single" w:sz="8" w:space="0" w:color="auto"/>
            </w:tcBorders>
            <w:shd w:val="clear" w:color="auto" w:fill="auto"/>
            <w:noWrap/>
            <w:vAlign w:val="center"/>
            <w:hideMark/>
          </w:tcPr>
          <w:p w14:paraId="0125EAAF"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Reactions without GPR</w:t>
            </w:r>
          </w:p>
        </w:tc>
        <w:tc>
          <w:tcPr>
            <w:tcW w:w="1157" w:type="dxa"/>
            <w:tcBorders>
              <w:top w:val="nil"/>
              <w:left w:val="nil"/>
              <w:bottom w:val="single" w:sz="4" w:space="0" w:color="auto"/>
              <w:right w:val="single" w:sz="8" w:space="0" w:color="auto"/>
            </w:tcBorders>
            <w:shd w:val="clear" w:color="auto" w:fill="auto"/>
            <w:noWrap/>
            <w:vAlign w:val="center"/>
            <w:hideMark/>
          </w:tcPr>
          <w:p w14:paraId="26A8DB45"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55</w:t>
            </w:r>
          </w:p>
        </w:tc>
        <w:tc>
          <w:tcPr>
            <w:tcW w:w="1158" w:type="dxa"/>
            <w:tcBorders>
              <w:top w:val="nil"/>
              <w:left w:val="nil"/>
              <w:bottom w:val="single" w:sz="4" w:space="0" w:color="auto"/>
              <w:right w:val="single" w:sz="8" w:space="0" w:color="auto"/>
            </w:tcBorders>
            <w:shd w:val="clear" w:color="auto" w:fill="auto"/>
            <w:noWrap/>
            <w:vAlign w:val="center"/>
            <w:hideMark/>
          </w:tcPr>
          <w:p w14:paraId="36F0B98A"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45</w:t>
            </w:r>
          </w:p>
        </w:tc>
        <w:tc>
          <w:tcPr>
            <w:tcW w:w="1158" w:type="dxa"/>
            <w:tcBorders>
              <w:top w:val="nil"/>
              <w:left w:val="nil"/>
              <w:bottom w:val="single" w:sz="4" w:space="0" w:color="auto"/>
              <w:right w:val="single" w:sz="8" w:space="0" w:color="auto"/>
            </w:tcBorders>
            <w:shd w:val="clear" w:color="auto" w:fill="auto"/>
            <w:noWrap/>
            <w:vAlign w:val="center"/>
            <w:hideMark/>
          </w:tcPr>
          <w:p w14:paraId="4C0AAF72"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49</w:t>
            </w:r>
          </w:p>
        </w:tc>
        <w:tc>
          <w:tcPr>
            <w:tcW w:w="1157" w:type="dxa"/>
            <w:tcBorders>
              <w:top w:val="nil"/>
              <w:left w:val="nil"/>
              <w:bottom w:val="single" w:sz="4" w:space="0" w:color="auto"/>
              <w:right w:val="single" w:sz="8" w:space="0" w:color="auto"/>
            </w:tcBorders>
            <w:shd w:val="clear" w:color="auto" w:fill="auto"/>
            <w:noWrap/>
            <w:vAlign w:val="center"/>
            <w:hideMark/>
          </w:tcPr>
          <w:p w14:paraId="50F99582"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56</w:t>
            </w:r>
          </w:p>
        </w:tc>
        <w:tc>
          <w:tcPr>
            <w:tcW w:w="1158" w:type="dxa"/>
            <w:tcBorders>
              <w:top w:val="nil"/>
              <w:left w:val="nil"/>
              <w:bottom w:val="single" w:sz="4" w:space="0" w:color="auto"/>
              <w:right w:val="single" w:sz="8" w:space="0" w:color="auto"/>
            </w:tcBorders>
            <w:shd w:val="clear" w:color="auto" w:fill="auto"/>
            <w:noWrap/>
            <w:vAlign w:val="center"/>
            <w:hideMark/>
          </w:tcPr>
          <w:p w14:paraId="11E9880D"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49</w:t>
            </w:r>
          </w:p>
        </w:tc>
        <w:tc>
          <w:tcPr>
            <w:tcW w:w="1158" w:type="dxa"/>
            <w:tcBorders>
              <w:top w:val="nil"/>
              <w:left w:val="nil"/>
              <w:bottom w:val="single" w:sz="4" w:space="0" w:color="auto"/>
              <w:right w:val="single" w:sz="8" w:space="0" w:color="auto"/>
            </w:tcBorders>
            <w:shd w:val="clear" w:color="auto" w:fill="auto"/>
            <w:noWrap/>
            <w:vAlign w:val="center"/>
            <w:hideMark/>
          </w:tcPr>
          <w:p w14:paraId="47151CCF"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45</w:t>
            </w:r>
          </w:p>
        </w:tc>
      </w:tr>
      <w:tr w:rsidR="009C79FF" w:rsidRPr="001E6DD4" w14:paraId="51B52C27" w14:textId="77777777" w:rsidTr="00BA133C">
        <w:trPr>
          <w:trHeight w:val="289"/>
        </w:trPr>
        <w:tc>
          <w:tcPr>
            <w:tcW w:w="1975" w:type="dxa"/>
            <w:tcBorders>
              <w:top w:val="nil"/>
              <w:left w:val="single" w:sz="8" w:space="0" w:color="auto"/>
              <w:bottom w:val="single" w:sz="8" w:space="0" w:color="auto"/>
              <w:right w:val="single" w:sz="8" w:space="0" w:color="auto"/>
            </w:tcBorders>
            <w:shd w:val="clear" w:color="auto" w:fill="auto"/>
            <w:noWrap/>
            <w:vAlign w:val="center"/>
            <w:hideMark/>
          </w:tcPr>
          <w:p w14:paraId="47880299"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sidRPr="001E6DD4">
              <w:rPr>
                <w:rFonts w:ascii="Calibri" w:eastAsia="Times New Roman" w:hAnsi="Calibri" w:cs="Times New Roman"/>
                <w:color w:val="000000"/>
                <w:lang w:eastAsia="en-AU"/>
              </w:rPr>
              <w:t>Transporters without GPR</w:t>
            </w:r>
          </w:p>
        </w:tc>
        <w:tc>
          <w:tcPr>
            <w:tcW w:w="1157" w:type="dxa"/>
            <w:tcBorders>
              <w:top w:val="nil"/>
              <w:left w:val="nil"/>
              <w:bottom w:val="single" w:sz="8" w:space="0" w:color="auto"/>
              <w:right w:val="single" w:sz="8" w:space="0" w:color="auto"/>
            </w:tcBorders>
            <w:shd w:val="clear" w:color="auto" w:fill="auto"/>
            <w:noWrap/>
            <w:vAlign w:val="center"/>
            <w:hideMark/>
          </w:tcPr>
          <w:p w14:paraId="47D87223"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103</w:t>
            </w:r>
          </w:p>
        </w:tc>
        <w:tc>
          <w:tcPr>
            <w:tcW w:w="1158" w:type="dxa"/>
            <w:tcBorders>
              <w:top w:val="nil"/>
              <w:left w:val="nil"/>
              <w:bottom w:val="single" w:sz="8" w:space="0" w:color="auto"/>
              <w:right w:val="single" w:sz="8" w:space="0" w:color="auto"/>
            </w:tcBorders>
            <w:shd w:val="clear" w:color="auto" w:fill="auto"/>
            <w:noWrap/>
            <w:vAlign w:val="center"/>
            <w:hideMark/>
          </w:tcPr>
          <w:p w14:paraId="559F784A"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103</w:t>
            </w:r>
          </w:p>
        </w:tc>
        <w:tc>
          <w:tcPr>
            <w:tcW w:w="1158" w:type="dxa"/>
            <w:tcBorders>
              <w:top w:val="nil"/>
              <w:left w:val="nil"/>
              <w:bottom w:val="single" w:sz="8" w:space="0" w:color="auto"/>
              <w:right w:val="single" w:sz="8" w:space="0" w:color="auto"/>
            </w:tcBorders>
            <w:shd w:val="clear" w:color="auto" w:fill="auto"/>
            <w:noWrap/>
            <w:vAlign w:val="center"/>
            <w:hideMark/>
          </w:tcPr>
          <w:p w14:paraId="61D684F9"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109</w:t>
            </w:r>
          </w:p>
        </w:tc>
        <w:tc>
          <w:tcPr>
            <w:tcW w:w="1157" w:type="dxa"/>
            <w:tcBorders>
              <w:top w:val="nil"/>
              <w:left w:val="nil"/>
              <w:bottom w:val="single" w:sz="8" w:space="0" w:color="auto"/>
              <w:right w:val="single" w:sz="8" w:space="0" w:color="auto"/>
            </w:tcBorders>
            <w:shd w:val="clear" w:color="auto" w:fill="auto"/>
            <w:noWrap/>
            <w:vAlign w:val="center"/>
            <w:hideMark/>
          </w:tcPr>
          <w:p w14:paraId="7DB83957"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112</w:t>
            </w:r>
          </w:p>
        </w:tc>
        <w:tc>
          <w:tcPr>
            <w:tcW w:w="1158" w:type="dxa"/>
            <w:tcBorders>
              <w:top w:val="nil"/>
              <w:left w:val="nil"/>
              <w:bottom w:val="single" w:sz="8" w:space="0" w:color="auto"/>
              <w:right w:val="single" w:sz="8" w:space="0" w:color="auto"/>
            </w:tcBorders>
            <w:shd w:val="clear" w:color="auto" w:fill="auto"/>
            <w:noWrap/>
            <w:vAlign w:val="center"/>
            <w:hideMark/>
          </w:tcPr>
          <w:p w14:paraId="1F7CCC99"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115</w:t>
            </w:r>
          </w:p>
        </w:tc>
        <w:tc>
          <w:tcPr>
            <w:tcW w:w="1158" w:type="dxa"/>
            <w:tcBorders>
              <w:top w:val="nil"/>
              <w:left w:val="nil"/>
              <w:bottom w:val="single" w:sz="8" w:space="0" w:color="auto"/>
              <w:right w:val="single" w:sz="8" w:space="0" w:color="auto"/>
            </w:tcBorders>
            <w:shd w:val="clear" w:color="auto" w:fill="auto"/>
            <w:noWrap/>
            <w:vAlign w:val="center"/>
            <w:hideMark/>
          </w:tcPr>
          <w:p w14:paraId="11C1C527" w14:textId="77777777" w:rsidR="009C79FF" w:rsidRPr="001E6DD4" w:rsidRDefault="009C79FF" w:rsidP="00BA133C">
            <w:pPr>
              <w:spacing w:after="0" w:line="240" w:lineRule="auto"/>
              <w:jc w:val="center"/>
              <w:rPr>
                <w:rFonts w:ascii="Calibri" w:eastAsia="Times New Roman" w:hAnsi="Calibri" w:cs="Times New Roman"/>
                <w:color w:val="000000"/>
                <w:lang w:eastAsia="en-AU"/>
              </w:rPr>
            </w:pPr>
            <w:r>
              <w:rPr>
                <w:rFonts w:ascii="Calibri" w:hAnsi="Calibri"/>
                <w:color w:val="000000"/>
              </w:rPr>
              <w:t>109</w:t>
            </w:r>
          </w:p>
        </w:tc>
      </w:tr>
    </w:tbl>
    <w:p w14:paraId="2E6BBCD8" w14:textId="77777777" w:rsidR="009C79FF" w:rsidRDefault="009C79FF" w:rsidP="009C79FF">
      <w:pPr>
        <w:spacing w:line="480" w:lineRule="auto"/>
        <w:rPr>
          <w:b/>
        </w:rPr>
      </w:pPr>
      <w:r w:rsidRPr="006449B1">
        <w:rPr>
          <w:b/>
        </w:rPr>
        <w:t xml:space="preserve"> </w:t>
      </w:r>
    </w:p>
    <w:p w14:paraId="76387ACA" w14:textId="77777777" w:rsidR="009C79FF" w:rsidRDefault="009C79FF" w:rsidP="009C79FF">
      <w:pPr>
        <w:spacing w:line="480" w:lineRule="auto"/>
        <w:rPr>
          <w:b/>
        </w:rPr>
      </w:pPr>
    </w:p>
    <w:p w14:paraId="6FCB8CCB" w14:textId="77777777" w:rsidR="009C79FF" w:rsidRDefault="009C79FF" w:rsidP="009C79FF">
      <w:pPr>
        <w:spacing w:line="480" w:lineRule="auto"/>
        <w:rPr>
          <w:b/>
        </w:rPr>
      </w:pPr>
    </w:p>
    <w:p w14:paraId="6EE539DC" w14:textId="77777777" w:rsidR="009C79FF" w:rsidRDefault="009C79FF" w:rsidP="009C79FF">
      <w:pPr>
        <w:spacing w:line="480" w:lineRule="auto"/>
        <w:rPr>
          <w:b/>
        </w:rPr>
      </w:pPr>
    </w:p>
    <w:p w14:paraId="6AE99F56" w14:textId="77777777" w:rsidR="009C79FF" w:rsidRDefault="009C79FF" w:rsidP="009C79FF">
      <w:pPr>
        <w:spacing w:line="480" w:lineRule="auto"/>
        <w:rPr>
          <w:b/>
        </w:rPr>
      </w:pPr>
    </w:p>
    <w:p w14:paraId="1F928E2C" w14:textId="77777777" w:rsidR="009C79FF" w:rsidRDefault="009C79FF" w:rsidP="009C79FF">
      <w:pPr>
        <w:spacing w:line="480" w:lineRule="auto"/>
        <w:rPr>
          <w:b/>
        </w:rPr>
      </w:pPr>
    </w:p>
    <w:p w14:paraId="5464DF10" w14:textId="77777777" w:rsidR="009C79FF" w:rsidRDefault="009C79FF" w:rsidP="009C79FF">
      <w:pPr>
        <w:spacing w:line="480" w:lineRule="auto"/>
        <w:rPr>
          <w:b/>
        </w:rPr>
      </w:pPr>
    </w:p>
    <w:p w14:paraId="3CCE41AE" w14:textId="77777777" w:rsidR="009C79FF" w:rsidRDefault="009C79FF" w:rsidP="009C79FF">
      <w:pPr>
        <w:spacing w:line="480" w:lineRule="auto"/>
        <w:rPr>
          <w:b/>
        </w:rPr>
      </w:pPr>
    </w:p>
    <w:p w14:paraId="4FBA7405" w14:textId="77777777" w:rsidR="009C79FF" w:rsidRDefault="009C79FF" w:rsidP="009C79FF">
      <w:pPr>
        <w:spacing w:line="480" w:lineRule="auto"/>
        <w:rPr>
          <w:b/>
        </w:rPr>
      </w:pPr>
    </w:p>
    <w:p w14:paraId="3F01CC6B" w14:textId="77777777" w:rsidR="009C79FF" w:rsidRDefault="009C79FF" w:rsidP="009C79FF">
      <w:pPr>
        <w:spacing w:line="480" w:lineRule="auto"/>
        <w:rPr>
          <w:b/>
        </w:rPr>
      </w:pPr>
    </w:p>
    <w:p w14:paraId="430BEE3A" w14:textId="77777777" w:rsidR="009C79FF" w:rsidRDefault="009C79FF" w:rsidP="009C79FF">
      <w:pPr>
        <w:spacing w:line="480" w:lineRule="auto"/>
        <w:rPr>
          <w:b/>
        </w:rPr>
      </w:pPr>
    </w:p>
    <w:p w14:paraId="26D4788C" w14:textId="77777777" w:rsidR="009C79FF" w:rsidRDefault="009C79FF" w:rsidP="009C79FF">
      <w:pPr>
        <w:spacing w:line="480" w:lineRule="auto"/>
        <w:rPr>
          <w:b/>
        </w:rPr>
      </w:pPr>
    </w:p>
    <w:p w14:paraId="4021661B" w14:textId="77777777" w:rsidR="009C79FF" w:rsidRPr="006449B1" w:rsidRDefault="009C79FF" w:rsidP="009C79FF">
      <w:pPr>
        <w:spacing w:line="480" w:lineRule="auto"/>
        <w:rPr>
          <w:b/>
        </w:rPr>
      </w:pPr>
      <w:r w:rsidRPr="006449B1">
        <w:rPr>
          <w:b/>
        </w:rPr>
        <w:lastRenderedPageBreak/>
        <w:t xml:space="preserve">Table </w:t>
      </w:r>
      <w:r>
        <w:rPr>
          <w:b/>
        </w:rPr>
        <w:t>2</w:t>
      </w:r>
      <w:r w:rsidRPr="006449B1">
        <w:rPr>
          <w:b/>
        </w:rPr>
        <w:t>: Summary of extent of manual curation across the database</w:t>
      </w:r>
    </w:p>
    <w:tbl>
      <w:tblPr>
        <w:tblW w:w="6180" w:type="dxa"/>
        <w:jc w:val="center"/>
        <w:tblLook w:val="04A0" w:firstRow="1" w:lastRow="0" w:firstColumn="1" w:lastColumn="0" w:noHBand="0" w:noVBand="1"/>
      </w:tblPr>
      <w:tblGrid>
        <w:gridCol w:w="4668"/>
        <w:gridCol w:w="1512"/>
      </w:tblGrid>
      <w:tr w:rsidR="009C79FF" w:rsidRPr="007F5A4B" w14:paraId="0DABA60B" w14:textId="77777777" w:rsidTr="00BA133C">
        <w:trPr>
          <w:trHeight w:val="315"/>
          <w:jc w:val="center"/>
        </w:trPr>
        <w:tc>
          <w:tcPr>
            <w:tcW w:w="6180"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14:paraId="5C56EC14" w14:textId="77777777" w:rsidR="009C79FF" w:rsidRPr="007F5A4B" w:rsidRDefault="009C79FF" w:rsidP="00BA133C">
            <w:pPr>
              <w:spacing w:after="0" w:line="240" w:lineRule="auto"/>
              <w:jc w:val="center"/>
              <w:rPr>
                <w:rFonts w:ascii="Calibri" w:eastAsia="Times New Roman" w:hAnsi="Calibri" w:cs="Times New Roman"/>
                <w:b/>
                <w:bCs/>
                <w:color w:val="000000"/>
                <w:lang w:eastAsia="en-AU"/>
              </w:rPr>
            </w:pPr>
            <w:r w:rsidRPr="007F5A4B">
              <w:rPr>
                <w:rFonts w:ascii="Calibri" w:eastAsia="Times New Roman" w:hAnsi="Calibri" w:cs="Times New Roman"/>
                <w:b/>
                <w:bCs/>
                <w:color w:val="000000"/>
                <w:lang w:eastAsia="en-AU"/>
              </w:rPr>
              <w:t>Database modifications</w:t>
            </w:r>
          </w:p>
        </w:tc>
      </w:tr>
      <w:tr w:rsidR="009C79FF" w:rsidRPr="007F5A4B" w14:paraId="39A40AF4" w14:textId="77777777" w:rsidTr="00BA133C">
        <w:trPr>
          <w:trHeight w:val="300"/>
          <w:jc w:val="center"/>
        </w:trPr>
        <w:tc>
          <w:tcPr>
            <w:tcW w:w="4668" w:type="dxa"/>
            <w:tcBorders>
              <w:top w:val="nil"/>
              <w:left w:val="single" w:sz="8" w:space="0" w:color="auto"/>
              <w:bottom w:val="single" w:sz="4" w:space="0" w:color="auto"/>
              <w:right w:val="single" w:sz="4" w:space="0" w:color="auto"/>
            </w:tcBorders>
            <w:shd w:val="clear" w:color="auto" w:fill="auto"/>
            <w:noWrap/>
            <w:vAlign w:val="bottom"/>
            <w:hideMark/>
          </w:tcPr>
          <w:p w14:paraId="0D0DA142" w14:textId="77777777" w:rsidR="009C79FF" w:rsidRPr="007F5A4B" w:rsidRDefault="009C79FF" w:rsidP="00BA133C">
            <w:pPr>
              <w:spacing w:after="0" w:line="240" w:lineRule="auto"/>
              <w:jc w:val="center"/>
              <w:rPr>
                <w:rFonts w:ascii="Calibri" w:eastAsia="Times New Roman" w:hAnsi="Calibri" w:cs="Times New Roman"/>
                <w:color w:val="000000"/>
                <w:lang w:eastAsia="en-AU"/>
              </w:rPr>
            </w:pPr>
            <w:r w:rsidRPr="007F5A4B">
              <w:rPr>
                <w:rFonts w:ascii="Calibri" w:eastAsia="Times New Roman" w:hAnsi="Calibri" w:cs="Times New Roman"/>
                <w:color w:val="000000"/>
                <w:lang w:eastAsia="en-AU"/>
              </w:rPr>
              <w:t>Reaction directionality changes</w:t>
            </w:r>
          </w:p>
        </w:tc>
        <w:tc>
          <w:tcPr>
            <w:tcW w:w="1512" w:type="dxa"/>
            <w:tcBorders>
              <w:top w:val="nil"/>
              <w:left w:val="nil"/>
              <w:bottom w:val="single" w:sz="4" w:space="0" w:color="auto"/>
              <w:right w:val="single" w:sz="8" w:space="0" w:color="auto"/>
            </w:tcBorders>
            <w:shd w:val="clear" w:color="auto" w:fill="auto"/>
            <w:noWrap/>
            <w:vAlign w:val="bottom"/>
            <w:hideMark/>
          </w:tcPr>
          <w:p w14:paraId="5EF0095D" w14:textId="77777777" w:rsidR="009C79FF" w:rsidRPr="007F5A4B" w:rsidRDefault="009C79FF" w:rsidP="00BA133C">
            <w:pPr>
              <w:spacing w:after="0" w:line="240" w:lineRule="auto"/>
              <w:jc w:val="center"/>
              <w:rPr>
                <w:rFonts w:ascii="Calibri" w:eastAsia="Times New Roman" w:hAnsi="Calibri" w:cs="Times New Roman"/>
                <w:color w:val="000000"/>
                <w:lang w:eastAsia="en-AU"/>
              </w:rPr>
            </w:pPr>
            <w:r w:rsidRPr="007F5A4B">
              <w:rPr>
                <w:rFonts w:ascii="Calibri" w:eastAsia="Times New Roman" w:hAnsi="Calibri" w:cs="Times New Roman"/>
                <w:color w:val="000000"/>
                <w:lang w:eastAsia="en-AU"/>
              </w:rPr>
              <w:t>116</w:t>
            </w:r>
          </w:p>
        </w:tc>
      </w:tr>
      <w:tr w:rsidR="009C79FF" w:rsidRPr="007F5A4B" w14:paraId="0E132ACB" w14:textId="77777777" w:rsidTr="00BA133C">
        <w:trPr>
          <w:trHeight w:val="300"/>
          <w:jc w:val="center"/>
        </w:trPr>
        <w:tc>
          <w:tcPr>
            <w:tcW w:w="466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5450822" w14:textId="77777777" w:rsidR="009C79FF" w:rsidRPr="007F5A4B" w:rsidRDefault="009C79FF" w:rsidP="00BA133C">
            <w:pPr>
              <w:spacing w:after="0" w:line="240" w:lineRule="auto"/>
              <w:jc w:val="center"/>
              <w:rPr>
                <w:rFonts w:ascii="Calibri" w:eastAsia="Times New Roman" w:hAnsi="Calibri" w:cs="Times New Roman"/>
                <w:color w:val="000000"/>
                <w:lang w:eastAsia="en-AU"/>
              </w:rPr>
            </w:pPr>
            <w:r w:rsidRPr="007F5A4B">
              <w:rPr>
                <w:rFonts w:ascii="Calibri" w:eastAsia="Times New Roman" w:hAnsi="Calibri" w:cs="Times New Roman"/>
                <w:color w:val="000000"/>
                <w:lang w:eastAsia="en-AU"/>
              </w:rPr>
              <w:t>New reactions added to database</w:t>
            </w:r>
          </w:p>
        </w:tc>
        <w:tc>
          <w:tcPr>
            <w:tcW w:w="1512" w:type="dxa"/>
            <w:tcBorders>
              <w:top w:val="nil"/>
              <w:left w:val="nil"/>
              <w:bottom w:val="single" w:sz="4" w:space="0" w:color="auto"/>
              <w:right w:val="single" w:sz="8" w:space="0" w:color="auto"/>
            </w:tcBorders>
            <w:shd w:val="clear" w:color="auto" w:fill="auto"/>
            <w:noWrap/>
            <w:vAlign w:val="bottom"/>
            <w:hideMark/>
          </w:tcPr>
          <w:p w14:paraId="2455E3DC" w14:textId="77777777" w:rsidR="009C79FF" w:rsidRPr="007F5A4B"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105</w:t>
            </w:r>
          </w:p>
        </w:tc>
      </w:tr>
      <w:tr w:rsidR="009C79FF" w:rsidRPr="007F5A4B" w14:paraId="22E1AE4E" w14:textId="77777777" w:rsidTr="00BA133C">
        <w:trPr>
          <w:trHeight w:val="300"/>
          <w:jc w:val="center"/>
        </w:trPr>
        <w:tc>
          <w:tcPr>
            <w:tcW w:w="4668" w:type="dxa"/>
            <w:tcBorders>
              <w:top w:val="single" w:sz="4" w:space="0" w:color="auto"/>
              <w:left w:val="single" w:sz="8" w:space="0" w:color="auto"/>
              <w:bottom w:val="single" w:sz="8" w:space="0" w:color="auto"/>
              <w:right w:val="single" w:sz="4" w:space="0" w:color="auto"/>
            </w:tcBorders>
            <w:shd w:val="clear" w:color="auto" w:fill="auto"/>
            <w:noWrap/>
            <w:vAlign w:val="bottom"/>
          </w:tcPr>
          <w:p w14:paraId="105D663F" w14:textId="77777777" w:rsidR="009C79FF" w:rsidRPr="007F5A4B"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New metabolite</w:t>
            </w:r>
            <w:r w:rsidRPr="007F5A4B">
              <w:rPr>
                <w:rFonts w:ascii="Calibri" w:eastAsia="Times New Roman" w:hAnsi="Calibri" w:cs="Times New Roman"/>
                <w:color w:val="000000"/>
                <w:lang w:eastAsia="en-AU"/>
              </w:rPr>
              <w:t>s added to database</w:t>
            </w:r>
          </w:p>
        </w:tc>
        <w:tc>
          <w:tcPr>
            <w:tcW w:w="1512" w:type="dxa"/>
            <w:tcBorders>
              <w:top w:val="single" w:sz="4" w:space="0" w:color="auto"/>
              <w:left w:val="nil"/>
              <w:bottom w:val="single" w:sz="8" w:space="0" w:color="auto"/>
              <w:right w:val="single" w:sz="8" w:space="0" w:color="auto"/>
            </w:tcBorders>
            <w:shd w:val="clear" w:color="auto" w:fill="auto"/>
            <w:noWrap/>
            <w:vAlign w:val="bottom"/>
          </w:tcPr>
          <w:p w14:paraId="6A2830B6" w14:textId="77777777" w:rsidR="009C79FF"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28</w:t>
            </w:r>
          </w:p>
        </w:tc>
      </w:tr>
    </w:tbl>
    <w:p w14:paraId="46E8A74C" w14:textId="77777777" w:rsidR="009C79FF" w:rsidRPr="00CE7DE8" w:rsidRDefault="009C79FF" w:rsidP="009C79FF">
      <w:pPr>
        <w:spacing w:line="480" w:lineRule="auto"/>
        <w:rPr>
          <w:b/>
        </w:rPr>
      </w:pPr>
    </w:p>
    <w:p w14:paraId="6666FAF4" w14:textId="77777777" w:rsidR="009C79FF" w:rsidRDefault="009C79FF" w:rsidP="009C79FF">
      <w:pPr>
        <w:spacing w:line="480" w:lineRule="auto"/>
        <w:rPr>
          <w:b/>
        </w:rPr>
      </w:pPr>
      <w:r>
        <w:br w:type="page"/>
      </w:r>
      <w:r>
        <w:rPr>
          <w:b/>
        </w:rPr>
        <w:lastRenderedPageBreak/>
        <w:t>Table 3: Minimal media requirements as determined during the reconstruction process</w:t>
      </w:r>
    </w:p>
    <w:p w14:paraId="17B65582" w14:textId="77777777" w:rsidR="009C79FF" w:rsidRDefault="009C79FF" w:rsidP="009C79FF"/>
    <w:tbl>
      <w:tblPr>
        <w:tblpPr w:leftFromText="180" w:rightFromText="180" w:vertAnchor="text" w:horzAnchor="page" w:tblpX="680" w:tblpY="369"/>
        <w:tblW w:w="10257" w:type="dxa"/>
        <w:tblLook w:val="04A0" w:firstRow="1" w:lastRow="0" w:firstColumn="1" w:lastColumn="0" w:noHBand="0" w:noVBand="1"/>
      </w:tblPr>
      <w:tblGrid>
        <w:gridCol w:w="999"/>
        <w:gridCol w:w="1473"/>
        <w:gridCol w:w="1519"/>
        <w:gridCol w:w="1444"/>
        <w:gridCol w:w="1444"/>
        <w:gridCol w:w="1905"/>
        <w:gridCol w:w="1473"/>
      </w:tblGrid>
      <w:tr w:rsidR="009C79FF" w:rsidRPr="009D19AA" w14:paraId="6780B4E3" w14:textId="77777777" w:rsidTr="00BA133C">
        <w:trPr>
          <w:trHeight w:val="315"/>
        </w:trPr>
        <w:tc>
          <w:tcPr>
            <w:tcW w:w="2472" w:type="dxa"/>
            <w:gridSpan w:val="2"/>
            <w:tcBorders>
              <w:top w:val="single" w:sz="4" w:space="0" w:color="auto"/>
              <w:left w:val="single" w:sz="4" w:space="0" w:color="auto"/>
              <w:bottom w:val="nil"/>
              <w:right w:val="nil"/>
            </w:tcBorders>
            <w:shd w:val="clear" w:color="auto" w:fill="auto"/>
            <w:noWrap/>
            <w:vAlign w:val="center"/>
            <w:hideMark/>
          </w:tcPr>
          <w:p w14:paraId="48FB2129" w14:textId="77777777" w:rsidR="009C79FF" w:rsidRPr="009D19AA"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Nutrient Requirement</w:t>
            </w:r>
          </w:p>
        </w:tc>
        <w:tc>
          <w:tcPr>
            <w:tcW w:w="1519" w:type="dxa"/>
            <w:tcBorders>
              <w:top w:val="single" w:sz="8" w:space="0" w:color="auto"/>
              <w:left w:val="single" w:sz="8" w:space="0" w:color="auto"/>
              <w:bottom w:val="nil"/>
              <w:right w:val="single" w:sz="8" w:space="0" w:color="auto"/>
            </w:tcBorders>
            <w:shd w:val="clear" w:color="auto" w:fill="auto"/>
            <w:noWrap/>
            <w:vAlign w:val="center"/>
            <w:hideMark/>
          </w:tcPr>
          <w:p w14:paraId="6533FFED" w14:textId="77777777" w:rsidR="009C79FF" w:rsidRPr="009D19AA" w:rsidRDefault="009C79FF" w:rsidP="00BA133C">
            <w:pPr>
              <w:spacing w:after="0" w:line="240" w:lineRule="auto"/>
              <w:jc w:val="center"/>
              <w:rPr>
                <w:rFonts w:ascii="Calibri" w:eastAsia="Times New Roman" w:hAnsi="Calibri" w:cs="Times New Roman"/>
                <w:i/>
                <w:iCs/>
                <w:color w:val="000000"/>
                <w:lang w:eastAsia="en-AU"/>
              </w:rPr>
            </w:pPr>
            <w:r>
              <w:rPr>
                <w:rFonts w:ascii="Calibri" w:hAnsi="Calibri"/>
                <w:i/>
                <w:iCs/>
                <w:color w:val="000000"/>
              </w:rPr>
              <w:t xml:space="preserve">P. </w:t>
            </w:r>
            <w:proofErr w:type="spellStart"/>
            <w:r>
              <w:rPr>
                <w:rFonts w:ascii="Calibri" w:hAnsi="Calibri"/>
                <w:i/>
                <w:iCs/>
                <w:color w:val="000000"/>
              </w:rPr>
              <w:t>acidipropionici</w:t>
            </w:r>
            <w:proofErr w:type="spellEnd"/>
          </w:p>
        </w:tc>
        <w:tc>
          <w:tcPr>
            <w:tcW w:w="1444" w:type="dxa"/>
            <w:tcBorders>
              <w:top w:val="single" w:sz="8" w:space="0" w:color="auto"/>
              <w:left w:val="nil"/>
              <w:bottom w:val="nil"/>
              <w:right w:val="single" w:sz="8" w:space="0" w:color="auto"/>
            </w:tcBorders>
            <w:shd w:val="clear" w:color="auto" w:fill="auto"/>
            <w:noWrap/>
            <w:vAlign w:val="center"/>
            <w:hideMark/>
          </w:tcPr>
          <w:p w14:paraId="16EE25BB" w14:textId="77777777" w:rsidR="009C79FF" w:rsidRPr="009D19AA" w:rsidRDefault="009C79FF" w:rsidP="00BA133C">
            <w:pPr>
              <w:spacing w:after="0" w:line="240" w:lineRule="auto"/>
              <w:jc w:val="center"/>
              <w:rPr>
                <w:rFonts w:ascii="Calibri" w:eastAsia="Times New Roman" w:hAnsi="Calibri" w:cs="Times New Roman"/>
                <w:i/>
                <w:iCs/>
                <w:color w:val="000000"/>
                <w:lang w:eastAsia="en-AU"/>
              </w:rPr>
            </w:pPr>
            <w:r>
              <w:rPr>
                <w:rFonts w:ascii="Calibri" w:hAnsi="Calibri"/>
                <w:i/>
                <w:iCs/>
                <w:color w:val="000000"/>
              </w:rPr>
              <w:t xml:space="preserve">P. </w:t>
            </w:r>
            <w:proofErr w:type="spellStart"/>
            <w:r>
              <w:rPr>
                <w:rFonts w:ascii="Calibri" w:hAnsi="Calibri"/>
                <w:i/>
                <w:iCs/>
                <w:color w:val="000000"/>
              </w:rPr>
              <w:t>shermanii</w:t>
            </w:r>
            <w:proofErr w:type="spellEnd"/>
          </w:p>
        </w:tc>
        <w:tc>
          <w:tcPr>
            <w:tcW w:w="1444" w:type="dxa"/>
            <w:tcBorders>
              <w:top w:val="single" w:sz="8" w:space="0" w:color="auto"/>
              <w:left w:val="nil"/>
              <w:bottom w:val="nil"/>
              <w:right w:val="single" w:sz="8" w:space="0" w:color="auto"/>
            </w:tcBorders>
            <w:shd w:val="clear" w:color="auto" w:fill="auto"/>
            <w:noWrap/>
            <w:vAlign w:val="center"/>
            <w:hideMark/>
          </w:tcPr>
          <w:p w14:paraId="492A295C" w14:textId="77777777" w:rsidR="009C79FF" w:rsidRPr="009D19AA" w:rsidRDefault="009C79FF" w:rsidP="00BA133C">
            <w:pPr>
              <w:spacing w:after="0" w:line="240" w:lineRule="auto"/>
              <w:jc w:val="center"/>
              <w:rPr>
                <w:rFonts w:ascii="Calibri" w:eastAsia="Times New Roman" w:hAnsi="Calibri" w:cs="Times New Roman"/>
                <w:i/>
                <w:iCs/>
                <w:color w:val="000000"/>
                <w:lang w:eastAsia="en-AU"/>
              </w:rPr>
            </w:pPr>
            <w:r>
              <w:rPr>
                <w:rFonts w:ascii="Calibri" w:hAnsi="Calibri"/>
                <w:i/>
                <w:iCs/>
                <w:color w:val="000000"/>
              </w:rPr>
              <w:t xml:space="preserve">P. </w:t>
            </w:r>
            <w:proofErr w:type="spellStart"/>
            <w:r>
              <w:rPr>
                <w:rFonts w:ascii="Calibri" w:hAnsi="Calibri"/>
                <w:i/>
                <w:iCs/>
                <w:color w:val="000000"/>
              </w:rPr>
              <w:t>avidum</w:t>
            </w:r>
            <w:proofErr w:type="spellEnd"/>
          </w:p>
        </w:tc>
        <w:tc>
          <w:tcPr>
            <w:tcW w:w="1905" w:type="dxa"/>
            <w:tcBorders>
              <w:top w:val="single" w:sz="8" w:space="0" w:color="auto"/>
              <w:left w:val="nil"/>
              <w:bottom w:val="nil"/>
              <w:right w:val="single" w:sz="8" w:space="0" w:color="auto"/>
            </w:tcBorders>
            <w:shd w:val="clear" w:color="auto" w:fill="auto"/>
            <w:noWrap/>
            <w:vAlign w:val="center"/>
            <w:hideMark/>
          </w:tcPr>
          <w:p w14:paraId="718191A0" w14:textId="77777777" w:rsidR="009C79FF" w:rsidRPr="009D19AA" w:rsidRDefault="009C79FF" w:rsidP="00BA133C">
            <w:pPr>
              <w:spacing w:after="0" w:line="240" w:lineRule="auto"/>
              <w:jc w:val="center"/>
              <w:rPr>
                <w:rFonts w:ascii="Calibri" w:eastAsia="Times New Roman" w:hAnsi="Calibri" w:cs="Times New Roman"/>
                <w:i/>
                <w:iCs/>
                <w:color w:val="000000"/>
                <w:lang w:eastAsia="en-AU"/>
              </w:rPr>
            </w:pPr>
            <w:r>
              <w:rPr>
                <w:rFonts w:ascii="Calibri" w:hAnsi="Calibri"/>
                <w:i/>
                <w:iCs/>
                <w:color w:val="000000"/>
              </w:rPr>
              <w:t xml:space="preserve">P. </w:t>
            </w:r>
            <w:proofErr w:type="spellStart"/>
            <w:r>
              <w:rPr>
                <w:rFonts w:ascii="Calibri" w:hAnsi="Calibri"/>
                <w:i/>
                <w:iCs/>
                <w:color w:val="000000"/>
              </w:rPr>
              <w:t>propionicum</w:t>
            </w:r>
            <w:proofErr w:type="spellEnd"/>
          </w:p>
        </w:tc>
        <w:tc>
          <w:tcPr>
            <w:tcW w:w="1473" w:type="dxa"/>
            <w:tcBorders>
              <w:top w:val="single" w:sz="8" w:space="0" w:color="auto"/>
              <w:left w:val="nil"/>
              <w:bottom w:val="nil"/>
              <w:right w:val="single" w:sz="8" w:space="0" w:color="auto"/>
            </w:tcBorders>
            <w:shd w:val="clear" w:color="auto" w:fill="auto"/>
            <w:noWrap/>
            <w:vAlign w:val="center"/>
            <w:hideMark/>
          </w:tcPr>
          <w:p w14:paraId="12BC93D9" w14:textId="77777777" w:rsidR="009C79FF" w:rsidRPr="009D19AA" w:rsidRDefault="009C79FF" w:rsidP="00BA133C">
            <w:pPr>
              <w:spacing w:after="0" w:line="240" w:lineRule="auto"/>
              <w:jc w:val="center"/>
              <w:rPr>
                <w:rFonts w:ascii="Calibri" w:eastAsia="Times New Roman" w:hAnsi="Calibri" w:cs="Times New Roman"/>
                <w:i/>
                <w:iCs/>
                <w:color w:val="000000"/>
                <w:lang w:eastAsia="en-AU"/>
              </w:rPr>
            </w:pPr>
            <w:r>
              <w:rPr>
                <w:rFonts w:ascii="Calibri" w:hAnsi="Calibri"/>
                <w:i/>
                <w:iCs/>
                <w:color w:val="000000"/>
              </w:rPr>
              <w:t>P. acnes</w:t>
            </w:r>
          </w:p>
        </w:tc>
      </w:tr>
      <w:tr w:rsidR="009C79FF" w:rsidRPr="009D19AA" w14:paraId="685602D3" w14:textId="77777777" w:rsidTr="00BA133C">
        <w:trPr>
          <w:trHeight w:val="300"/>
        </w:trPr>
        <w:tc>
          <w:tcPr>
            <w:tcW w:w="999"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4FA84620" w14:textId="77777777" w:rsidR="009C79FF" w:rsidRPr="009D19AA"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Vitamins</w:t>
            </w:r>
          </w:p>
        </w:tc>
        <w:tc>
          <w:tcPr>
            <w:tcW w:w="1473" w:type="dxa"/>
            <w:tcBorders>
              <w:top w:val="single" w:sz="8" w:space="0" w:color="auto"/>
              <w:left w:val="nil"/>
              <w:bottom w:val="nil"/>
              <w:right w:val="nil"/>
            </w:tcBorders>
            <w:shd w:val="clear" w:color="auto" w:fill="auto"/>
            <w:noWrap/>
            <w:vAlign w:val="bottom"/>
            <w:hideMark/>
          </w:tcPr>
          <w:p w14:paraId="0597156B"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Biotin</w:t>
            </w:r>
          </w:p>
        </w:tc>
        <w:tc>
          <w:tcPr>
            <w:tcW w:w="1519" w:type="dxa"/>
            <w:tcBorders>
              <w:top w:val="single" w:sz="8" w:space="0" w:color="auto"/>
              <w:left w:val="single" w:sz="8" w:space="0" w:color="auto"/>
              <w:bottom w:val="nil"/>
              <w:right w:val="single" w:sz="8" w:space="0" w:color="auto"/>
            </w:tcBorders>
            <w:shd w:val="clear" w:color="auto" w:fill="auto"/>
            <w:noWrap/>
            <w:vAlign w:val="bottom"/>
            <w:hideMark/>
          </w:tcPr>
          <w:p w14:paraId="101D4A8B"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Biotin</w:t>
            </w:r>
          </w:p>
        </w:tc>
        <w:tc>
          <w:tcPr>
            <w:tcW w:w="1444" w:type="dxa"/>
            <w:tcBorders>
              <w:top w:val="single" w:sz="8" w:space="0" w:color="auto"/>
              <w:left w:val="nil"/>
              <w:bottom w:val="nil"/>
              <w:right w:val="single" w:sz="8" w:space="0" w:color="auto"/>
            </w:tcBorders>
            <w:shd w:val="clear" w:color="auto" w:fill="auto"/>
            <w:noWrap/>
            <w:vAlign w:val="bottom"/>
            <w:hideMark/>
          </w:tcPr>
          <w:p w14:paraId="4EC1717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Biotin</w:t>
            </w:r>
          </w:p>
        </w:tc>
        <w:tc>
          <w:tcPr>
            <w:tcW w:w="1444" w:type="dxa"/>
            <w:tcBorders>
              <w:top w:val="single" w:sz="8" w:space="0" w:color="auto"/>
              <w:left w:val="nil"/>
              <w:bottom w:val="nil"/>
              <w:right w:val="single" w:sz="8" w:space="0" w:color="auto"/>
            </w:tcBorders>
            <w:shd w:val="clear" w:color="auto" w:fill="auto"/>
            <w:noWrap/>
            <w:vAlign w:val="bottom"/>
            <w:hideMark/>
          </w:tcPr>
          <w:p w14:paraId="6E2ABA3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Pimelate</w:t>
            </w:r>
            <w:proofErr w:type="spellEnd"/>
          </w:p>
        </w:tc>
        <w:tc>
          <w:tcPr>
            <w:tcW w:w="1905" w:type="dxa"/>
            <w:tcBorders>
              <w:top w:val="single" w:sz="8" w:space="0" w:color="auto"/>
              <w:left w:val="nil"/>
              <w:bottom w:val="nil"/>
              <w:right w:val="single" w:sz="8" w:space="0" w:color="auto"/>
            </w:tcBorders>
            <w:shd w:val="clear" w:color="auto" w:fill="auto"/>
            <w:noWrap/>
            <w:vAlign w:val="bottom"/>
            <w:hideMark/>
          </w:tcPr>
          <w:p w14:paraId="7835F371"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Biotin</w:t>
            </w:r>
          </w:p>
        </w:tc>
        <w:tc>
          <w:tcPr>
            <w:tcW w:w="1473" w:type="dxa"/>
            <w:tcBorders>
              <w:top w:val="single" w:sz="8" w:space="0" w:color="auto"/>
              <w:left w:val="nil"/>
              <w:bottom w:val="nil"/>
              <w:right w:val="single" w:sz="8" w:space="0" w:color="auto"/>
            </w:tcBorders>
            <w:shd w:val="clear" w:color="auto" w:fill="auto"/>
            <w:noWrap/>
            <w:vAlign w:val="bottom"/>
            <w:hideMark/>
          </w:tcPr>
          <w:p w14:paraId="48C929D1"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Pimelate</w:t>
            </w:r>
            <w:proofErr w:type="spellEnd"/>
          </w:p>
        </w:tc>
      </w:tr>
      <w:tr w:rsidR="009C79FF" w:rsidRPr="009D19AA" w14:paraId="69C0516E" w14:textId="77777777" w:rsidTr="00BA133C">
        <w:trPr>
          <w:trHeight w:val="300"/>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46B758EE"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02DB7B1B"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c>
          <w:tcPr>
            <w:tcW w:w="1519" w:type="dxa"/>
            <w:tcBorders>
              <w:top w:val="nil"/>
              <w:left w:val="single" w:sz="8" w:space="0" w:color="auto"/>
              <w:bottom w:val="nil"/>
              <w:right w:val="single" w:sz="8" w:space="0" w:color="auto"/>
            </w:tcBorders>
            <w:shd w:val="clear" w:color="auto" w:fill="auto"/>
            <w:noWrap/>
            <w:vAlign w:val="bottom"/>
            <w:hideMark/>
          </w:tcPr>
          <w:p w14:paraId="390E69B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c>
          <w:tcPr>
            <w:tcW w:w="1444" w:type="dxa"/>
            <w:tcBorders>
              <w:top w:val="nil"/>
              <w:left w:val="nil"/>
              <w:bottom w:val="nil"/>
              <w:right w:val="single" w:sz="8" w:space="0" w:color="auto"/>
            </w:tcBorders>
            <w:shd w:val="clear" w:color="auto" w:fill="auto"/>
            <w:noWrap/>
            <w:vAlign w:val="bottom"/>
            <w:hideMark/>
          </w:tcPr>
          <w:p w14:paraId="78FA6014"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c>
          <w:tcPr>
            <w:tcW w:w="1444" w:type="dxa"/>
            <w:tcBorders>
              <w:top w:val="nil"/>
              <w:left w:val="nil"/>
              <w:bottom w:val="nil"/>
              <w:right w:val="single" w:sz="8" w:space="0" w:color="auto"/>
            </w:tcBorders>
            <w:shd w:val="clear" w:color="auto" w:fill="auto"/>
            <w:noWrap/>
            <w:vAlign w:val="bottom"/>
            <w:hideMark/>
          </w:tcPr>
          <w:p w14:paraId="3844E4DD"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c>
          <w:tcPr>
            <w:tcW w:w="1905" w:type="dxa"/>
            <w:tcBorders>
              <w:top w:val="nil"/>
              <w:left w:val="nil"/>
              <w:bottom w:val="nil"/>
              <w:right w:val="single" w:sz="8" w:space="0" w:color="auto"/>
            </w:tcBorders>
            <w:shd w:val="clear" w:color="auto" w:fill="auto"/>
            <w:noWrap/>
            <w:vAlign w:val="bottom"/>
            <w:hideMark/>
          </w:tcPr>
          <w:p w14:paraId="460CC70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c>
          <w:tcPr>
            <w:tcW w:w="1473" w:type="dxa"/>
            <w:tcBorders>
              <w:top w:val="nil"/>
              <w:left w:val="nil"/>
              <w:bottom w:val="nil"/>
              <w:right w:val="single" w:sz="8" w:space="0" w:color="auto"/>
            </w:tcBorders>
            <w:shd w:val="clear" w:color="auto" w:fill="auto"/>
            <w:noWrap/>
            <w:vAlign w:val="bottom"/>
            <w:hideMark/>
          </w:tcPr>
          <w:p w14:paraId="733C421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Pantothen</w:t>
            </w:r>
            <w:r>
              <w:rPr>
                <w:rFonts w:ascii="Calibri" w:eastAsia="Times New Roman" w:hAnsi="Calibri" w:cs="Times New Roman"/>
                <w:color w:val="000000"/>
                <w:lang w:eastAsia="en-AU"/>
              </w:rPr>
              <w:t>ate</w:t>
            </w:r>
          </w:p>
        </w:tc>
      </w:tr>
      <w:tr w:rsidR="009C79FF" w:rsidRPr="009D19AA" w14:paraId="32116C8B" w14:textId="77777777" w:rsidTr="00BA133C">
        <w:trPr>
          <w:trHeight w:val="300"/>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1200EA84"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48317F9A"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NAD</w:t>
            </w:r>
          </w:p>
        </w:tc>
        <w:tc>
          <w:tcPr>
            <w:tcW w:w="1519" w:type="dxa"/>
            <w:tcBorders>
              <w:top w:val="nil"/>
              <w:left w:val="single" w:sz="8" w:space="0" w:color="auto"/>
              <w:bottom w:val="nil"/>
              <w:right w:val="single" w:sz="8" w:space="0" w:color="auto"/>
            </w:tcBorders>
            <w:shd w:val="clear" w:color="auto" w:fill="auto"/>
            <w:noWrap/>
            <w:vAlign w:val="bottom"/>
            <w:hideMark/>
          </w:tcPr>
          <w:p w14:paraId="2DF912E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47563D1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5271B4A1"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6F2B5D33"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Nicotinate</w:t>
            </w:r>
          </w:p>
        </w:tc>
        <w:tc>
          <w:tcPr>
            <w:tcW w:w="1473" w:type="dxa"/>
            <w:tcBorders>
              <w:top w:val="nil"/>
              <w:left w:val="nil"/>
              <w:bottom w:val="nil"/>
              <w:right w:val="single" w:sz="8" w:space="0" w:color="auto"/>
            </w:tcBorders>
            <w:shd w:val="clear" w:color="auto" w:fill="auto"/>
            <w:noWrap/>
            <w:vAlign w:val="bottom"/>
            <w:hideMark/>
          </w:tcPr>
          <w:p w14:paraId="6DA37020"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Nicotinate</w:t>
            </w:r>
          </w:p>
        </w:tc>
      </w:tr>
      <w:tr w:rsidR="009C79FF" w:rsidRPr="009D19AA" w14:paraId="454112EB" w14:textId="77777777" w:rsidTr="00BA133C">
        <w:trPr>
          <w:trHeight w:val="300"/>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617DE025"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350CC881" w14:textId="77777777" w:rsidR="009C79FF" w:rsidRPr="009D19AA" w:rsidRDefault="009C79FF" w:rsidP="00BA133C">
            <w:pPr>
              <w:spacing w:after="0" w:line="240" w:lineRule="auto"/>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Thiamin</w:t>
            </w:r>
            <w:proofErr w:type="spellEnd"/>
          </w:p>
        </w:tc>
        <w:tc>
          <w:tcPr>
            <w:tcW w:w="1519" w:type="dxa"/>
            <w:tcBorders>
              <w:top w:val="nil"/>
              <w:left w:val="single" w:sz="8" w:space="0" w:color="auto"/>
              <w:bottom w:val="nil"/>
              <w:right w:val="single" w:sz="8" w:space="0" w:color="auto"/>
            </w:tcBorders>
            <w:shd w:val="clear" w:color="auto" w:fill="auto"/>
            <w:noWrap/>
            <w:vAlign w:val="bottom"/>
            <w:hideMark/>
          </w:tcPr>
          <w:p w14:paraId="4674C744"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090D63B5"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61B6CEB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Thiamin</w:t>
            </w:r>
            <w:proofErr w:type="spellEnd"/>
          </w:p>
        </w:tc>
        <w:tc>
          <w:tcPr>
            <w:tcW w:w="1905" w:type="dxa"/>
            <w:tcBorders>
              <w:top w:val="nil"/>
              <w:left w:val="nil"/>
              <w:bottom w:val="nil"/>
              <w:right w:val="single" w:sz="8" w:space="0" w:color="auto"/>
            </w:tcBorders>
            <w:shd w:val="clear" w:color="auto" w:fill="auto"/>
            <w:noWrap/>
            <w:vAlign w:val="bottom"/>
            <w:hideMark/>
          </w:tcPr>
          <w:p w14:paraId="3D25835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Thiamin</w:t>
            </w:r>
            <w:proofErr w:type="spellEnd"/>
          </w:p>
        </w:tc>
        <w:tc>
          <w:tcPr>
            <w:tcW w:w="1473" w:type="dxa"/>
            <w:tcBorders>
              <w:top w:val="nil"/>
              <w:left w:val="nil"/>
              <w:bottom w:val="nil"/>
              <w:right w:val="single" w:sz="8" w:space="0" w:color="auto"/>
            </w:tcBorders>
            <w:shd w:val="clear" w:color="auto" w:fill="auto"/>
            <w:noWrap/>
            <w:vAlign w:val="bottom"/>
            <w:hideMark/>
          </w:tcPr>
          <w:p w14:paraId="632CB5A3"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roofErr w:type="spellStart"/>
            <w:r>
              <w:rPr>
                <w:rFonts w:ascii="Calibri" w:eastAsia="Times New Roman" w:hAnsi="Calibri" w:cs="Times New Roman"/>
                <w:color w:val="000000"/>
                <w:lang w:eastAsia="en-AU"/>
              </w:rPr>
              <w:t>Thiamin</w:t>
            </w:r>
            <w:proofErr w:type="spellEnd"/>
          </w:p>
        </w:tc>
      </w:tr>
      <w:tr w:rsidR="009C79FF" w:rsidRPr="009D19AA" w14:paraId="1A32FEE1" w14:textId="77777777" w:rsidTr="00BA133C">
        <w:trPr>
          <w:trHeight w:val="300"/>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6C7FA001"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772A3002" w14:textId="77777777" w:rsidR="009C79FF" w:rsidRPr="009D19AA" w:rsidRDefault="009C79FF" w:rsidP="00BA133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Riboflavin</w:t>
            </w:r>
          </w:p>
        </w:tc>
        <w:tc>
          <w:tcPr>
            <w:tcW w:w="1519" w:type="dxa"/>
            <w:tcBorders>
              <w:top w:val="nil"/>
              <w:left w:val="single" w:sz="8" w:space="0" w:color="auto"/>
              <w:bottom w:val="nil"/>
              <w:right w:val="single" w:sz="8" w:space="0" w:color="auto"/>
            </w:tcBorders>
            <w:shd w:val="clear" w:color="auto" w:fill="auto"/>
            <w:noWrap/>
            <w:vAlign w:val="bottom"/>
            <w:hideMark/>
          </w:tcPr>
          <w:p w14:paraId="2880C16D"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6E89407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227A4B0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489E1274"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Riboflavin</w:t>
            </w:r>
          </w:p>
        </w:tc>
        <w:tc>
          <w:tcPr>
            <w:tcW w:w="1473" w:type="dxa"/>
            <w:tcBorders>
              <w:top w:val="nil"/>
              <w:left w:val="nil"/>
              <w:bottom w:val="nil"/>
              <w:right w:val="single" w:sz="8" w:space="0" w:color="auto"/>
            </w:tcBorders>
            <w:shd w:val="clear" w:color="auto" w:fill="auto"/>
            <w:noWrap/>
            <w:vAlign w:val="bottom"/>
            <w:hideMark/>
          </w:tcPr>
          <w:p w14:paraId="7336D915"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r>
      <w:tr w:rsidR="009C79FF" w:rsidRPr="009D19AA" w14:paraId="59736276" w14:textId="77777777" w:rsidTr="00BA133C">
        <w:trPr>
          <w:trHeight w:val="300"/>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3168C825"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1BD2F515"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Pyridoxal</w:t>
            </w:r>
          </w:p>
        </w:tc>
        <w:tc>
          <w:tcPr>
            <w:tcW w:w="1519" w:type="dxa"/>
            <w:tcBorders>
              <w:top w:val="nil"/>
              <w:left w:val="single" w:sz="8" w:space="0" w:color="auto"/>
              <w:bottom w:val="nil"/>
              <w:right w:val="single" w:sz="8" w:space="0" w:color="auto"/>
            </w:tcBorders>
            <w:shd w:val="clear" w:color="auto" w:fill="auto"/>
            <w:noWrap/>
            <w:vAlign w:val="bottom"/>
            <w:hideMark/>
          </w:tcPr>
          <w:p w14:paraId="0710DE9B"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2D3887B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6CBB8C83"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720A624A"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Pyridoxal</w:t>
            </w:r>
          </w:p>
        </w:tc>
        <w:tc>
          <w:tcPr>
            <w:tcW w:w="1473" w:type="dxa"/>
            <w:tcBorders>
              <w:top w:val="nil"/>
              <w:left w:val="nil"/>
              <w:bottom w:val="nil"/>
              <w:right w:val="single" w:sz="8" w:space="0" w:color="auto"/>
            </w:tcBorders>
            <w:shd w:val="clear" w:color="auto" w:fill="auto"/>
            <w:noWrap/>
            <w:vAlign w:val="bottom"/>
            <w:hideMark/>
          </w:tcPr>
          <w:p w14:paraId="1369B5E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r>
      <w:tr w:rsidR="009C79FF" w:rsidRPr="009D19AA" w14:paraId="4BA0E0A4" w14:textId="77777777" w:rsidTr="00BA133C">
        <w:trPr>
          <w:trHeight w:val="315"/>
        </w:trPr>
        <w:tc>
          <w:tcPr>
            <w:tcW w:w="999" w:type="dxa"/>
            <w:vMerge/>
            <w:tcBorders>
              <w:top w:val="single" w:sz="8" w:space="0" w:color="auto"/>
              <w:left w:val="single" w:sz="8" w:space="0" w:color="auto"/>
              <w:bottom w:val="single" w:sz="8" w:space="0" w:color="000000"/>
              <w:right w:val="single" w:sz="8" w:space="0" w:color="auto"/>
            </w:tcBorders>
            <w:vAlign w:val="center"/>
            <w:hideMark/>
          </w:tcPr>
          <w:p w14:paraId="3A952E05"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single" w:sz="8" w:space="0" w:color="auto"/>
              <w:right w:val="nil"/>
            </w:tcBorders>
            <w:shd w:val="clear" w:color="auto" w:fill="auto"/>
            <w:noWrap/>
            <w:vAlign w:val="bottom"/>
            <w:hideMark/>
          </w:tcPr>
          <w:p w14:paraId="081357E7" w14:textId="77777777" w:rsidR="009C79FF" w:rsidRPr="009D19AA" w:rsidRDefault="009C79FF" w:rsidP="00BA133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Folate</w:t>
            </w:r>
          </w:p>
        </w:tc>
        <w:tc>
          <w:tcPr>
            <w:tcW w:w="1519" w:type="dxa"/>
            <w:tcBorders>
              <w:top w:val="nil"/>
              <w:left w:val="single" w:sz="8" w:space="0" w:color="auto"/>
              <w:bottom w:val="single" w:sz="8" w:space="0" w:color="auto"/>
              <w:right w:val="single" w:sz="8" w:space="0" w:color="auto"/>
            </w:tcBorders>
            <w:shd w:val="clear" w:color="auto" w:fill="auto"/>
            <w:noWrap/>
            <w:vAlign w:val="bottom"/>
            <w:hideMark/>
          </w:tcPr>
          <w:p w14:paraId="691FE37A"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8" w:space="0" w:color="auto"/>
              <w:right w:val="single" w:sz="8" w:space="0" w:color="auto"/>
            </w:tcBorders>
            <w:shd w:val="clear" w:color="auto" w:fill="auto"/>
            <w:noWrap/>
            <w:vAlign w:val="bottom"/>
            <w:hideMark/>
          </w:tcPr>
          <w:p w14:paraId="07669FC2"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8" w:space="0" w:color="auto"/>
              <w:right w:val="single" w:sz="8" w:space="0" w:color="auto"/>
            </w:tcBorders>
            <w:shd w:val="clear" w:color="auto" w:fill="auto"/>
            <w:noWrap/>
            <w:vAlign w:val="bottom"/>
            <w:hideMark/>
          </w:tcPr>
          <w:p w14:paraId="070B8031"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single" w:sz="8" w:space="0" w:color="auto"/>
              <w:right w:val="single" w:sz="8" w:space="0" w:color="auto"/>
            </w:tcBorders>
            <w:shd w:val="clear" w:color="auto" w:fill="auto"/>
            <w:noWrap/>
            <w:vAlign w:val="bottom"/>
            <w:hideMark/>
          </w:tcPr>
          <w:p w14:paraId="5F417971"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801E51">
              <w:rPr>
                <w:rFonts w:ascii="Calibri" w:eastAsia="Times New Roman" w:hAnsi="Calibri" w:cs="Times New Roman"/>
                <w:i/>
                <w:color w:val="000000"/>
                <w:lang w:eastAsia="en-AU"/>
              </w:rPr>
              <w:t>p</w:t>
            </w:r>
            <w:r>
              <w:rPr>
                <w:rFonts w:ascii="Calibri" w:eastAsia="Times New Roman" w:hAnsi="Calibri" w:cs="Times New Roman"/>
                <w:color w:val="000000"/>
                <w:lang w:eastAsia="en-AU"/>
              </w:rPr>
              <w:t>-aminobenzoate</w:t>
            </w:r>
          </w:p>
        </w:tc>
        <w:tc>
          <w:tcPr>
            <w:tcW w:w="1473" w:type="dxa"/>
            <w:tcBorders>
              <w:top w:val="nil"/>
              <w:left w:val="nil"/>
              <w:bottom w:val="single" w:sz="8" w:space="0" w:color="auto"/>
              <w:right w:val="single" w:sz="8" w:space="0" w:color="auto"/>
            </w:tcBorders>
            <w:shd w:val="clear" w:color="auto" w:fill="auto"/>
            <w:noWrap/>
            <w:vAlign w:val="bottom"/>
            <w:hideMark/>
          </w:tcPr>
          <w:p w14:paraId="6DDCD33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r>
      <w:tr w:rsidR="009C79FF" w:rsidRPr="009D19AA" w14:paraId="0999EF1B" w14:textId="77777777" w:rsidTr="00BA133C">
        <w:trPr>
          <w:trHeight w:val="300"/>
        </w:trPr>
        <w:tc>
          <w:tcPr>
            <w:tcW w:w="999" w:type="dxa"/>
            <w:vMerge w:val="restart"/>
            <w:tcBorders>
              <w:top w:val="nil"/>
              <w:left w:val="single" w:sz="8" w:space="0" w:color="auto"/>
              <w:bottom w:val="single" w:sz="8" w:space="0" w:color="000000"/>
              <w:right w:val="single" w:sz="8" w:space="0" w:color="auto"/>
            </w:tcBorders>
            <w:shd w:val="clear" w:color="auto" w:fill="auto"/>
            <w:vAlign w:val="center"/>
            <w:hideMark/>
          </w:tcPr>
          <w:p w14:paraId="75D6DBCD" w14:textId="77777777" w:rsidR="009C79FF" w:rsidRPr="009D19AA"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Amino acids</w:t>
            </w:r>
          </w:p>
        </w:tc>
        <w:tc>
          <w:tcPr>
            <w:tcW w:w="1473" w:type="dxa"/>
            <w:tcBorders>
              <w:top w:val="nil"/>
              <w:left w:val="nil"/>
              <w:bottom w:val="nil"/>
              <w:right w:val="nil"/>
            </w:tcBorders>
            <w:shd w:val="clear" w:color="auto" w:fill="auto"/>
            <w:noWrap/>
            <w:vAlign w:val="bottom"/>
            <w:hideMark/>
          </w:tcPr>
          <w:p w14:paraId="4EBB3AB6"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Methionine</w:t>
            </w:r>
          </w:p>
        </w:tc>
        <w:tc>
          <w:tcPr>
            <w:tcW w:w="1519" w:type="dxa"/>
            <w:tcBorders>
              <w:top w:val="nil"/>
              <w:left w:val="single" w:sz="8" w:space="0" w:color="auto"/>
              <w:bottom w:val="nil"/>
              <w:right w:val="single" w:sz="8" w:space="0" w:color="auto"/>
            </w:tcBorders>
            <w:shd w:val="clear" w:color="auto" w:fill="auto"/>
            <w:noWrap/>
            <w:vAlign w:val="bottom"/>
            <w:hideMark/>
          </w:tcPr>
          <w:p w14:paraId="7FC8400A"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404DBD5D"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01666AD6"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511D433F"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nil"/>
              <w:right w:val="single" w:sz="8" w:space="0" w:color="auto"/>
            </w:tcBorders>
            <w:shd w:val="clear" w:color="auto" w:fill="auto"/>
            <w:noWrap/>
            <w:vAlign w:val="bottom"/>
            <w:hideMark/>
          </w:tcPr>
          <w:p w14:paraId="6AA9A7D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Methionine</w:t>
            </w:r>
          </w:p>
        </w:tc>
      </w:tr>
      <w:tr w:rsidR="009C79FF" w:rsidRPr="009D19AA" w14:paraId="5AF7809A" w14:textId="77777777" w:rsidTr="00BA133C">
        <w:trPr>
          <w:trHeight w:val="300"/>
        </w:trPr>
        <w:tc>
          <w:tcPr>
            <w:tcW w:w="999" w:type="dxa"/>
            <w:vMerge/>
            <w:tcBorders>
              <w:top w:val="nil"/>
              <w:left w:val="single" w:sz="8" w:space="0" w:color="auto"/>
              <w:bottom w:val="single" w:sz="8" w:space="0" w:color="000000"/>
              <w:right w:val="single" w:sz="8" w:space="0" w:color="auto"/>
            </w:tcBorders>
            <w:vAlign w:val="center"/>
            <w:hideMark/>
          </w:tcPr>
          <w:p w14:paraId="71769128"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6CABAE21"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Isoleucine</w:t>
            </w:r>
          </w:p>
        </w:tc>
        <w:tc>
          <w:tcPr>
            <w:tcW w:w="1519" w:type="dxa"/>
            <w:tcBorders>
              <w:top w:val="nil"/>
              <w:left w:val="single" w:sz="8" w:space="0" w:color="auto"/>
              <w:bottom w:val="nil"/>
              <w:right w:val="single" w:sz="8" w:space="0" w:color="auto"/>
            </w:tcBorders>
            <w:shd w:val="clear" w:color="auto" w:fill="auto"/>
            <w:noWrap/>
            <w:vAlign w:val="bottom"/>
            <w:hideMark/>
          </w:tcPr>
          <w:p w14:paraId="114418E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7C7C4BED"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4779C686"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25C1CD3C"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nil"/>
              <w:right w:val="single" w:sz="8" w:space="0" w:color="auto"/>
            </w:tcBorders>
            <w:shd w:val="clear" w:color="auto" w:fill="auto"/>
            <w:noWrap/>
            <w:vAlign w:val="bottom"/>
            <w:hideMark/>
          </w:tcPr>
          <w:p w14:paraId="16EB4660"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Isoleucine</w:t>
            </w:r>
          </w:p>
        </w:tc>
      </w:tr>
      <w:tr w:rsidR="009C79FF" w:rsidRPr="009D19AA" w14:paraId="2FC7BDE0" w14:textId="77777777" w:rsidTr="00BA133C">
        <w:trPr>
          <w:trHeight w:val="300"/>
        </w:trPr>
        <w:tc>
          <w:tcPr>
            <w:tcW w:w="999" w:type="dxa"/>
            <w:vMerge/>
            <w:tcBorders>
              <w:top w:val="nil"/>
              <w:left w:val="single" w:sz="8" w:space="0" w:color="auto"/>
              <w:bottom w:val="single" w:sz="8" w:space="0" w:color="000000"/>
              <w:right w:val="single" w:sz="8" w:space="0" w:color="auto"/>
            </w:tcBorders>
            <w:vAlign w:val="center"/>
            <w:hideMark/>
          </w:tcPr>
          <w:p w14:paraId="640D88D5"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76473B00"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Leucine</w:t>
            </w:r>
          </w:p>
        </w:tc>
        <w:tc>
          <w:tcPr>
            <w:tcW w:w="1519" w:type="dxa"/>
            <w:tcBorders>
              <w:top w:val="nil"/>
              <w:left w:val="single" w:sz="8" w:space="0" w:color="auto"/>
              <w:bottom w:val="nil"/>
              <w:right w:val="single" w:sz="8" w:space="0" w:color="auto"/>
            </w:tcBorders>
            <w:shd w:val="clear" w:color="auto" w:fill="auto"/>
            <w:noWrap/>
            <w:vAlign w:val="bottom"/>
            <w:hideMark/>
          </w:tcPr>
          <w:p w14:paraId="25AF773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577D81E0"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04EC42C0"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76C9611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nil"/>
              <w:right w:val="single" w:sz="8" w:space="0" w:color="auto"/>
            </w:tcBorders>
            <w:shd w:val="clear" w:color="auto" w:fill="auto"/>
            <w:noWrap/>
            <w:vAlign w:val="bottom"/>
            <w:hideMark/>
          </w:tcPr>
          <w:p w14:paraId="269EA90A"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Valine</w:t>
            </w:r>
          </w:p>
        </w:tc>
      </w:tr>
      <w:tr w:rsidR="009C79FF" w:rsidRPr="009D19AA" w14:paraId="1F897824" w14:textId="77777777" w:rsidTr="00BA133C">
        <w:trPr>
          <w:trHeight w:val="300"/>
        </w:trPr>
        <w:tc>
          <w:tcPr>
            <w:tcW w:w="999" w:type="dxa"/>
            <w:vMerge/>
            <w:tcBorders>
              <w:top w:val="nil"/>
              <w:left w:val="single" w:sz="8" w:space="0" w:color="auto"/>
              <w:bottom w:val="single" w:sz="8" w:space="0" w:color="000000"/>
              <w:right w:val="single" w:sz="8" w:space="0" w:color="auto"/>
            </w:tcBorders>
            <w:vAlign w:val="center"/>
            <w:hideMark/>
          </w:tcPr>
          <w:p w14:paraId="1CCBFAAA"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585C1FC0"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Valine</w:t>
            </w:r>
          </w:p>
        </w:tc>
        <w:tc>
          <w:tcPr>
            <w:tcW w:w="1519" w:type="dxa"/>
            <w:tcBorders>
              <w:top w:val="nil"/>
              <w:left w:val="single" w:sz="8" w:space="0" w:color="auto"/>
              <w:bottom w:val="nil"/>
              <w:right w:val="single" w:sz="8" w:space="0" w:color="auto"/>
            </w:tcBorders>
            <w:shd w:val="clear" w:color="auto" w:fill="auto"/>
            <w:noWrap/>
            <w:vAlign w:val="bottom"/>
            <w:hideMark/>
          </w:tcPr>
          <w:p w14:paraId="613AFA5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2EA2C388"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35340FC6"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294DF0D4"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nil"/>
              <w:right w:val="single" w:sz="8" w:space="0" w:color="auto"/>
            </w:tcBorders>
            <w:shd w:val="clear" w:color="auto" w:fill="auto"/>
            <w:noWrap/>
            <w:vAlign w:val="bottom"/>
            <w:hideMark/>
          </w:tcPr>
          <w:p w14:paraId="2E1CBCF3"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Valine</w:t>
            </w:r>
          </w:p>
        </w:tc>
      </w:tr>
      <w:tr w:rsidR="009C79FF" w:rsidRPr="009D19AA" w14:paraId="6FC9E276" w14:textId="77777777" w:rsidTr="00BA133C">
        <w:trPr>
          <w:trHeight w:val="300"/>
        </w:trPr>
        <w:tc>
          <w:tcPr>
            <w:tcW w:w="999" w:type="dxa"/>
            <w:vMerge/>
            <w:tcBorders>
              <w:top w:val="nil"/>
              <w:left w:val="single" w:sz="8" w:space="0" w:color="auto"/>
              <w:bottom w:val="single" w:sz="8" w:space="0" w:color="000000"/>
              <w:right w:val="single" w:sz="8" w:space="0" w:color="auto"/>
            </w:tcBorders>
            <w:vAlign w:val="center"/>
            <w:hideMark/>
          </w:tcPr>
          <w:p w14:paraId="77D2C9F4"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nil"/>
              <w:right w:val="nil"/>
            </w:tcBorders>
            <w:shd w:val="clear" w:color="auto" w:fill="auto"/>
            <w:noWrap/>
            <w:vAlign w:val="bottom"/>
            <w:hideMark/>
          </w:tcPr>
          <w:p w14:paraId="6C9A7D6A"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Tryptophan</w:t>
            </w:r>
          </w:p>
        </w:tc>
        <w:tc>
          <w:tcPr>
            <w:tcW w:w="1519" w:type="dxa"/>
            <w:tcBorders>
              <w:top w:val="nil"/>
              <w:left w:val="single" w:sz="8" w:space="0" w:color="auto"/>
              <w:bottom w:val="nil"/>
              <w:right w:val="single" w:sz="8" w:space="0" w:color="auto"/>
            </w:tcBorders>
            <w:shd w:val="clear" w:color="auto" w:fill="auto"/>
            <w:noWrap/>
            <w:vAlign w:val="bottom"/>
            <w:hideMark/>
          </w:tcPr>
          <w:p w14:paraId="7DCA3B5F"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5254B30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nil"/>
              <w:right w:val="single" w:sz="8" w:space="0" w:color="auto"/>
            </w:tcBorders>
            <w:shd w:val="clear" w:color="auto" w:fill="auto"/>
            <w:noWrap/>
            <w:vAlign w:val="bottom"/>
            <w:hideMark/>
          </w:tcPr>
          <w:p w14:paraId="1666108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nil"/>
              <w:right w:val="single" w:sz="8" w:space="0" w:color="auto"/>
            </w:tcBorders>
            <w:shd w:val="clear" w:color="auto" w:fill="auto"/>
            <w:noWrap/>
            <w:vAlign w:val="bottom"/>
            <w:hideMark/>
          </w:tcPr>
          <w:p w14:paraId="6495E3B6"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nil"/>
              <w:right w:val="single" w:sz="8" w:space="0" w:color="auto"/>
            </w:tcBorders>
            <w:shd w:val="clear" w:color="auto" w:fill="auto"/>
            <w:noWrap/>
            <w:vAlign w:val="bottom"/>
            <w:hideMark/>
          </w:tcPr>
          <w:p w14:paraId="654DABEF"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Tryptophan</w:t>
            </w:r>
          </w:p>
        </w:tc>
      </w:tr>
      <w:tr w:rsidR="009C79FF" w:rsidRPr="009D19AA" w14:paraId="2B65E793" w14:textId="77777777" w:rsidTr="00BA133C">
        <w:trPr>
          <w:trHeight w:val="315"/>
        </w:trPr>
        <w:tc>
          <w:tcPr>
            <w:tcW w:w="999" w:type="dxa"/>
            <w:vMerge/>
            <w:tcBorders>
              <w:top w:val="nil"/>
              <w:left w:val="single" w:sz="8" w:space="0" w:color="auto"/>
              <w:bottom w:val="single" w:sz="8" w:space="0" w:color="000000"/>
              <w:right w:val="single" w:sz="8" w:space="0" w:color="auto"/>
            </w:tcBorders>
            <w:vAlign w:val="center"/>
            <w:hideMark/>
          </w:tcPr>
          <w:p w14:paraId="2F01C5A0" w14:textId="77777777" w:rsidR="009C79FF" w:rsidRPr="009D19AA" w:rsidRDefault="009C79FF" w:rsidP="00BA133C">
            <w:pPr>
              <w:spacing w:after="0" w:line="240" w:lineRule="auto"/>
              <w:rPr>
                <w:rFonts w:ascii="Calibri" w:eastAsia="Times New Roman" w:hAnsi="Calibri" w:cs="Times New Roman"/>
                <w:color w:val="000000"/>
                <w:lang w:eastAsia="en-AU"/>
              </w:rPr>
            </w:pPr>
          </w:p>
        </w:tc>
        <w:tc>
          <w:tcPr>
            <w:tcW w:w="1473" w:type="dxa"/>
            <w:tcBorders>
              <w:top w:val="nil"/>
              <w:left w:val="nil"/>
              <w:bottom w:val="single" w:sz="8" w:space="0" w:color="auto"/>
              <w:right w:val="nil"/>
            </w:tcBorders>
            <w:shd w:val="clear" w:color="auto" w:fill="auto"/>
            <w:noWrap/>
            <w:vAlign w:val="bottom"/>
            <w:hideMark/>
          </w:tcPr>
          <w:p w14:paraId="72074F3B" w14:textId="77777777" w:rsidR="009C79FF" w:rsidRPr="009D19AA" w:rsidRDefault="009C79FF" w:rsidP="00BA133C">
            <w:pPr>
              <w:spacing w:after="0" w:line="240" w:lineRule="auto"/>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Phenylalanine</w:t>
            </w:r>
          </w:p>
        </w:tc>
        <w:tc>
          <w:tcPr>
            <w:tcW w:w="1519" w:type="dxa"/>
            <w:tcBorders>
              <w:top w:val="nil"/>
              <w:left w:val="single" w:sz="8" w:space="0" w:color="auto"/>
              <w:bottom w:val="single" w:sz="8" w:space="0" w:color="auto"/>
              <w:right w:val="single" w:sz="8" w:space="0" w:color="auto"/>
            </w:tcBorders>
            <w:shd w:val="clear" w:color="auto" w:fill="auto"/>
            <w:noWrap/>
            <w:vAlign w:val="bottom"/>
            <w:hideMark/>
          </w:tcPr>
          <w:p w14:paraId="1D778EE9"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8" w:space="0" w:color="auto"/>
              <w:right w:val="single" w:sz="8" w:space="0" w:color="auto"/>
            </w:tcBorders>
            <w:shd w:val="clear" w:color="auto" w:fill="auto"/>
            <w:noWrap/>
            <w:vAlign w:val="bottom"/>
            <w:hideMark/>
          </w:tcPr>
          <w:p w14:paraId="0EB23985"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8" w:space="0" w:color="auto"/>
              <w:right w:val="single" w:sz="8" w:space="0" w:color="auto"/>
            </w:tcBorders>
            <w:shd w:val="clear" w:color="auto" w:fill="auto"/>
            <w:noWrap/>
            <w:vAlign w:val="bottom"/>
            <w:hideMark/>
          </w:tcPr>
          <w:p w14:paraId="6655519F"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single" w:sz="8" w:space="0" w:color="auto"/>
              <w:right w:val="single" w:sz="8" w:space="0" w:color="auto"/>
            </w:tcBorders>
            <w:shd w:val="clear" w:color="auto" w:fill="auto"/>
            <w:noWrap/>
            <w:vAlign w:val="bottom"/>
            <w:hideMark/>
          </w:tcPr>
          <w:p w14:paraId="72292457"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73" w:type="dxa"/>
            <w:tcBorders>
              <w:top w:val="nil"/>
              <w:left w:val="nil"/>
              <w:bottom w:val="single" w:sz="8" w:space="0" w:color="auto"/>
              <w:right w:val="single" w:sz="8" w:space="0" w:color="auto"/>
            </w:tcBorders>
            <w:shd w:val="clear" w:color="auto" w:fill="auto"/>
            <w:noWrap/>
            <w:vAlign w:val="bottom"/>
            <w:hideMark/>
          </w:tcPr>
          <w:p w14:paraId="2F6406C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sidRPr="009D19AA">
              <w:rPr>
                <w:rFonts w:ascii="Calibri" w:eastAsia="Times New Roman" w:hAnsi="Calibri" w:cs="Times New Roman"/>
                <w:color w:val="000000"/>
                <w:lang w:eastAsia="en-AU"/>
              </w:rPr>
              <w:t>Phenylalanine</w:t>
            </w:r>
          </w:p>
        </w:tc>
      </w:tr>
      <w:tr w:rsidR="009C79FF" w:rsidRPr="009D19AA" w14:paraId="45A8D7B5" w14:textId="77777777" w:rsidTr="00BA133C">
        <w:trPr>
          <w:trHeight w:val="300"/>
        </w:trPr>
        <w:tc>
          <w:tcPr>
            <w:tcW w:w="999" w:type="dxa"/>
            <w:tcBorders>
              <w:left w:val="single" w:sz="8" w:space="0" w:color="auto"/>
              <w:bottom w:val="single" w:sz="8" w:space="0" w:color="000000"/>
              <w:right w:val="single" w:sz="8" w:space="0" w:color="auto"/>
            </w:tcBorders>
            <w:shd w:val="clear" w:color="auto" w:fill="auto"/>
            <w:vAlign w:val="center"/>
            <w:hideMark/>
          </w:tcPr>
          <w:p w14:paraId="7F71CAF7" w14:textId="77777777" w:rsidR="009C79FF" w:rsidRPr="009D19AA"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Others</w:t>
            </w:r>
          </w:p>
        </w:tc>
        <w:tc>
          <w:tcPr>
            <w:tcW w:w="1473" w:type="dxa"/>
            <w:tcBorders>
              <w:top w:val="nil"/>
              <w:left w:val="nil"/>
              <w:bottom w:val="single" w:sz="4" w:space="0" w:color="auto"/>
              <w:right w:val="nil"/>
            </w:tcBorders>
            <w:shd w:val="clear" w:color="auto" w:fill="auto"/>
            <w:noWrap/>
            <w:vAlign w:val="bottom"/>
            <w:hideMark/>
          </w:tcPr>
          <w:p w14:paraId="4B845A65" w14:textId="77777777" w:rsidR="009C79FF" w:rsidRPr="009D19AA" w:rsidRDefault="009C79FF" w:rsidP="00BA133C">
            <w:pPr>
              <w:spacing w:after="0" w:line="240" w:lineRule="auto"/>
              <w:rPr>
                <w:rFonts w:ascii="Calibri" w:eastAsia="Times New Roman" w:hAnsi="Calibri" w:cs="Times New Roman"/>
                <w:color w:val="000000"/>
                <w:lang w:eastAsia="en-AU"/>
              </w:rPr>
            </w:pPr>
            <w:r>
              <w:rPr>
                <w:rFonts w:ascii="Calibri" w:eastAsia="Times New Roman" w:hAnsi="Calibri" w:cs="Times New Roman"/>
                <w:color w:val="000000"/>
                <w:lang w:eastAsia="en-AU"/>
              </w:rPr>
              <w:t>CTP</w:t>
            </w:r>
          </w:p>
        </w:tc>
        <w:tc>
          <w:tcPr>
            <w:tcW w:w="1519" w:type="dxa"/>
            <w:tcBorders>
              <w:top w:val="nil"/>
              <w:left w:val="single" w:sz="8" w:space="0" w:color="auto"/>
              <w:bottom w:val="single" w:sz="4" w:space="0" w:color="auto"/>
              <w:right w:val="single" w:sz="8" w:space="0" w:color="auto"/>
            </w:tcBorders>
            <w:shd w:val="clear" w:color="auto" w:fill="auto"/>
            <w:noWrap/>
            <w:vAlign w:val="bottom"/>
            <w:hideMark/>
          </w:tcPr>
          <w:p w14:paraId="2F8CA77D"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4" w:space="0" w:color="auto"/>
              <w:right w:val="single" w:sz="8" w:space="0" w:color="auto"/>
            </w:tcBorders>
            <w:shd w:val="clear" w:color="auto" w:fill="auto"/>
            <w:noWrap/>
            <w:vAlign w:val="bottom"/>
            <w:hideMark/>
          </w:tcPr>
          <w:p w14:paraId="4202353C"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444" w:type="dxa"/>
            <w:tcBorders>
              <w:top w:val="nil"/>
              <w:left w:val="nil"/>
              <w:bottom w:val="single" w:sz="4" w:space="0" w:color="auto"/>
              <w:right w:val="single" w:sz="8" w:space="0" w:color="auto"/>
            </w:tcBorders>
            <w:shd w:val="clear" w:color="auto" w:fill="auto"/>
            <w:noWrap/>
            <w:vAlign w:val="bottom"/>
            <w:hideMark/>
          </w:tcPr>
          <w:p w14:paraId="69C11BEE"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c>
          <w:tcPr>
            <w:tcW w:w="1905" w:type="dxa"/>
            <w:tcBorders>
              <w:top w:val="nil"/>
              <w:left w:val="nil"/>
              <w:bottom w:val="single" w:sz="4" w:space="0" w:color="auto"/>
              <w:right w:val="single" w:sz="8" w:space="0" w:color="auto"/>
            </w:tcBorders>
            <w:shd w:val="clear" w:color="auto" w:fill="auto"/>
            <w:noWrap/>
            <w:vAlign w:val="bottom"/>
            <w:hideMark/>
          </w:tcPr>
          <w:p w14:paraId="30597133"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r>
              <w:rPr>
                <w:rFonts w:ascii="Calibri" w:eastAsia="Times New Roman" w:hAnsi="Calibri" w:cs="Times New Roman"/>
                <w:color w:val="000000"/>
                <w:lang w:eastAsia="en-AU"/>
              </w:rPr>
              <w:t>CMP</w:t>
            </w:r>
          </w:p>
        </w:tc>
        <w:tc>
          <w:tcPr>
            <w:tcW w:w="1473" w:type="dxa"/>
            <w:tcBorders>
              <w:top w:val="nil"/>
              <w:left w:val="nil"/>
              <w:bottom w:val="single" w:sz="4" w:space="0" w:color="auto"/>
              <w:right w:val="single" w:sz="8" w:space="0" w:color="auto"/>
            </w:tcBorders>
            <w:shd w:val="clear" w:color="auto" w:fill="auto"/>
            <w:noWrap/>
            <w:vAlign w:val="bottom"/>
            <w:hideMark/>
          </w:tcPr>
          <w:p w14:paraId="72586F0A" w14:textId="77777777" w:rsidR="009C79FF" w:rsidRPr="006449B1" w:rsidRDefault="009C79FF" w:rsidP="00BA133C">
            <w:pPr>
              <w:spacing w:after="0" w:line="240" w:lineRule="auto"/>
              <w:jc w:val="center"/>
              <w:rPr>
                <w:rFonts w:ascii="Calibri" w:eastAsia="Times New Roman" w:hAnsi="Calibri" w:cs="Times New Roman"/>
                <w:color w:val="000000"/>
                <w:lang w:eastAsia="en-AU"/>
              </w:rPr>
            </w:pPr>
          </w:p>
        </w:tc>
      </w:tr>
    </w:tbl>
    <w:p w14:paraId="79680501" w14:textId="77777777" w:rsidR="009C79FF" w:rsidRDefault="009C79FF" w:rsidP="009C79FF"/>
    <w:p w14:paraId="2694F7CB" w14:textId="77777777" w:rsidR="009C79FF" w:rsidRDefault="009C79FF" w:rsidP="009C79FF"/>
    <w:p w14:paraId="3BF2E71C" w14:textId="77777777" w:rsidR="009C79FF" w:rsidRDefault="009C79FF" w:rsidP="009C79FF">
      <w:pPr>
        <w:pStyle w:val="ListParagraph"/>
        <w:spacing w:line="480" w:lineRule="auto"/>
        <w:ind w:left="0"/>
        <w:rPr>
          <w:b/>
        </w:rPr>
      </w:pPr>
    </w:p>
    <w:p w14:paraId="7098F822" w14:textId="77777777" w:rsidR="009C79FF" w:rsidRDefault="009C79FF" w:rsidP="009C79FF">
      <w:pPr>
        <w:pStyle w:val="ListParagraph"/>
        <w:spacing w:line="480" w:lineRule="auto"/>
        <w:ind w:left="0"/>
        <w:rPr>
          <w:b/>
        </w:rPr>
      </w:pPr>
    </w:p>
    <w:p w14:paraId="37741DD3" w14:textId="77777777" w:rsidR="009C79FF" w:rsidRDefault="009C79FF" w:rsidP="009C79FF">
      <w:pPr>
        <w:pStyle w:val="ListParagraph"/>
        <w:spacing w:line="480" w:lineRule="auto"/>
        <w:ind w:left="0"/>
        <w:rPr>
          <w:b/>
        </w:rPr>
      </w:pPr>
    </w:p>
    <w:p w14:paraId="7CA8E9A9" w14:textId="77777777" w:rsidR="009C79FF" w:rsidRDefault="009C79FF" w:rsidP="009C79FF">
      <w:pPr>
        <w:pStyle w:val="ListParagraph"/>
        <w:spacing w:line="480" w:lineRule="auto"/>
        <w:ind w:left="0"/>
        <w:rPr>
          <w:b/>
        </w:rPr>
      </w:pPr>
    </w:p>
    <w:p w14:paraId="7718F991" w14:textId="77777777" w:rsidR="009C79FF" w:rsidRDefault="009C79FF" w:rsidP="009C79FF">
      <w:pPr>
        <w:pStyle w:val="ListParagraph"/>
        <w:spacing w:line="480" w:lineRule="auto"/>
        <w:ind w:left="0"/>
        <w:rPr>
          <w:b/>
        </w:rPr>
      </w:pPr>
    </w:p>
    <w:p w14:paraId="142B3593" w14:textId="77777777" w:rsidR="009C79FF" w:rsidRDefault="009C79FF" w:rsidP="009C79FF">
      <w:pPr>
        <w:pStyle w:val="ListParagraph"/>
        <w:spacing w:line="480" w:lineRule="auto"/>
        <w:ind w:left="0"/>
        <w:rPr>
          <w:b/>
        </w:rPr>
      </w:pPr>
    </w:p>
    <w:p w14:paraId="58B312A8" w14:textId="77777777" w:rsidR="009C79FF" w:rsidRDefault="009C79FF" w:rsidP="009C79FF">
      <w:pPr>
        <w:pStyle w:val="ListParagraph"/>
        <w:spacing w:line="480" w:lineRule="auto"/>
        <w:ind w:left="0"/>
        <w:rPr>
          <w:b/>
        </w:rPr>
      </w:pPr>
    </w:p>
    <w:p w14:paraId="68DF9118" w14:textId="77777777" w:rsidR="009C79FF" w:rsidRDefault="009C79FF" w:rsidP="009C79FF">
      <w:pPr>
        <w:pStyle w:val="ListParagraph"/>
        <w:spacing w:line="480" w:lineRule="auto"/>
        <w:ind w:left="0"/>
        <w:rPr>
          <w:b/>
        </w:rPr>
      </w:pPr>
    </w:p>
    <w:p w14:paraId="63CE2C4B" w14:textId="77777777" w:rsidR="009C79FF" w:rsidRDefault="009C79FF" w:rsidP="009C79FF">
      <w:pPr>
        <w:pStyle w:val="ListParagraph"/>
        <w:spacing w:line="480" w:lineRule="auto"/>
        <w:ind w:left="0"/>
        <w:rPr>
          <w:b/>
        </w:rPr>
      </w:pPr>
    </w:p>
    <w:p w14:paraId="77862CA2" w14:textId="77777777" w:rsidR="009C79FF" w:rsidRDefault="009C79FF" w:rsidP="009C79FF">
      <w:pPr>
        <w:pStyle w:val="ListParagraph"/>
        <w:spacing w:line="480" w:lineRule="auto"/>
        <w:ind w:left="0"/>
        <w:rPr>
          <w:b/>
        </w:rPr>
      </w:pPr>
    </w:p>
    <w:p w14:paraId="3965D3F0" w14:textId="77777777" w:rsidR="009C79FF" w:rsidRDefault="009C79FF" w:rsidP="009C79FF">
      <w:pPr>
        <w:pStyle w:val="ListParagraph"/>
        <w:spacing w:line="480" w:lineRule="auto"/>
        <w:ind w:left="0"/>
        <w:rPr>
          <w:b/>
        </w:rPr>
      </w:pPr>
    </w:p>
    <w:p w14:paraId="1280801F" w14:textId="77777777" w:rsidR="009C79FF" w:rsidRDefault="009C79FF" w:rsidP="009C79FF">
      <w:pPr>
        <w:pStyle w:val="ListParagraph"/>
        <w:spacing w:line="480" w:lineRule="auto"/>
        <w:ind w:left="0"/>
        <w:rPr>
          <w:b/>
        </w:rPr>
      </w:pPr>
      <w:r>
        <w:rPr>
          <w:b/>
        </w:rPr>
        <w:lastRenderedPageBreak/>
        <w:t>Table 4</w:t>
      </w:r>
      <w:r w:rsidRPr="00552C4E">
        <w:rPr>
          <w:b/>
        </w:rPr>
        <w:t xml:space="preserve">: List of strains </w:t>
      </w:r>
      <w:r>
        <w:rPr>
          <w:b/>
        </w:rPr>
        <w:t>with complete genomes used in the pan-genomic study and model reconstruction</w:t>
      </w:r>
    </w:p>
    <w:tbl>
      <w:tblPr>
        <w:tblStyle w:val="TableGrid"/>
        <w:tblpPr w:leftFromText="180" w:rightFromText="180" w:vertAnchor="page" w:horzAnchor="margin" w:tblpY="2596"/>
        <w:tblW w:w="5000" w:type="pct"/>
        <w:tblLook w:val="04A0" w:firstRow="1" w:lastRow="0" w:firstColumn="1" w:lastColumn="0" w:noHBand="0" w:noVBand="1"/>
      </w:tblPr>
      <w:tblGrid>
        <w:gridCol w:w="2893"/>
        <w:gridCol w:w="1393"/>
        <w:gridCol w:w="1698"/>
        <w:gridCol w:w="1440"/>
        <w:gridCol w:w="1926"/>
      </w:tblGrid>
      <w:tr w:rsidR="009C79FF" w:rsidRPr="00552C4E" w14:paraId="3848819C" w14:textId="77777777" w:rsidTr="00BA133C">
        <w:tc>
          <w:tcPr>
            <w:tcW w:w="1547" w:type="pct"/>
            <w:vAlign w:val="center"/>
          </w:tcPr>
          <w:p w14:paraId="66BFE83F" w14:textId="77777777" w:rsidR="009C79FF" w:rsidRPr="00552C4E" w:rsidRDefault="009C79FF" w:rsidP="00BA133C">
            <w:pPr>
              <w:pStyle w:val="ListParagraph"/>
              <w:ind w:left="0"/>
              <w:jc w:val="center"/>
              <w:rPr>
                <w:b/>
              </w:rPr>
            </w:pPr>
            <w:r w:rsidRPr="00552C4E">
              <w:rPr>
                <w:b/>
              </w:rPr>
              <w:t>Species</w:t>
            </w:r>
          </w:p>
        </w:tc>
        <w:tc>
          <w:tcPr>
            <w:tcW w:w="745" w:type="pct"/>
            <w:vAlign w:val="center"/>
          </w:tcPr>
          <w:p w14:paraId="6B3DA18F" w14:textId="77777777" w:rsidR="009C79FF" w:rsidRPr="00552C4E" w:rsidRDefault="009C79FF" w:rsidP="00BA133C">
            <w:pPr>
              <w:pStyle w:val="ListParagraph"/>
              <w:ind w:left="0"/>
              <w:jc w:val="center"/>
              <w:rPr>
                <w:b/>
              </w:rPr>
            </w:pPr>
            <w:r w:rsidRPr="00552C4E">
              <w:rPr>
                <w:b/>
              </w:rPr>
              <w:t>Strain</w:t>
            </w:r>
          </w:p>
        </w:tc>
        <w:tc>
          <w:tcPr>
            <w:tcW w:w="908" w:type="pct"/>
            <w:vAlign w:val="center"/>
          </w:tcPr>
          <w:p w14:paraId="366BE1A3" w14:textId="77777777" w:rsidR="009C79FF" w:rsidRPr="00552C4E" w:rsidRDefault="009C79FF" w:rsidP="00BA133C">
            <w:pPr>
              <w:pStyle w:val="ListParagraph"/>
              <w:ind w:left="0"/>
              <w:jc w:val="center"/>
              <w:rPr>
                <w:b/>
              </w:rPr>
            </w:pPr>
            <w:r w:rsidRPr="00552C4E">
              <w:rPr>
                <w:b/>
              </w:rPr>
              <w:t>Accession</w:t>
            </w:r>
          </w:p>
        </w:tc>
        <w:tc>
          <w:tcPr>
            <w:tcW w:w="770" w:type="pct"/>
            <w:vAlign w:val="center"/>
          </w:tcPr>
          <w:p w14:paraId="63BBF943" w14:textId="77777777" w:rsidR="009C79FF" w:rsidRPr="00552C4E" w:rsidRDefault="009C79FF" w:rsidP="00BA133C">
            <w:pPr>
              <w:pStyle w:val="ListParagraph"/>
              <w:ind w:left="0"/>
              <w:jc w:val="center"/>
              <w:rPr>
                <w:b/>
              </w:rPr>
            </w:pPr>
            <w:r w:rsidRPr="00552C4E">
              <w:rPr>
                <w:b/>
              </w:rPr>
              <w:t>Reference</w:t>
            </w:r>
          </w:p>
        </w:tc>
        <w:tc>
          <w:tcPr>
            <w:tcW w:w="1030" w:type="pct"/>
            <w:vAlign w:val="center"/>
          </w:tcPr>
          <w:p w14:paraId="3D567162" w14:textId="77777777" w:rsidR="009C79FF" w:rsidRPr="00552C4E" w:rsidRDefault="009C79FF" w:rsidP="00BA133C">
            <w:pPr>
              <w:pStyle w:val="ListParagraph"/>
              <w:ind w:left="0"/>
              <w:jc w:val="center"/>
              <w:rPr>
                <w:b/>
              </w:rPr>
            </w:pPr>
            <w:r w:rsidRPr="00552C4E">
              <w:rPr>
                <w:b/>
              </w:rPr>
              <w:t>Metabolic Reconstruction?</w:t>
            </w:r>
          </w:p>
        </w:tc>
      </w:tr>
      <w:tr w:rsidR="009C79FF" w:rsidRPr="00552C4E" w14:paraId="3151DE58" w14:textId="77777777" w:rsidTr="00BA133C">
        <w:tc>
          <w:tcPr>
            <w:tcW w:w="1547" w:type="pct"/>
            <w:vMerge w:val="restart"/>
            <w:vAlign w:val="center"/>
          </w:tcPr>
          <w:p w14:paraId="50A122AD" w14:textId="77777777" w:rsidR="009C79FF" w:rsidRPr="00552C4E" w:rsidRDefault="009C79FF" w:rsidP="00BA133C">
            <w:pPr>
              <w:pStyle w:val="ListParagraph"/>
              <w:ind w:left="0"/>
              <w:jc w:val="center"/>
            </w:pPr>
            <w:r w:rsidRPr="00552C4E">
              <w:rPr>
                <w:i/>
              </w:rPr>
              <w:t xml:space="preserve">P. </w:t>
            </w:r>
            <w:proofErr w:type="spellStart"/>
            <w:r w:rsidRPr="00552C4E">
              <w:rPr>
                <w:i/>
              </w:rPr>
              <w:t>acidipropionici</w:t>
            </w:r>
            <w:proofErr w:type="spellEnd"/>
          </w:p>
        </w:tc>
        <w:tc>
          <w:tcPr>
            <w:tcW w:w="745" w:type="pct"/>
            <w:vAlign w:val="center"/>
          </w:tcPr>
          <w:p w14:paraId="50BC1AFE" w14:textId="77777777" w:rsidR="009C79FF" w:rsidRPr="00552C4E" w:rsidRDefault="009C79FF" w:rsidP="00BA133C">
            <w:pPr>
              <w:pStyle w:val="ListParagraph"/>
              <w:ind w:left="0"/>
              <w:jc w:val="center"/>
            </w:pPr>
            <w:r w:rsidRPr="00552C4E">
              <w:t>ATCC 4875</w:t>
            </w:r>
          </w:p>
        </w:tc>
        <w:tc>
          <w:tcPr>
            <w:tcW w:w="908" w:type="pct"/>
            <w:vAlign w:val="center"/>
          </w:tcPr>
          <w:p w14:paraId="5B645B70" w14:textId="77777777" w:rsidR="009C79FF" w:rsidRPr="00552C4E" w:rsidRDefault="009C79FF" w:rsidP="00BA133C">
            <w:pPr>
              <w:pStyle w:val="ListParagraph"/>
              <w:ind w:left="0"/>
              <w:jc w:val="center"/>
            </w:pPr>
            <w:r w:rsidRPr="00552C4E">
              <w:rPr>
                <w:rFonts w:cs="Arial"/>
                <w:shd w:val="clear" w:color="auto" w:fill="FFFFFF"/>
              </w:rPr>
              <w:t>NC_019395.1</w:t>
            </w:r>
          </w:p>
        </w:tc>
        <w:tc>
          <w:tcPr>
            <w:tcW w:w="770" w:type="pct"/>
            <w:vAlign w:val="center"/>
          </w:tcPr>
          <w:p w14:paraId="3414B75F" w14:textId="77777777" w:rsidR="009C79FF" w:rsidRPr="00552C4E" w:rsidRDefault="009C79FF" w:rsidP="00BA133C">
            <w:pPr>
              <w:pStyle w:val="ListParagraph"/>
              <w:ind w:left="0"/>
              <w:jc w:val="center"/>
            </w:pPr>
            <w:r w:rsidRPr="00552C4E">
              <w:fldChar w:fldCharType="begin" w:fldLock="1"/>
            </w:r>
            <w:r>
              <w:instrText>ADDIN CSL_CITATION {"citationItems":[{"id":"ITEM-1","itemData":{"DOI":"10.1186/1471-2164-13-562","ISBN":"1471-2164 (Electronic)\\r1471-2164 (Linking)","ISSN":"1471-2164","PMID":"23083487","abstract":"BACKGROUND Synthetic biology allows the development of new biochemical pathways for the production of chemicals from renewable sources. One major challenge is the identification of suitable microorganisms to hold these pathways with sufficient robustness and high yield. In this work we analyzed the genome of the propionic acid producer Actinobacteria Propionibacterium acidipropionici (ATCC 4875). RESULTS The assembled P. acidipropionici genome has 3,656,170 base pairs (bp) with 68.8% G + C content and a low-copy plasmid of 6,868 bp. We identified 3,336 protein coding genes, approximately 1000 more than P. freudenreichii and P. acnes, with an increase in the number of genes putatively involved in maintenance of genome integrity, as well as the presence of an invertase and genes putatively involved in carbon catabolite repression. In addition, we made an experimental confirmation of the ability of P. acidipropionici to fix CO2, but no phosphoenolpyruvate carboxylase coding gene was found in the genome. Instead, we identified the pyruvate carboxylase gene and confirmed the presence of the corresponding enzyme in proteome analysis as a potential candidate for this activity. Similarly, the phosphate acetyltransferase and acetate kinase genes, which are considered responsible for acetate formation, were not present in the genome. In P. acidipropionici, a similar function seems to be performed by an ADP forming acetate-CoA ligase gene and its corresponding enzyme was confirmed in the proteome analysis. CONCLUSIONS Our data shows that P. acidipropionici has several of the desired features that are required to become a platform for the production of chemical commodities: multiple pathways for efficient feedstock utilization, ability to fix CO2, robustness, and efficient production of propionic acid, a potential precursor for valuable 3-carbon compounds.","author":[{"dropping-particle":"","family":"Parizzi","given":"Lucas P","non-dropping-particle":"","parse-names":false,"suffix":""},{"dropping-particle":"","family":"Grassi","given":"Maria Carolina B","non-dropping-particle":"","parse-names":false,"suffix":""},{"dropping-particle":"","family":"Llerena","given":"Luige a","non-dropping-particle":"","parse-names":false,"suffix":""},{"dropping-particle":"","family":"Carazzolle","given":"Marcelo F","non-dropping-particle":"","parse-names":false,"suffix":""},{"dropping-particle":"","family":"Queiroz","given":"Verônica L","non-dropping-particle":"","parse-names":false,"suffix":""},{"dropping-particle":"","family":"Lunardi","given":"Inês","non-dropping-particle":"","parse-names":false,"suffix":""},{"dropping-particle":"","family":"Zeidler","given":"Ane F","non-dropping-particle":"","parse-names":false,"suffix":""},{"dropping-particle":"","family":"Teixeira","given":"Paulo J P L","non-dropping-particle":"","parse-names":false,"suffix":""},{"dropping-particle":"","family":"Mieczkowski","given":"Piotr","non-dropping-particle":"","parse-names":false,"suffix":""},{"dropping-particle":"","family":"Rincones","given":"Johana","non-dropping-particle":"","parse-names":false,"suffix":""},{"dropping-particle":"","family":"Pereira","given":"Gonçalo A G","non-dropping-particle":"","parse-names":false,"suffix":""}],"container-title":"BMC genomics","id":"ITEM-1","issue":"1","issued":{"date-parts":[["2012","10","19"]]},"page":"562","title":"The genome sequence of Propionibacterium acidipropionici provides insights into its biotechnological and industrial potential.","type":"article-journal","volume":"13"},"uris":["http://www.mendeley.com/documents/?uuid=b938e2a8-d297-4fed-83b8-7a0654394ebb"]}],"mendeley":{"formattedCitation":"[14]","plainTextFormattedCitation":"[14]","previouslyFormattedCitation":"[14]"},"properties":{"noteIndex":0},"schema":"https://github.com/citation-style-language/schema/raw/master/csl-citation.json"}</w:instrText>
            </w:r>
            <w:r w:rsidRPr="00552C4E">
              <w:fldChar w:fldCharType="separate"/>
            </w:r>
            <w:r w:rsidRPr="008B1AE5">
              <w:rPr>
                <w:noProof/>
              </w:rPr>
              <w:t>[14]</w:t>
            </w:r>
            <w:r w:rsidRPr="00552C4E">
              <w:fldChar w:fldCharType="end"/>
            </w:r>
          </w:p>
        </w:tc>
        <w:tc>
          <w:tcPr>
            <w:tcW w:w="1030" w:type="pct"/>
            <w:vAlign w:val="center"/>
          </w:tcPr>
          <w:p w14:paraId="19CB8FA1" w14:textId="77777777" w:rsidR="009C79FF" w:rsidRPr="00552C4E" w:rsidRDefault="009C79FF" w:rsidP="00BA133C">
            <w:pPr>
              <w:pStyle w:val="ListParagraph"/>
              <w:ind w:left="0"/>
              <w:jc w:val="center"/>
            </w:pPr>
            <w:r w:rsidRPr="00552C4E">
              <w:t>Yes</w:t>
            </w:r>
          </w:p>
        </w:tc>
      </w:tr>
      <w:tr w:rsidR="009C79FF" w:rsidRPr="00552C4E" w14:paraId="2215568F" w14:textId="77777777" w:rsidTr="00BA133C">
        <w:tc>
          <w:tcPr>
            <w:tcW w:w="1547" w:type="pct"/>
            <w:vMerge/>
            <w:vAlign w:val="center"/>
          </w:tcPr>
          <w:p w14:paraId="2CCB9B0E" w14:textId="77777777" w:rsidR="009C79FF" w:rsidRPr="00552C4E" w:rsidRDefault="009C79FF" w:rsidP="00BA133C">
            <w:pPr>
              <w:pStyle w:val="ListParagraph"/>
              <w:ind w:left="0"/>
              <w:jc w:val="center"/>
            </w:pPr>
          </w:p>
        </w:tc>
        <w:tc>
          <w:tcPr>
            <w:tcW w:w="745" w:type="pct"/>
            <w:vAlign w:val="center"/>
          </w:tcPr>
          <w:p w14:paraId="1A082DB2" w14:textId="77777777" w:rsidR="009C79FF" w:rsidRPr="00552C4E" w:rsidRDefault="009C79FF" w:rsidP="00BA133C">
            <w:pPr>
              <w:pStyle w:val="ListParagraph"/>
              <w:ind w:left="0"/>
              <w:jc w:val="center"/>
            </w:pPr>
            <w:r w:rsidRPr="00552C4E">
              <w:t>ATCC 55737</w:t>
            </w:r>
          </w:p>
        </w:tc>
        <w:tc>
          <w:tcPr>
            <w:tcW w:w="908" w:type="pct"/>
            <w:vAlign w:val="center"/>
          </w:tcPr>
          <w:p w14:paraId="46CDD5B0" w14:textId="77777777" w:rsidR="009C79FF" w:rsidRPr="00552C4E" w:rsidRDefault="009C79FF" w:rsidP="00BA133C">
            <w:pPr>
              <w:pStyle w:val="ListParagraph"/>
              <w:ind w:left="0"/>
              <w:jc w:val="center"/>
            </w:pPr>
            <w:r w:rsidRPr="00552C4E">
              <w:rPr>
                <w:rFonts w:cs="Arial"/>
                <w:shd w:val="clear" w:color="auto" w:fill="FFFFFF"/>
              </w:rPr>
              <w:t>NZ_CP014352.1</w:t>
            </w:r>
          </w:p>
        </w:tc>
        <w:tc>
          <w:tcPr>
            <w:tcW w:w="770" w:type="pct"/>
            <w:vAlign w:val="center"/>
          </w:tcPr>
          <w:p w14:paraId="618B9A7A"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{"citationItems":[{"id":"ITEM-1","itemData":{"DOI":"10.1128/genomeA.00248-16","ISSN":"2169-8287","abstract":"Propionibacterium acidipropionici produces propionic acid as its main fermentation product. Traditionally derived from fossil fuels, environmental and sustainable issues have revived the interest in producing propionic acid using biological resources. Here, we present the closed sequence of Propionibacterium acidipropionici ATCC 55737, an efficient propionic acid producer.","author":[{"dropping-particle":"","family":"Luna-Flores","given":"Carlos H.","non-dropping-particle":"","parse-names":false,"suffix":""},{"dropping-particle":"","family":"Nielsen","given":"Lars K.","non-dropping-particle":"","parse-names":false,"suffix":""},{"dropping-particle":"","family":"Marcellin","given":"Esteban","non-dropping-particle":"","parse-names":false,"suffix":""}],"container-title":"Genome Announcements","id":"ITEM-1","issue":"3","issued":{"date-parts":[["2016","6","30"]]},"page":"e00248-16","title":"Genome Sequence of Propionibacterium acidipropionici ATCC 55737","type":"article-journal","volume":"4"},"uris":["http://www.mendeley.com/documents/?uuid=3a4eacd8-9c65-488d-a418-131dc01d614c"]}],"mendeley":{"formattedCitation":"[60]","plainTextFormattedCitation":"[60]","previouslyFormattedCitation":"[60]"},"properties":{"noteIndex":0},"schema":"https://github.com/citation-style-language/schema/raw/master/csl-citation.json"}</w:instrText>
            </w:r>
            <w:r w:rsidRPr="00552C4E">
              <w:fldChar w:fldCharType="separate"/>
            </w:r>
            <w:r w:rsidRPr="008B1AE5">
              <w:rPr>
                <w:noProof/>
              </w:rPr>
              <w:t>[60]</w:t>
            </w:r>
            <w:r w:rsidRPr="00552C4E">
              <w:fldChar w:fldCharType="end"/>
            </w:r>
          </w:p>
        </w:tc>
        <w:tc>
          <w:tcPr>
            <w:tcW w:w="1030" w:type="pct"/>
            <w:vAlign w:val="center"/>
          </w:tcPr>
          <w:p w14:paraId="43B2167B" w14:textId="77777777" w:rsidR="009C79FF" w:rsidRPr="00552C4E" w:rsidRDefault="009C79FF" w:rsidP="00BA133C">
            <w:pPr>
              <w:pStyle w:val="ListParagraph"/>
              <w:ind w:left="0"/>
              <w:jc w:val="center"/>
            </w:pPr>
            <w:r w:rsidRPr="00552C4E">
              <w:t>Yes</w:t>
            </w:r>
          </w:p>
        </w:tc>
      </w:tr>
      <w:tr w:rsidR="009C79FF" w:rsidRPr="00552C4E" w14:paraId="182A6C63" w14:textId="77777777" w:rsidTr="00BA133C">
        <w:tc>
          <w:tcPr>
            <w:tcW w:w="1547" w:type="pct"/>
            <w:vAlign w:val="center"/>
          </w:tcPr>
          <w:p w14:paraId="27A678AD" w14:textId="77777777" w:rsidR="009C79FF" w:rsidRPr="00552C4E" w:rsidRDefault="009C79FF" w:rsidP="00BA133C">
            <w:pPr>
              <w:pStyle w:val="ListParagraph"/>
              <w:ind w:left="0"/>
              <w:jc w:val="center"/>
            </w:pPr>
            <w:r w:rsidRPr="00552C4E">
              <w:rPr>
                <w:i/>
              </w:rPr>
              <w:t xml:space="preserve">P. </w:t>
            </w:r>
            <w:proofErr w:type="spellStart"/>
            <w:r w:rsidRPr="00552C4E">
              <w:rPr>
                <w:i/>
              </w:rPr>
              <w:t>freudenreichii</w:t>
            </w:r>
            <w:proofErr w:type="spellEnd"/>
            <w:r w:rsidRPr="00552C4E">
              <w:t xml:space="preserve"> subsp.</w:t>
            </w:r>
            <w:r w:rsidRPr="00552C4E">
              <w:rPr>
                <w:i/>
              </w:rPr>
              <w:t xml:space="preserve"> </w:t>
            </w:r>
            <w:proofErr w:type="spellStart"/>
            <w:r w:rsidRPr="00552C4E">
              <w:rPr>
                <w:i/>
              </w:rPr>
              <w:t>shermanii</w:t>
            </w:r>
            <w:proofErr w:type="spellEnd"/>
          </w:p>
        </w:tc>
        <w:tc>
          <w:tcPr>
            <w:tcW w:w="745" w:type="pct"/>
            <w:vAlign w:val="center"/>
          </w:tcPr>
          <w:p w14:paraId="38705EB0" w14:textId="77777777" w:rsidR="009C79FF" w:rsidRPr="00552C4E" w:rsidRDefault="009C79FF" w:rsidP="00BA133C">
            <w:pPr>
              <w:pStyle w:val="ListParagraph"/>
              <w:ind w:left="0"/>
              <w:jc w:val="center"/>
            </w:pPr>
            <w:r w:rsidRPr="00552C4E">
              <w:t>CIRM-BIA1</w:t>
            </w:r>
          </w:p>
        </w:tc>
        <w:tc>
          <w:tcPr>
            <w:tcW w:w="908" w:type="pct"/>
            <w:vAlign w:val="center"/>
          </w:tcPr>
          <w:p w14:paraId="49ED579C" w14:textId="77777777" w:rsidR="009C79FF" w:rsidRPr="00552C4E" w:rsidRDefault="009C79FF" w:rsidP="00BA133C">
            <w:pPr>
              <w:pStyle w:val="ListParagraph"/>
              <w:ind w:left="0"/>
              <w:jc w:val="center"/>
            </w:pPr>
            <w:r w:rsidRPr="00552C4E">
              <w:rPr>
                <w:rFonts w:cs="Arial"/>
                <w:shd w:val="clear" w:color="auto" w:fill="FFFFFF"/>
              </w:rPr>
              <w:t>NZ_CP010341.1</w:t>
            </w:r>
          </w:p>
        </w:tc>
        <w:tc>
          <w:tcPr>
            <w:tcW w:w="770" w:type="pct"/>
            <w:vAlign w:val="center"/>
          </w:tcPr>
          <w:p w14:paraId="3146D510" w14:textId="77777777" w:rsidR="009C79FF" w:rsidRPr="00552C4E" w:rsidRDefault="009C79FF" w:rsidP="00BA133C">
            <w:pPr>
              <w:pStyle w:val="ListParagraph"/>
              <w:ind w:left="0"/>
              <w:jc w:val="center"/>
            </w:pPr>
            <w:r w:rsidRPr="00552C4E">
              <w:fldChar w:fldCharType="begin" w:fldLock="1"/>
            </w:r>
            <w:r>
              <w:instrText>ADDIN CSL_CITATION {"citationItems":[{"id":"ITEM-1","itemData":{"DOI":"10.1371/journal.pone.0011748","ISSN":"1932-6203","PMID":"20668525","abstract":"BACKGROUND Propionibacterium freudenreichii is essential as a ripening culture in Swiss-type cheeses and is also considered for its probiotic use. This species exhibits slow growth, low nutritional requirements, and hardiness in many habitats. It belongs to the taxonomic group of dairy propionibacteria, in contrast to the cutaneous species P. acnes. The genome of the type strain, P. freudenreichii subsp. shermanii CIRM-BIA1 (CIP 103027(T)), was sequenced with an 11-fold coverage. METHODOLOGY/PRINCIPAL FINDINGS The circular chromosome of 2.7 Mb of the CIRM-BIA1 strain has a GC-content of 67% and contains 22 different insertion sequences (3.5% of the genome in base pairs). Using a proteomic approach, 490 of the 2439 predicted proteins were confirmed. The annotation revealed the genetic basis for the hardiness of P. freudenreichii, as the bacterium possesses a complete enzymatic arsenal for de novo biosynthesis of aminoacids and vitamins (except panthotenate and biotin) as well as sequences involved in metabolism of various carbon sources, immunity against phages, duplicated chaperone genes and, interestingly, genes involved in the management of polyphosphate, glycogen and trehalose storage. The complete biosynthesis pathway for a bifidogenic compound is described, as well as a high number of surface proteins involved in interactions with the host and present in other probiotic bacteria. By comparative genomics, no pathogenicity factors found in P. acnes or in other pathogenic microbial species were identified in P. freudenreichii, which is consistent with the Generally Recognized As Safe and Qualified Presumption of Safety status of P. freudenreichii. Various pathways for formation of cheese flavor compounds were identified: the Wood-Werkman cycle for propionic acid formation, amino acid degradation pathways resulting in the formation of volatile branched chain fatty acids, and esterases involved in the formation of free fatty acids and esters. CONCLUSIONS/SIGNIFICANCE With the exception of its ability to degrade lactose, P. freudenreichii seems poorly adapted to dairy niches. This genome annotation opens up new prospects for the understanding of the P. freudenreichii probiotic activity.","author":[{"dropping-particle":"","family":"Falentin","given":"Hélène","non-dropping-particle":"","parse-names":false,"suffix":""},{"dropping-particle":"","family":"Deutsch","given":"Stéphanie-Marie","non-dropping-particle":"","parse-names":false,"suffix":""},{"dropping-particle":"","family":"Jan","given":"Gwenaël","non-dropping-particle":"","parse-names":false,"suffix":""},{"dropping-particle":"","family":"Loux","given":"Valentin","non-dropping-particle":"","parse-names":false,"suffix":""},{"dropping-particle":"","family":"Thierry","given":"Anne","non-dropping-particle":"","parse-names":false,"suffix":""},{"dropping-particle":"","family":"Parayre","given":"Sandrine","non-dropping-particle":"","parse-names":false,"suffix":""},{"dropping-particle":"","family":"Maillard","given":"Marie-Bernadette","non-dropping-particle":"","parse-names":false,"suffix":""},{"dropping-particle":"","family":"Dherbécourt","given":"Julien","non-dropping-particle":"","parse-names":false,"suffix":""},{"dropping-particle":"","family":"Cousin","given":"Fabien J","non-dropping-particle":"","parse-names":false,"suffix":""},{"dropping-particle":"","family":"Jardin","given":"Julien","non-dropping-particle":"","parse-names":false,"suffix":""},{"dropping-particle":"","family":"Siguier","given":"Patricia","non-dropping-particle":"","parse-names":false,"suffix":""},{"dropping-particle":"","family":"Couloux","given":"Arnaud","non-dropping-particle":"","parse-names":false,"suffix":""},{"dropping-particle":"","family":"Barbe","given":"Valérie","non-dropping-particle":"","parse-names":false,"suffix":""},{"dropping-particle":"","family":"Vacherie","given":"Benoit","non-dropping-particle":"","parse-names":false,"suffix":""},{"dropping-particle":"","family":"Wincker","given":"Patrick","non-dropping-particle":"","parse-names":false,"suffix":""},{"dropping-particle":"","family":"Gibrat","given":"Jean-François","non-dropping-particle":"","parse-names":false,"suffix":""},{"dropping-particle":"","family":"Gaillardin","given":"Claude","non-dropping-particle":"","parse-names":false,"suffix":""},{"dropping-particle":"","family":"Lortal","given":"Sylvie","non-dropping-particle":"","parse-names":false,"suffix":""}],"container-title":"PloS one","editor":[{"dropping-particle":"","family":"Ahmed","given":"Niyaz","non-dropping-particle":"","parse-names":false,"suffix":""}],"id":"ITEM-1","issue":"7","issued":{"date-parts":[["2010","7","23"]]},"page":"e11748","title":"The complete genome of Propionibacterium freudenreichii CIRM-BIA1, a hardy actinobacterium with food and probiotic applications.","type":"article-journal","volume":"5"},"uris":["http://www.mendeley.com/documents/?uuid=e17bc64d-8c67-42ff-8462-7cee3c479737"]}],"mendeley":{"formattedCitation":"[13]","plainTextFormattedCitation":"[13]","previouslyFormattedCitation":"[13]"},"properties":{"noteIndex":0},"schema":"https://github.com/citation-style-language/schema/raw/master/csl-citation.json"}</w:instrText>
            </w:r>
            <w:r w:rsidRPr="00552C4E">
              <w:fldChar w:fldCharType="separate"/>
            </w:r>
            <w:r w:rsidRPr="008B1AE5">
              <w:rPr>
                <w:noProof/>
              </w:rPr>
              <w:t>[13]</w:t>
            </w:r>
            <w:r w:rsidRPr="00552C4E">
              <w:fldChar w:fldCharType="end"/>
            </w:r>
          </w:p>
        </w:tc>
        <w:tc>
          <w:tcPr>
            <w:tcW w:w="1030" w:type="pct"/>
            <w:vAlign w:val="center"/>
          </w:tcPr>
          <w:p w14:paraId="0568950B" w14:textId="77777777" w:rsidR="009C79FF" w:rsidRPr="00552C4E" w:rsidRDefault="009C79FF" w:rsidP="00BA133C">
            <w:pPr>
              <w:pStyle w:val="ListParagraph"/>
              <w:ind w:left="0"/>
              <w:jc w:val="center"/>
            </w:pPr>
            <w:r w:rsidRPr="00552C4E">
              <w:t>Yes</w:t>
            </w:r>
          </w:p>
        </w:tc>
      </w:tr>
      <w:tr w:rsidR="009C79FF" w:rsidRPr="00552C4E" w14:paraId="6F3A5287" w14:textId="77777777" w:rsidTr="00BA133C">
        <w:tc>
          <w:tcPr>
            <w:tcW w:w="1547" w:type="pct"/>
            <w:vAlign w:val="center"/>
          </w:tcPr>
          <w:p w14:paraId="2E8CDDF2" w14:textId="77777777" w:rsidR="009C79FF" w:rsidRPr="00552C4E" w:rsidRDefault="009C79FF" w:rsidP="00BA133C">
            <w:pPr>
              <w:pStyle w:val="ListParagraph"/>
              <w:ind w:left="0"/>
              <w:jc w:val="center"/>
              <w:rPr>
                <w:i/>
              </w:rPr>
            </w:pPr>
            <w:r w:rsidRPr="00552C4E">
              <w:rPr>
                <w:i/>
              </w:rPr>
              <w:t xml:space="preserve">P. </w:t>
            </w:r>
            <w:proofErr w:type="spellStart"/>
            <w:r w:rsidRPr="00552C4E">
              <w:rPr>
                <w:i/>
              </w:rPr>
              <w:t>avidum</w:t>
            </w:r>
            <w:proofErr w:type="spellEnd"/>
          </w:p>
        </w:tc>
        <w:tc>
          <w:tcPr>
            <w:tcW w:w="745" w:type="pct"/>
            <w:vAlign w:val="center"/>
          </w:tcPr>
          <w:p w14:paraId="6D2B476E" w14:textId="77777777" w:rsidR="009C79FF" w:rsidRPr="00552C4E" w:rsidRDefault="009C79FF" w:rsidP="00BA133C">
            <w:pPr>
              <w:pStyle w:val="ListParagraph"/>
              <w:ind w:left="0"/>
              <w:jc w:val="center"/>
            </w:pPr>
            <w:r w:rsidRPr="00552C4E">
              <w:t>44067</w:t>
            </w:r>
          </w:p>
        </w:tc>
        <w:tc>
          <w:tcPr>
            <w:tcW w:w="908" w:type="pct"/>
            <w:vAlign w:val="center"/>
          </w:tcPr>
          <w:p w14:paraId="306041D8" w14:textId="77777777" w:rsidR="009C79FF" w:rsidRPr="004517D2" w:rsidRDefault="009C79FF" w:rsidP="00BA133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Times New Roman" w:cs="Courier New"/>
                <w:lang w:eastAsia="en-AU"/>
              </w:rPr>
            </w:pPr>
            <w:r w:rsidRPr="004517D2">
              <w:rPr>
                <w:rFonts w:eastAsia="Times New Roman" w:cs="Courier New"/>
                <w:lang w:eastAsia="en-AU"/>
              </w:rPr>
              <w:t>NC_021064.1</w:t>
            </w:r>
          </w:p>
          <w:p w14:paraId="77CAD11C" w14:textId="77777777" w:rsidR="009C79FF" w:rsidRPr="00552C4E" w:rsidRDefault="009C79FF" w:rsidP="00BA133C">
            <w:pPr>
              <w:pStyle w:val="ListParagraph"/>
              <w:ind w:left="0"/>
              <w:jc w:val="center"/>
            </w:pPr>
          </w:p>
        </w:tc>
        <w:tc>
          <w:tcPr>
            <w:tcW w:w="770" w:type="pct"/>
            <w:vAlign w:val="center"/>
          </w:tcPr>
          <w:p w14:paraId="3AC5109D"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{"citationItems":[{"id":"ITEM-1","itemData":{"DOI":"10.1128/genomeA.00337-13","ISSN":"2169-8287","abstract":"Propionibacterium acidipropionici produces propionic acid as its main fermentation product. Traditionally derived from fossil fuels, environmental and sustainable issues have revived the interest in producing propionic acid using biological resources. Here, we present the closed sequence of Propionibacterium acidipropionici ATCC 55737, an efficient propionic acid producer.","author":[{"dropping-particle":"","family":"Ordogh","given":"L.","non-dropping-particle":"","parse-names":false,"suffix":""},{"dropping-particle":"","family":"Hunyadkurti","given":"J.","non-dropping-particle":"","parse-names":false,"suffix":""},{"dropping-particle":"","family":"Voros","given":"A.","non-dropping-particle":"","parse-names":false,"suffix":""},{"dropping-particle":"","family":"Horvath","given":"B.","non-dropping-particle":"","parse-names":false,"suffix":""},{"dropping-particle":"","family":"Szucs","given":"A.","non-dropping-particle":"","parse-names":false,"suffix":""},{"dropping-particle":"","family":"Urban","given":"E.","non-dropping-particle":"","parse-names":false,"suffix":""},{"dropping-particle":"","family":"Kereszt","given":"A.","non-dropping-particle":"","parse-names":false,"suffix":""},{"dropping-particle":"","family":"Kondorosi","given":"E.","non-dropping-particle":"","parse-names":false,"suffix":""},{"dropping-particle":"","family":"Nagy","given":"I.","non-dropping-particle":"","parse-names":false,"suffix":""}],"container-title":"Genome Announcements","id":"ITEM-1","issue":"3","issued":{"date-parts":[["2013","6","27"]]},"page":"e00337-13-e00337-13","title":"Complete Genome Sequence of Propionibacterium avidum Strain 44067, Isolated from a Human Skin Abscess","type":"article-journal","volume":"1"},"uris":["http://www.mendeley.com/documents/?uuid=145eecfb-e46a-47f6-a0b9-a6f6c148de3b"]}],"mendeley":{"formattedCitation":"[61]","plainTextFormattedCitation":"[61]","previouslyFormattedCitation":"[61]"},"properties":{"noteIndex":0},"schema":"https://github.com/citation-style-language/schema/raw/master/csl-citation.json"}</w:instrText>
            </w:r>
            <w:r w:rsidRPr="00552C4E">
              <w:fldChar w:fldCharType="separate"/>
            </w:r>
            <w:r w:rsidRPr="008B1AE5">
              <w:rPr>
                <w:noProof/>
              </w:rPr>
              <w:t>[61]</w:t>
            </w:r>
            <w:r w:rsidRPr="00552C4E">
              <w:fldChar w:fldCharType="end"/>
            </w:r>
          </w:p>
        </w:tc>
        <w:tc>
          <w:tcPr>
            <w:tcW w:w="1030" w:type="pct"/>
            <w:vAlign w:val="center"/>
          </w:tcPr>
          <w:p w14:paraId="351B312D" w14:textId="77777777" w:rsidR="009C79FF" w:rsidRPr="00552C4E" w:rsidRDefault="009C79FF" w:rsidP="00BA133C">
            <w:pPr>
              <w:pStyle w:val="ListParagraph"/>
              <w:ind w:left="0"/>
              <w:jc w:val="center"/>
            </w:pPr>
            <w:r w:rsidRPr="00552C4E">
              <w:t>Yes</w:t>
            </w:r>
          </w:p>
        </w:tc>
      </w:tr>
      <w:tr w:rsidR="009C79FF" w:rsidRPr="00552C4E" w14:paraId="1C1FDAD8" w14:textId="77777777" w:rsidTr="00BA133C">
        <w:tc>
          <w:tcPr>
            <w:tcW w:w="1547" w:type="pct"/>
            <w:vAlign w:val="center"/>
          </w:tcPr>
          <w:p w14:paraId="2B7CF450" w14:textId="77777777" w:rsidR="009C79FF" w:rsidRPr="00552C4E" w:rsidRDefault="009C79FF" w:rsidP="00BA133C">
            <w:pPr>
              <w:pStyle w:val="ListParagraph"/>
              <w:ind w:left="0"/>
              <w:jc w:val="center"/>
              <w:rPr>
                <w:i/>
              </w:rPr>
            </w:pPr>
            <w:r w:rsidRPr="00552C4E">
              <w:rPr>
                <w:i/>
              </w:rPr>
              <w:t xml:space="preserve">P. </w:t>
            </w:r>
            <w:proofErr w:type="spellStart"/>
            <w:r w:rsidRPr="00552C4E">
              <w:rPr>
                <w:i/>
              </w:rPr>
              <w:t>propionicum</w:t>
            </w:r>
            <w:proofErr w:type="spellEnd"/>
          </w:p>
        </w:tc>
        <w:tc>
          <w:tcPr>
            <w:tcW w:w="745" w:type="pct"/>
            <w:vAlign w:val="center"/>
          </w:tcPr>
          <w:p w14:paraId="73B570DC" w14:textId="77777777" w:rsidR="009C79FF" w:rsidRPr="00552C4E" w:rsidRDefault="009C79FF" w:rsidP="00BA133C">
            <w:pPr>
              <w:pStyle w:val="ListParagraph"/>
              <w:ind w:left="0"/>
              <w:jc w:val="center"/>
            </w:pPr>
            <w:r w:rsidRPr="00552C4E">
              <w:t>F0230a</w:t>
            </w:r>
          </w:p>
        </w:tc>
        <w:tc>
          <w:tcPr>
            <w:tcW w:w="908" w:type="pct"/>
            <w:vAlign w:val="center"/>
          </w:tcPr>
          <w:p w14:paraId="12B792EC" w14:textId="77777777" w:rsidR="009C79FF" w:rsidRPr="00552C4E" w:rsidRDefault="009C79FF" w:rsidP="00BA133C">
            <w:pPr>
              <w:pStyle w:val="ListParagraph"/>
              <w:ind w:left="0"/>
              <w:jc w:val="center"/>
            </w:pPr>
            <w:r w:rsidRPr="00552C4E">
              <w:rPr>
                <w:rFonts w:cs="Arial"/>
                <w:shd w:val="clear" w:color="auto" w:fill="FFFFFF"/>
              </w:rPr>
              <w:t>NC_018142.1</w:t>
            </w:r>
          </w:p>
        </w:tc>
        <w:tc>
          <w:tcPr>
            <w:tcW w:w="770" w:type="pct"/>
            <w:vAlign w:val="center"/>
          </w:tcPr>
          <w:p w14:paraId="278C29E6" w14:textId="77777777" w:rsidR="009C79FF" w:rsidRPr="00552C4E" w:rsidRDefault="009C79FF" w:rsidP="00BA133C">
            <w:pPr>
              <w:pStyle w:val="ListParagraph"/>
              <w:ind w:left="0"/>
              <w:jc w:val="center"/>
            </w:pPr>
            <w:r w:rsidRPr="00552C4E">
              <w:fldChar w:fldCharType="begin" w:fldLock="1"/>
            </w:r>
            <w:r>
              <w:instrText>ADDIN CSL_CITATION {"citationItems":[{"id":"ITEM-1","itemData":{"DOI":"10.1038/nature11234","ISSN":"1476-4687","PMID":"22699609","abstract":"Studies of the human microbiome have revealed that even healthy individuals differ remarkably in the microbes that occupy habitats such as the gut, skin and vagina. Much of this diversity remains unexplained, although diet, environment, host genetics and early microbial exposure have all been implicated. Accordingly, to characterize the ecology of human-associated microbial communities, the Human Microbiome Project has analysed the largest cohort and set of distinct, clinically relevant body habitats so far. We found the diversity and abundance of each habitat's signature microbes to vary widely even among healthy subjects, with strong niche specialization both within and among individuals. The project encountered an estimated 81-99% of the genera, enzyme families and community configurations occupied by the healthy Western microbiome. Metagenomic carriage of metabolic pathways was stable among individuals despite variation in community structure, and ethnic/racial background proved to be one of the strongest associations of both pathways and microbes with clinical metadata. These results thus delineate the range of structural and functional configurations normal in the microbial communities of a healthy population, enabling future characterization of the epidemiology, ecology and translational applications of the human microbiome.","author":[{"dropping-particle":"","family":"Human Microbiome Project Consortium","given":"","non-dropping-particle":"","parse-names":false,"suffix":""}],"container-title":"Nature","id":"ITEM-1","issue":"7402","issued":{"date-parts":[["2012","6","13"]]},"page":"207-14","title":"Structure, function and diversity of the healthy human microbiome.","type":"article-journal","volume":"486"},"uris":["http://www.mendeley.com/documents/?uuid=a7e429e4-5c2b-4837-90da-0f14a694bf2a"]},{"id":"ITEM-2","itemData":{"DOI":"10.1038/nature11209","ISSN":"1476-4687","PMID":"22699610","abstract":"A variety of microbial communities and their genes (the microbiome) exist throughout the human body, with fundamental roles in human health and disease. The National Institutes of Health (NIH)-funded Human Microbiome Project Consortium has established a population-scale framework to develop metagenomic protocols, resulting in a broad range of quality-controlled resources and data including standardized methods for creating, processing and interpreting distinct types of high-throughput metagenomic data available to the scientific community. Here we present resources from a population of 242 healthy adults sampled at 15 or 18 body sites up to three times, which have generated 5,177 microbial taxonomic profiles from 16S ribosomal RNA genes and over 3.5 terabases of metagenomic sequence so far. In parallel, approximately 800 reference strains isolated from the human body have been sequenced. Collectively, these data represent the largest resource describing the abundance and variety of the human microbiome, while providing a framework for current and future studies.","author":[{"dropping-particle":"","family":"Human Microbiome Project Consortium","given":"","non-dropping-particle":"","parse-names":false,"suffix":""}],"container-title":"Nature","id":"ITEM-2","issue":"7402","issued":{"date-parts":[["2012","6","13"]]},"page":"215-21","title":"A framework for human microbiome research.","type":"article-journal","volume":"486"},"uris":["http://www.mendeley.com/documents/?uuid=39fd1f33-975c-444e-b5ab-43b1fe28ed8c"]}],"mendeley":{"formattedCitation":"[62, 63]","plainTextFormattedCitation":"[62, 63]","previouslyFormattedCitation":"[62, 63]"},"properties":{"noteIndex":0},"schema":"https://github.com/citation-style-language/schema/raw/master/csl-citation.json"}</w:instrText>
            </w:r>
            <w:r w:rsidRPr="00552C4E">
              <w:fldChar w:fldCharType="separate"/>
            </w:r>
            <w:r w:rsidRPr="008B1AE5">
              <w:rPr>
                <w:noProof/>
              </w:rPr>
              <w:t>[62, 63]</w:t>
            </w:r>
            <w:r w:rsidRPr="00552C4E">
              <w:fldChar w:fldCharType="end"/>
            </w:r>
          </w:p>
        </w:tc>
        <w:tc>
          <w:tcPr>
            <w:tcW w:w="1030" w:type="pct"/>
            <w:vAlign w:val="center"/>
          </w:tcPr>
          <w:p w14:paraId="47301EF1" w14:textId="77777777" w:rsidR="009C79FF" w:rsidRPr="00552C4E" w:rsidRDefault="009C79FF" w:rsidP="00BA133C">
            <w:pPr>
              <w:pStyle w:val="ListParagraph"/>
              <w:ind w:left="0"/>
              <w:jc w:val="center"/>
            </w:pPr>
            <w:r w:rsidRPr="00552C4E">
              <w:t>Yes</w:t>
            </w:r>
          </w:p>
        </w:tc>
      </w:tr>
      <w:tr w:rsidR="009C79FF" w:rsidRPr="00552C4E" w14:paraId="07904102" w14:textId="77777777" w:rsidTr="00BA133C">
        <w:tc>
          <w:tcPr>
            <w:tcW w:w="1547" w:type="pct"/>
            <w:vMerge w:val="restart"/>
            <w:vAlign w:val="center"/>
          </w:tcPr>
          <w:p w14:paraId="0D1B5B67" w14:textId="77777777" w:rsidR="009C79FF" w:rsidRPr="00552C4E" w:rsidRDefault="009C79FF" w:rsidP="00BA133C">
            <w:pPr>
              <w:pStyle w:val="ListParagraph"/>
              <w:ind w:left="0"/>
              <w:jc w:val="center"/>
              <w:rPr>
                <w:i/>
              </w:rPr>
            </w:pPr>
            <w:r w:rsidRPr="00552C4E">
              <w:rPr>
                <w:i/>
              </w:rPr>
              <w:t>P. acnes</w:t>
            </w:r>
          </w:p>
        </w:tc>
        <w:tc>
          <w:tcPr>
            <w:tcW w:w="745" w:type="pct"/>
            <w:vAlign w:val="center"/>
          </w:tcPr>
          <w:p w14:paraId="6D8E241B" w14:textId="77777777" w:rsidR="009C79FF" w:rsidRPr="00552C4E" w:rsidRDefault="009C79FF" w:rsidP="00BA133C">
            <w:pPr>
              <w:pStyle w:val="ListParagraph"/>
              <w:ind w:left="0"/>
              <w:jc w:val="center"/>
            </w:pPr>
            <w:r w:rsidRPr="00552C4E">
              <w:t>KPA171202</w:t>
            </w:r>
          </w:p>
        </w:tc>
        <w:tc>
          <w:tcPr>
            <w:tcW w:w="908" w:type="pct"/>
            <w:vAlign w:val="center"/>
          </w:tcPr>
          <w:p w14:paraId="010C07AA" w14:textId="77777777" w:rsidR="009C79FF" w:rsidRPr="00552C4E" w:rsidRDefault="009C79FF" w:rsidP="00BA133C">
            <w:pPr>
              <w:pStyle w:val="ListParagraph"/>
              <w:ind w:left="0"/>
              <w:jc w:val="center"/>
            </w:pPr>
            <w:r w:rsidRPr="00552C4E">
              <w:rPr>
                <w:rFonts w:cs="Arial"/>
                <w:shd w:val="clear" w:color="auto" w:fill="FFFFFF"/>
              </w:rPr>
              <w:t>NC_006085.1</w:t>
            </w:r>
          </w:p>
        </w:tc>
        <w:tc>
          <w:tcPr>
            <w:tcW w:w="770" w:type="pct"/>
            <w:vAlign w:val="center"/>
          </w:tcPr>
          <w:p w14:paraId="458EAEF1" w14:textId="77777777" w:rsidR="009C79FF" w:rsidRPr="00552C4E" w:rsidRDefault="009C79FF" w:rsidP="00BA133C">
            <w:pPr>
              <w:pStyle w:val="ListParagraph"/>
              <w:ind w:left="0"/>
              <w:jc w:val="center"/>
            </w:pPr>
            <w:r w:rsidRPr="00552C4E">
              <w:fldChar w:fldCharType="begin" w:fldLock="1"/>
            </w:r>
            <w:r>
              <w:instrText>ADDIN CSL_CITATION {"citationItems":[{"id":"ITEM-1","itemData":{"DOI":"10.1126/science.1100330","ISBN":"1095-9203 (Electronic) 0036-8075 (Linking)","ISSN":"1095-9203","PMID":"15286373","abstract":"Propionibacterium acnes is a major inhabitant of adult human skin, where it resides within sebaceous follicles, usually as a harmless commensal although it has been implicated in acne vulgaris formation. The entire genome sequence of this Gram-positive bacterium encodes 2333 putative genes and revealed numerous gene products involved in degrading host molecules, including sialidases, neuraminidases, endoglycoceramidases, lipases, and pore-forming factors. Surface-associated and other immunogenic factors have been identified, which might be involved in triggering acne inflammation and other P. acnes-associated diseases.","author":[{"dropping-particle":"","family":"Brüggemann","given":"Holger","non-dropping-particle":"","parse-names":false,"suffix":""},{"dropping-particle":"","family":"Henne","given":"Anke","non-dropping-particle":"","parse-names":false,"suffix":""},{"dropping-particle":"","family":"Hoster","given":"Frank","non-dropping-particle":"","parse-names":false,"suffix":""},{"dropping-particle":"","family":"Liesegang","given":"Heiko","non-dropping-particle":"","parse-names":false,"suffix":""},{"dropping-particle":"","family":"Wiezer","given":"Arnim","non-dropping-particle":"","parse-names":false,"suffix":""},{"dropping-particle":"","family":"Strittmatter","given":"Axel","non-dropping-particle":"","parse-names":false,"suffix":""},{"dropping-particle":"","family":"Hujer","given":"Sandra","non-dropping-particle":"","parse-names":false,"suffix":""},{"dropping-particle":"","family":"Dürre","given":"Peter","non-dropping-particle":"","parse-names":false,"suffix":""},{"dropping-particle":"","family":"Gottschalk","given":"Gerhard","non-dropping-particle":"","parse-names":false,"suffix":""}],"container-title":"Science","id":"ITEM-1","issue":"5684","issued":{"date-parts":[["2004","7","30"]]},"page":"671-3","title":"The complete genome sequence of Propionibacterium acnes, a commensal of human skin.","type":"article-journal","volume":"305"},"uris":["http://www.mendeley.com/documents/?uuid=b0431a00-dd29-4522-a1ff-78d6e86d928b"]}],"mendeley":{"formattedCitation":"[64]","plainTextFormattedCitation":"[64]","previouslyFormattedCitation":"[64]"},"properties":{"noteIndex":0},"schema":"https://github.com/citation-style-language/schema/raw/master/csl-citation.json"}</w:instrText>
            </w:r>
            <w:r w:rsidRPr="00552C4E">
              <w:fldChar w:fldCharType="separate"/>
            </w:r>
            <w:r w:rsidRPr="008B1AE5">
              <w:rPr>
                <w:noProof/>
              </w:rPr>
              <w:t>[64]</w:t>
            </w:r>
            <w:r w:rsidRPr="00552C4E">
              <w:fldChar w:fldCharType="end"/>
            </w:r>
          </w:p>
        </w:tc>
        <w:tc>
          <w:tcPr>
            <w:tcW w:w="1030" w:type="pct"/>
            <w:vAlign w:val="center"/>
          </w:tcPr>
          <w:p w14:paraId="0DDA3782" w14:textId="77777777" w:rsidR="009C79FF" w:rsidRPr="00552C4E" w:rsidRDefault="009C79FF" w:rsidP="00BA133C">
            <w:pPr>
              <w:pStyle w:val="ListParagraph"/>
              <w:ind w:left="0"/>
              <w:jc w:val="center"/>
            </w:pPr>
            <w:r>
              <w:t>No</w:t>
            </w:r>
          </w:p>
        </w:tc>
      </w:tr>
      <w:tr w:rsidR="009C79FF" w:rsidRPr="00552C4E" w14:paraId="2B888A9A" w14:textId="77777777" w:rsidTr="00BA133C">
        <w:tc>
          <w:tcPr>
            <w:tcW w:w="1547" w:type="pct"/>
            <w:vMerge/>
            <w:vAlign w:val="center"/>
          </w:tcPr>
          <w:p w14:paraId="441AA7D8" w14:textId="77777777" w:rsidR="009C79FF" w:rsidRPr="00552C4E" w:rsidRDefault="009C79FF" w:rsidP="00BA133C">
            <w:pPr>
              <w:pStyle w:val="ListParagraph"/>
              <w:ind w:left="0"/>
              <w:jc w:val="center"/>
            </w:pPr>
          </w:p>
        </w:tc>
        <w:tc>
          <w:tcPr>
            <w:tcW w:w="745" w:type="pct"/>
            <w:vAlign w:val="center"/>
          </w:tcPr>
          <w:p w14:paraId="4DA5D333" w14:textId="77777777" w:rsidR="009C79FF" w:rsidRPr="00552C4E" w:rsidRDefault="009C79FF" w:rsidP="00BA133C">
            <w:pPr>
              <w:pStyle w:val="ListParagraph"/>
              <w:ind w:left="0"/>
              <w:jc w:val="center"/>
            </w:pPr>
            <w:r w:rsidRPr="00552C4E">
              <w:t>6609</w:t>
            </w:r>
          </w:p>
        </w:tc>
        <w:tc>
          <w:tcPr>
            <w:tcW w:w="908" w:type="pct"/>
            <w:vAlign w:val="center"/>
          </w:tcPr>
          <w:p w14:paraId="6DA41B2C" w14:textId="77777777" w:rsidR="009C79FF" w:rsidRPr="00552C4E" w:rsidRDefault="009C79FF" w:rsidP="00BA133C">
            <w:pPr>
              <w:pStyle w:val="ListParagraph"/>
              <w:ind w:left="0"/>
              <w:jc w:val="center"/>
            </w:pPr>
            <w:r w:rsidRPr="00552C4E">
              <w:rPr>
                <w:rFonts w:cs="Arial"/>
                <w:shd w:val="clear" w:color="auto" w:fill="FFFFFF"/>
              </w:rPr>
              <w:t>NC_017535.1</w:t>
            </w:r>
          </w:p>
        </w:tc>
        <w:tc>
          <w:tcPr>
            <w:tcW w:w="770" w:type="pct"/>
            <w:vAlign w:val="center"/>
          </w:tcPr>
          <w:p w14:paraId="4BB36A69"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{"citationItems":[{"id":"ITEM-1","itemData":{"DOI":"10.1128/JB.05372-11","ISSN":"1098-5530","PMID":"21705602","abstract":"Propionibacterium acnes is an anaerobic Gram-positive bacterium that forms part of the normal human cutaneous microbiota and is thought to play a central role in acne vulgaris, a chronic inflammatory disease of the pilosebaceous unit (I. Kurokawa et al., Exp. Dermatol. 18:821-832, 2009). Here we present the whole genome sequence of P. acnes type IB strain 6609, which was recovered from a skin sample from a woman with no recorded acne history and is thus considered a nonpathogenic strain (I. Nagy, Microbes Infect. 8:2195-2205, 2006).","author":[{"dropping-particle":"","family":"Hunyadkürti","given":"Judit","non-dropping-particle":"","parse-names":false,"suffix":""},{"dropping-particle":"","family":"Feltóti","given":"Zsófia","non-dropping-particle":"","parse-names":false,"suffix":""},{"dropping-particle":"","family":"Horváth","given":"Balázs","non-dropping-particle":"","parse-names":false,"suffix":""},{"dropping-particle":"","family":"Nagymihály","given":"Marianna","non-dropping-particle":"","parse-names":false,"suffix":""},{"dropping-particle":"","family":"Vörös","given":"Andrea","non-dropping-particle":"","parse-names":false,"suffix":""},{"dropping-particle":"","family":"McDowell","given":"Andrew","non-dropping-particle":"","parse-names":false,"suffix":""},{"dropping-particle":"","family":"Patrick","given":"Sheila","non-dropping-particle":"","parse-names":false,"suffix":""},{"dropping-particle":"","family":"Urbán","given":"Edit","non-dropping-particle":"","parse-names":false,"suffix":""},{"dropping-particle":"","family":"Nagy","given":"István","non-dropping-particle":"","parse-names":false,"suffix":""}],"container-title":"Journal of bacteriology","id":"ITEM-1","issue":"17","issued":{"date-parts":[["2011","9"]]},"page":"4561-2","title":"Complete genome sequence of Propionibacterium acnes type IB strain 6609.","type":"article-journal","volume":"193"},"uris":["http://www.mendeley.com/documents/?uuid=17c55153-878b-45e8-b878-0a4aa4fcb0af"]}],"mendeley":{"formattedCitation":"[65]","plainTextFormattedCitation":"[65]","previouslyFormattedCitation":"[65]"},"properties":{"noteIndex":0},"schema":"https://github.com/citation-style-language/schema/raw/master/csl-citation.json"}</w:instrText>
            </w:r>
            <w:r w:rsidRPr="00552C4E">
              <w:fldChar w:fldCharType="separate"/>
            </w:r>
            <w:r w:rsidRPr="008B1AE5">
              <w:rPr>
                <w:noProof/>
              </w:rPr>
              <w:t>[65]</w:t>
            </w:r>
            <w:r w:rsidRPr="00552C4E">
              <w:fldChar w:fldCharType="end"/>
            </w:r>
          </w:p>
        </w:tc>
        <w:tc>
          <w:tcPr>
            <w:tcW w:w="1030" w:type="pct"/>
            <w:vAlign w:val="center"/>
          </w:tcPr>
          <w:p w14:paraId="3D0608B3" w14:textId="77777777" w:rsidR="009C79FF" w:rsidRPr="00552C4E" w:rsidRDefault="009C79FF" w:rsidP="00BA133C">
            <w:pPr>
              <w:pStyle w:val="ListParagraph"/>
              <w:ind w:left="0"/>
              <w:jc w:val="center"/>
            </w:pPr>
            <w:r w:rsidRPr="00552C4E">
              <w:t>Yes</w:t>
            </w:r>
          </w:p>
        </w:tc>
      </w:tr>
      <w:tr w:rsidR="009C79FF" w:rsidRPr="00552C4E" w14:paraId="46591CD7" w14:textId="77777777" w:rsidTr="00BA133C">
        <w:tc>
          <w:tcPr>
            <w:tcW w:w="1547" w:type="pct"/>
            <w:vMerge/>
            <w:vAlign w:val="center"/>
          </w:tcPr>
          <w:p w14:paraId="303A0C0A" w14:textId="77777777" w:rsidR="009C79FF" w:rsidRPr="00552C4E" w:rsidRDefault="009C79FF" w:rsidP="00BA133C">
            <w:pPr>
              <w:pStyle w:val="ListParagraph"/>
              <w:ind w:left="0"/>
              <w:jc w:val="center"/>
            </w:pPr>
          </w:p>
        </w:tc>
        <w:tc>
          <w:tcPr>
            <w:tcW w:w="745" w:type="pct"/>
            <w:vAlign w:val="center"/>
          </w:tcPr>
          <w:p w14:paraId="3DECAA28" w14:textId="77777777" w:rsidR="009C79FF" w:rsidRPr="00552C4E" w:rsidRDefault="009C79FF" w:rsidP="00BA133C">
            <w:pPr>
              <w:pStyle w:val="ListParagraph"/>
              <w:ind w:left="0"/>
              <w:jc w:val="center"/>
            </w:pPr>
            <w:r w:rsidRPr="00552C4E">
              <w:t xml:space="preserve">TypeIA2 </w:t>
            </w:r>
            <w:proofErr w:type="gramStart"/>
            <w:r w:rsidRPr="00552C4E">
              <w:t>P.acn</w:t>
            </w:r>
            <w:proofErr w:type="gramEnd"/>
            <w:r w:rsidRPr="00552C4E">
              <w:t>17</w:t>
            </w:r>
          </w:p>
        </w:tc>
        <w:tc>
          <w:tcPr>
            <w:tcW w:w="908" w:type="pct"/>
            <w:vAlign w:val="center"/>
          </w:tcPr>
          <w:p w14:paraId="3B48A828" w14:textId="77777777" w:rsidR="009C79FF" w:rsidRPr="00552C4E" w:rsidRDefault="009C79FF" w:rsidP="00BA133C">
            <w:pPr>
              <w:pStyle w:val="ListParagraph"/>
              <w:ind w:left="0"/>
              <w:jc w:val="center"/>
            </w:pPr>
            <w:r w:rsidRPr="00552C4E">
              <w:t>NC_016512.1</w:t>
            </w:r>
          </w:p>
        </w:tc>
        <w:tc>
          <w:tcPr>
            <w:tcW w:w="770" w:type="pct"/>
            <w:vAlign w:val="center"/>
          </w:tcPr>
          <w:p w14:paraId="6D67E863"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{"citationItems":[{"id":"ITEM-1","itemData":{"DOI":"10.1128/JB.06758-11","ISSN":"1098-5530","PMID":"22374954","abstract":"Propionibacterium acnes is an anaerobic Gram-positive bacterium that has been linked to a wide range of opportunistic human infections and conditions, most notably acne vulgaris (I. Kurokawa et al., Exp. Dermatol. 18:821-832, 2009). We now present the whole-genome sequences of three P. acnes strains from the type IA(2) cluster which were recovered from ophthalmic infections (A. McDowell et al., Microbiology 157:1990-2003, 2011).","author":[{"dropping-particle":"","family":"Vörös","given":"Andrea","non-dropping-particle":"","parse-names":false,"suffix":""},{"dropping-particle":"","family":"Horváth","given":"Balázs","non-dropping-particle":"","parse-names":false,"suffix":""},{"dropping-particle":"","family":"Hunyadkürti","given":"Judit","non-dropping-particle":"","parse-names":false,"suffix":""},{"dropping-particle":"","family":"McDowell","given":"Andrew","non-dropping-particle":"","parse-names":false,"suffix":""},{"dropping-particle":"","family":"Barnard","given":"Emma","non-dropping-particle":"","parse-names":false,"suffix":""},{"dropping-particle":"","family":"Patrick","given":"Sheila","non-dropping-particle":"","parse-names":false,"suffix":""},{"dropping-particle":"","family":"Nagy","given":"István","non-dropping-particle":"","parse-names":false,"suffix":""}],"container-title":"Journal of bacteriology","id":"ITEM-1","issue":"6","issued":{"date-parts":[["2012","3"]]},"page":"1621-2","title":"Complete genome sequences of three Propionibacterium acnes isolates from the type IA(2) cluster.","type":"article-journal","volume":"194"},"uris":["http://www.mendeley.com/documents/?uuid=cb8fd8e3-96c3-471d-9015-47679595dc92"]}],"mendeley":{"formattedCitation":"[66]","plainTextFormattedCitation":"[66]","previouslyFormattedCitation":"[66]"},"properties":{"noteIndex":0},"schema":"https://github.com/citation-style-language/schema/raw/master/csl-citation.json"}</w:instrText>
            </w:r>
            <w:r w:rsidRPr="00552C4E">
              <w:fldChar w:fldCharType="separate"/>
            </w:r>
            <w:r w:rsidRPr="008B1AE5">
              <w:rPr>
                <w:noProof/>
              </w:rPr>
              <w:t>[66]</w:t>
            </w:r>
            <w:r w:rsidRPr="00552C4E">
              <w:fldChar w:fldCharType="end"/>
            </w:r>
          </w:p>
        </w:tc>
        <w:tc>
          <w:tcPr>
            <w:tcW w:w="1030" w:type="pct"/>
            <w:vAlign w:val="center"/>
          </w:tcPr>
          <w:p w14:paraId="464B0058" w14:textId="77777777" w:rsidR="009C79FF" w:rsidRPr="00552C4E" w:rsidRDefault="009C79FF" w:rsidP="00BA133C">
            <w:pPr>
              <w:pStyle w:val="ListParagraph"/>
              <w:ind w:left="0"/>
              <w:jc w:val="center"/>
            </w:pPr>
            <w:r>
              <w:t>No</w:t>
            </w:r>
          </w:p>
        </w:tc>
      </w:tr>
      <w:tr w:rsidR="009C79FF" w:rsidRPr="00552C4E" w14:paraId="0D9ED4B2" w14:textId="77777777" w:rsidTr="00BA133C">
        <w:tc>
          <w:tcPr>
            <w:tcW w:w="1547" w:type="pct"/>
            <w:vMerge/>
            <w:vAlign w:val="center"/>
          </w:tcPr>
          <w:p w14:paraId="63B43B05" w14:textId="77777777" w:rsidR="009C79FF" w:rsidRPr="00552C4E" w:rsidRDefault="009C79FF" w:rsidP="00BA133C">
            <w:pPr>
              <w:pStyle w:val="ListParagraph"/>
              <w:ind w:left="0"/>
              <w:jc w:val="center"/>
            </w:pPr>
          </w:p>
        </w:tc>
        <w:tc>
          <w:tcPr>
            <w:tcW w:w="745" w:type="pct"/>
            <w:vAlign w:val="center"/>
          </w:tcPr>
          <w:p w14:paraId="144923A2" w14:textId="77777777" w:rsidR="009C79FF" w:rsidRPr="00552C4E" w:rsidRDefault="009C79FF" w:rsidP="00BA133C">
            <w:pPr>
              <w:pStyle w:val="ListParagraph"/>
              <w:ind w:left="0"/>
              <w:jc w:val="center"/>
            </w:pPr>
            <w:r w:rsidRPr="00552C4E">
              <w:t xml:space="preserve">TypeIA2 </w:t>
            </w:r>
            <w:proofErr w:type="gramStart"/>
            <w:r w:rsidRPr="00552C4E">
              <w:t>P.acn</w:t>
            </w:r>
            <w:proofErr w:type="gramEnd"/>
            <w:r w:rsidRPr="00552C4E">
              <w:t>31</w:t>
            </w:r>
          </w:p>
        </w:tc>
        <w:tc>
          <w:tcPr>
            <w:tcW w:w="908" w:type="pct"/>
            <w:vAlign w:val="center"/>
          </w:tcPr>
          <w:p w14:paraId="54E8B825" w14:textId="77777777" w:rsidR="009C79FF" w:rsidRPr="00552C4E" w:rsidRDefault="009C79FF" w:rsidP="00BA133C">
            <w:pPr>
              <w:pStyle w:val="ListParagraph"/>
              <w:ind w:left="0"/>
              <w:jc w:val="center"/>
            </w:pPr>
            <w:r w:rsidRPr="00552C4E">
              <w:t>NC_016511.1</w:t>
            </w:r>
          </w:p>
        </w:tc>
        <w:tc>
          <w:tcPr>
            <w:tcW w:w="770" w:type="pct"/>
            <w:vAlign w:val="center"/>
          </w:tcPr>
          <w:p w14:paraId="7EED496A"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{"citationItems":[{"id":"ITEM-1","itemData":{"DOI":"10.1128/JB.06758-11","ISSN":"1098-5530","PMID":"22374954","abstract":"Propionibacterium acnes is an anaerobic Gram-positive bacterium that has been linked to a wide range of opportunistic human infections and conditions, most notably acne vulgaris (I. Kurokawa et al., Exp. Dermatol. 18:821-832, 2009). We now present the whole-genome sequences of three P. acnes strains from the type IA(2) cluster which were recovered from ophthalmic infections (A. McDowell et al., Microbiology 157:1990-2003, 2011).","author":[{"dropping-particle":"","family":"Vörös","given":"Andrea","non-dropping-particle":"","parse-names":false,"suffix":""},{"dropping-particle":"","family":"Horváth","given":"Balázs","non-dropping-particle":"","parse-names":false,"suffix":""},{"dropping-particle":"","family":"Hunyadkürti","given":"Judit","non-dropping-particle":"","parse-names":false,"suffix":""},{"dropping-particle":"","family":"McDowell","given":"Andrew","non-dropping-particle":"","parse-names":false,"suffix":""},{"dropping-particle":"","family":"Barnard","given":"Emma","non-dropping-particle":"","parse-names":false,"suffix":""},{"dropping-particle":"","family":"Patrick","given":"Sheila","non-dropping-particle":"","parse-names":false,"suffix":""},{"dropping-particle":"","family":"Nagy","given":"István","non-dropping-particle":"","parse-names":false,"suffix":""}],"container-title":"Journal of bacteriology","id":"ITEM-1","issue":"6","issued":{"date-parts":[["2012","3"]]},"page":"1621-2","title":"Complete genome sequences of three Propionibacterium acnes isolates from the type IA(2) cluster.","type":"article-journal","volume":"194"},"uris":["http://www.mendeley.com/documents/?uuid=cb8fd8e3-96c3-471d-9015-47679595dc92"]}],"mendeley":{"formattedCitation":"[66]","plainTextFormattedCitation":"[66]","previouslyFormattedCitation":"[66]"},"properties":{"noteIndex":0},"schema":"https://github.com/citation-style-language/schema/raw/master/csl-citation.json"}</w:instrText>
            </w:r>
            <w:r w:rsidRPr="00552C4E">
              <w:fldChar w:fldCharType="separate"/>
            </w:r>
            <w:r w:rsidRPr="008B1AE5">
              <w:rPr>
                <w:noProof/>
              </w:rPr>
              <w:t>[66]</w:t>
            </w:r>
            <w:r w:rsidRPr="00552C4E">
              <w:fldChar w:fldCharType="end"/>
            </w:r>
          </w:p>
        </w:tc>
        <w:tc>
          <w:tcPr>
            <w:tcW w:w="1030" w:type="pct"/>
            <w:vAlign w:val="center"/>
          </w:tcPr>
          <w:p w14:paraId="70266FE0" w14:textId="77777777" w:rsidR="009C79FF" w:rsidRPr="00552C4E" w:rsidRDefault="009C79FF" w:rsidP="00BA133C">
            <w:pPr>
              <w:pStyle w:val="ListParagraph"/>
              <w:ind w:left="0"/>
              <w:jc w:val="center"/>
            </w:pPr>
            <w:r>
              <w:t>No</w:t>
            </w:r>
          </w:p>
        </w:tc>
      </w:tr>
      <w:tr w:rsidR="009C79FF" w:rsidRPr="00552C4E" w14:paraId="147126C1" w14:textId="77777777" w:rsidTr="00BA133C">
        <w:tc>
          <w:tcPr>
            <w:tcW w:w="1547" w:type="pct"/>
            <w:vMerge/>
            <w:vAlign w:val="center"/>
          </w:tcPr>
          <w:p w14:paraId="21526EEF" w14:textId="77777777" w:rsidR="009C79FF" w:rsidRPr="00552C4E" w:rsidRDefault="009C79FF" w:rsidP="00BA133C">
            <w:pPr>
              <w:pStyle w:val="ListParagraph"/>
              <w:ind w:left="0"/>
              <w:jc w:val="center"/>
            </w:pPr>
          </w:p>
        </w:tc>
        <w:tc>
          <w:tcPr>
            <w:tcW w:w="745" w:type="pct"/>
            <w:vAlign w:val="center"/>
          </w:tcPr>
          <w:p w14:paraId="72767820" w14:textId="77777777" w:rsidR="009C79FF" w:rsidRPr="00552C4E" w:rsidRDefault="009C79FF" w:rsidP="00BA133C">
            <w:pPr>
              <w:pStyle w:val="ListParagraph"/>
              <w:ind w:left="0"/>
              <w:jc w:val="center"/>
            </w:pPr>
            <w:r w:rsidRPr="00552C4E">
              <w:t xml:space="preserve">TypeIA2 </w:t>
            </w:r>
            <w:proofErr w:type="gramStart"/>
            <w:r w:rsidRPr="00552C4E">
              <w:t>P.acn</w:t>
            </w:r>
            <w:proofErr w:type="gramEnd"/>
            <w:r w:rsidRPr="00552C4E">
              <w:t>33</w:t>
            </w:r>
          </w:p>
        </w:tc>
        <w:tc>
          <w:tcPr>
            <w:tcW w:w="908" w:type="pct"/>
            <w:vAlign w:val="center"/>
          </w:tcPr>
          <w:p w14:paraId="45EB5165" w14:textId="77777777" w:rsidR="009C79FF" w:rsidRPr="00552C4E" w:rsidRDefault="009C79FF" w:rsidP="00BA133C">
            <w:pPr>
              <w:pStyle w:val="ListParagraph"/>
              <w:ind w:left="0"/>
              <w:jc w:val="center"/>
            </w:pPr>
            <w:r w:rsidRPr="00552C4E">
              <w:t>NC_016516.1</w:t>
            </w:r>
          </w:p>
        </w:tc>
        <w:tc>
          <w:tcPr>
            <w:tcW w:w="770" w:type="pct"/>
            <w:vAlign w:val="center"/>
          </w:tcPr>
          <w:p w14:paraId="6F9E6D93"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{"citationItems":[{"id":"ITEM-1","itemData":{"DOI":"10.1128/JB.06758-11","ISSN":"1098-5530","PMID":"22374954","abstract":"Propionibacterium acnes is an anaerobic Gram-positive bacterium that has been linked to a wide range of opportunistic human infections and conditions, most notably acne vulgaris (I. Kurokawa et al., Exp. Dermatol. 18:821-832, 2009). We now present the whole-genome sequences of three P. acnes strains from the type IA(2) cluster which were recovered from ophthalmic infections (A. McDowell et al., Microbiology 157:1990-2003, 2011).","author":[{"dropping-particle":"","family":"Vörös","given":"Andrea","non-dropping-particle":"","parse-names":false,"suffix":""},{"dropping-particle":"","family":"Horváth","given":"Balázs","non-dropping-particle":"","parse-names":false,"suffix":""},{"dropping-particle":"","family":"Hunyadkürti","given":"Judit","non-dropping-particle":"","parse-names":false,"suffix":""},{"dropping-particle":"","family":"McDowell","given":"Andrew","non-dropping-particle":"","parse-names":false,"suffix":""},{"dropping-particle":"","family":"Barnard","given":"Emma","non-dropping-particle":"","parse-names":false,"suffix":""},{"dropping-particle":"","family":"Patrick","given":"Sheila","non-dropping-particle":"","parse-names":false,"suffix":""},{"dropping-particle":"","family":"Nagy","given":"István","non-dropping-particle":"","parse-names":false,"suffix":""}],"container-title":"Journal of bacteriology","id":"ITEM-1","issue":"6","issued":{"date-parts":[["2012","3"]]},"page":"1621-2","title":"Complete genome sequences of three Propionibacterium acnes isolates from the type IA(2) cluster.","type":"article-journal","volume":"194"},"uris":["http://www.mendeley.com/documents/?uuid=cb8fd8e3-96c3-471d-9015-47679595dc92"]}],"mendeley":{"formattedCitation":"[66]","plainTextFormattedCitation":"[66]","previouslyFormattedCitation":"[66]"},"properties":{"noteIndex":0},"schema":"https://github.com/citation-style-language/schema/raw/master/csl-citation.json"}</w:instrText>
            </w:r>
            <w:r w:rsidRPr="00552C4E">
              <w:fldChar w:fldCharType="separate"/>
            </w:r>
            <w:r w:rsidRPr="008B1AE5">
              <w:rPr>
                <w:noProof/>
              </w:rPr>
              <w:t>[66]</w:t>
            </w:r>
            <w:r w:rsidRPr="00552C4E">
              <w:fldChar w:fldCharType="end"/>
            </w:r>
          </w:p>
        </w:tc>
        <w:tc>
          <w:tcPr>
            <w:tcW w:w="1030" w:type="pct"/>
            <w:vAlign w:val="center"/>
          </w:tcPr>
          <w:p w14:paraId="2BDE9119" w14:textId="77777777" w:rsidR="009C79FF" w:rsidRPr="00552C4E" w:rsidRDefault="009C79FF" w:rsidP="00BA133C">
            <w:pPr>
              <w:pStyle w:val="ListParagraph"/>
              <w:ind w:left="0"/>
              <w:jc w:val="center"/>
            </w:pPr>
            <w:r>
              <w:t>No</w:t>
            </w:r>
          </w:p>
        </w:tc>
      </w:tr>
      <w:tr w:rsidR="009C79FF" w:rsidRPr="00552C4E" w14:paraId="15965C31" w14:textId="77777777" w:rsidTr="00BA133C">
        <w:tc>
          <w:tcPr>
            <w:tcW w:w="1547" w:type="pct"/>
            <w:vMerge/>
            <w:vAlign w:val="center"/>
          </w:tcPr>
          <w:p w14:paraId="53E87634" w14:textId="77777777" w:rsidR="009C79FF" w:rsidRPr="00552C4E" w:rsidRDefault="009C79FF" w:rsidP="00BA133C">
            <w:pPr>
              <w:pStyle w:val="ListParagraph"/>
              <w:ind w:left="0"/>
              <w:jc w:val="center"/>
            </w:pPr>
          </w:p>
        </w:tc>
        <w:tc>
          <w:tcPr>
            <w:tcW w:w="745" w:type="pct"/>
            <w:vAlign w:val="center"/>
          </w:tcPr>
          <w:p w14:paraId="180B9CA8" w14:textId="77777777" w:rsidR="009C79FF" w:rsidRPr="00552C4E" w:rsidRDefault="009C79FF" w:rsidP="00BA133C">
            <w:pPr>
              <w:pStyle w:val="ListParagraph"/>
              <w:ind w:left="0"/>
              <w:jc w:val="center"/>
            </w:pPr>
            <w:r w:rsidRPr="00552C4E">
              <w:t>ATCC 11828</w:t>
            </w:r>
          </w:p>
        </w:tc>
        <w:tc>
          <w:tcPr>
            <w:tcW w:w="908" w:type="pct"/>
            <w:vAlign w:val="center"/>
          </w:tcPr>
          <w:p w14:paraId="1085A4DD" w14:textId="77777777" w:rsidR="009C79FF" w:rsidRPr="00552C4E" w:rsidRDefault="009C79FF" w:rsidP="00BA133C">
            <w:pPr>
              <w:pStyle w:val="ListParagraph"/>
              <w:ind w:left="0"/>
              <w:jc w:val="center"/>
            </w:pPr>
            <w:r w:rsidRPr="00552C4E">
              <w:t>NC_017550.1</w:t>
            </w:r>
          </w:p>
        </w:tc>
        <w:tc>
          <w:tcPr>
            <w:tcW w:w="770" w:type="pct"/>
            <w:vAlign w:val="center"/>
          </w:tcPr>
          <w:p w14:paraId="72125EDD"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{"citationItems":[{"id":"ITEM-1","itemData":{"DOI":"10.1128/JB.06388-11","ISSN":"1098-5530","PMID":"22156398","abstract":"Propionibacterium acnes is an anaerobic Gram-positive bacterium that forms part of the normal human cutaneous microbiota and is occasionally associated with inflammatory diseases (I. Kurokawa et al., Exp. Dermatol. 18:821-832, 2009). Here we present the complete genome sequence for the commercially available P. acnes type II reference strain ATCC 11828 (I. Nagy et al., Microbes Infect. 8:2195-2205, 2006) recovered from a subcutaneous abscess.","author":[{"dropping-particle":"","family":"Horváth","given":"Balázs","non-dropping-particle":"","parse-names":false,"suffix":""},{"dropping-particle":"","family":"Hunyadkürti","given":"Judit","non-dropping-particle":"","parse-names":false,"suffix":""},{"dropping-particle":"","family":"Vörös","given":"Andrea","non-dropping-particle":"","parse-names":false,"suffix":""},{"dropping-particle":"","family":"Fekete","given":"Csaba","non-dropping-particle":"","parse-names":false,"suffix":""},{"dropping-particle":"","family":"Urbán","given":"Edit","non-dropping-particle":"","parse-names":false,"suffix":""},{"dropping-particle":"","family":"Kemény","given":"Lajos","non-dropping-particle":"","parse-names":false,"suffix":""},{"dropping-particle":"","family":"Nagy","given":"István","non-dropping-particle":"","parse-names":false,"suffix":""}],"container-title":"Journal of bacteriology","id":"ITEM-1","issue":"1","issued":{"date-parts":[["2012","1"]]},"page":"202-3","title":"Genome sequence of Propionibacterium acnes type II strain ATCC 11828.","type":"article-journal","volume":"194"},"uris":["http://www.mendeley.com/documents/?uuid=4d3b749a-c382-49ae-9f1e-b08782b29f42"]}],"mendeley":{"formattedCitation":"[67]","plainTextFormattedCitation":"[67]","previouslyFormattedCitation":"[67]"},"properties":{"noteIndex":0},"schema":"https://github.com/citation-style-language/schema/raw/master/csl-citation.json"}</w:instrText>
            </w:r>
            <w:r w:rsidRPr="00552C4E">
              <w:fldChar w:fldCharType="separate"/>
            </w:r>
            <w:r w:rsidRPr="008B1AE5">
              <w:rPr>
                <w:noProof/>
              </w:rPr>
              <w:t>[67]</w:t>
            </w:r>
            <w:r w:rsidRPr="00552C4E">
              <w:fldChar w:fldCharType="end"/>
            </w:r>
          </w:p>
        </w:tc>
        <w:tc>
          <w:tcPr>
            <w:tcW w:w="1030" w:type="pct"/>
            <w:vAlign w:val="center"/>
          </w:tcPr>
          <w:p w14:paraId="45CE4769" w14:textId="77777777" w:rsidR="009C79FF" w:rsidRPr="00552C4E" w:rsidRDefault="009C79FF" w:rsidP="00BA133C">
            <w:pPr>
              <w:pStyle w:val="ListParagraph"/>
              <w:ind w:left="0"/>
              <w:jc w:val="center"/>
            </w:pPr>
            <w:r>
              <w:t>No</w:t>
            </w:r>
          </w:p>
        </w:tc>
      </w:tr>
      <w:tr w:rsidR="009C79FF" w:rsidRPr="00552C4E" w14:paraId="640B36F8" w14:textId="77777777" w:rsidTr="00BA133C">
        <w:tc>
          <w:tcPr>
            <w:tcW w:w="1547" w:type="pct"/>
            <w:vMerge/>
            <w:vAlign w:val="center"/>
          </w:tcPr>
          <w:p w14:paraId="445B7D7F" w14:textId="77777777" w:rsidR="009C79FF" w:rsidRPr="00552C4E" w:rsidRDefault="009C79FF" w:rsidP="00BA133C">
            <w:pPr>
              <w:pStyle w:val="ListParagraph"/>
              <w:ind w:left="0"/>
              <w:jc w:val="center"/>
            </w:pPr>
          </w:p>
        </w:tc>
        <w:tc>
          <w:tcPr>
            <w:tcW w:w="745" w:type="pct"/>
            <w:vAlign w:val="center"/>
          </w:tcPr>
          <w:p w14:paraId="04EA45BC" w14:textId="77777777" w:rsidR="009C79FF" w:rsidRPr="00552C4E" w:rsidRDefault="009C79FF" w:rsidP="00BA133C">
            <w:pPr>
              <w:pStyle w:val="ListParagraph"/>
              <w:ind w:left="0"/>
              <w:jc w:val="center"/>
            </w:pPr>
            <w:r w:rsidRPr="00552C4E">
              <w:t>C1</w:t>
            </w:r>
          </w:p>
        </w:tc>
        <w:tc>
          <w:tcPr>
            <w:tcW w:w="908" w:type="pct"/>
            <w:vAlign w:val="center"/>
          </w:tcPr>
          <w:p w14:paraId="2A81F38C" w14:textId="77777777" w:rsidR="009C79FF" w:rsidRPr="00552C4E" w:rsidRDefault="009C79FF" w:rsidP="00BA133C">
            <w:pPr>
              <w:pStyle w:val="ListParagraph"/>
              <w:ind w:left="0"/>
              <w:jc w:val="center"/>
            </w:pPr>
            <w:r w:rsidRPr="00552C4E">
              <w:t>NC_018707.1</w:t>
            </w:r>
          </w:p>
        </w:tc>
        <w:tc>
          <w:tcPr>
            <w:tcW w:w="770" w:type="pct"/>
            <w:vAlign w:val="center"/>
          </w:tcPr>
          <w:p w14:paraId="566908D1" w14:textId="77777777" w:rsidR="009C79FF" w:rsidRPr="00552C4E" w:rsidRDefault="009C79FF" w:rsidP="00BA133C">
            <w:pPr>
              <w:pStyle w:val="ListParagraph"/>
              <w:ind w:left="0"/>
              <w:jc w:val="center"/>
            </w:pPr>
            <w:r w:rsidRPr="00552C4E">
              <w:fldChar w:fldCharType="begin" w:fldLock="1"/>
            </w:r>
            <w:r>
              <w:instrText>ADDIN CSL_CITATION {"citationItems":[{"id":"ITEM-1","itemData":{"DOI":"10.1128/genomeA.00016-12","ISSN":"2169-8287","PMID":"23405284","abstract":"Propionibacterium acnes is a human skin commensal that resides preferentially within sebaceous follicles and is the only microorganism that has been isolated from sarcoid lesions. We report the complete genome sequence of P. acnes, which was isolated from a Japanese patient with sarcoidosis.","author":[{"dropping-particle":"","family":"Minegishi","given":"Kana","non-dropping-particle":"","parse-names":false,"suffix":""},{"dropping-particle":"","family":"Aikawa","given":"Chihiro","non-dropping-particle":"","parse-names":false,"suffix":""},{"dropping-particle":"","family":"Furukawa","given":"Asuka","non-dropping-particle":"","parse-names":false,"suffix":""},{"dropping-particle":"","family":"Watanabe","given":"Takayasu","non-dropping-particle":"","parse-names":false,"suffix":""},{"dropping-particle":"","family":"Nakano","given":"Tsubasa","non-dropping-particle":"","parse-names":false,"suffix":""},{"dropping-particle":"","family":"Ogura","given":"Yoshitoshi","non-dropping-particle":"","parse-names":false,"suffix":""},{"dropping-particle":"","family":"Ohtsubo","given":"Yoshiyuki","non-dropping-particle":"","parse-names":false,"suffix":""},{"dropping-particle":"","family":"Kurokawa","given":"Ken","non-dropping-particle":"","parse-names":false,"suffix":""},{"dropping-particle":"","family":"Hayashi","given":"Tetsuya","non-dropping-particle":"","parse-names":false,"suffix":""},{"dropping-particle":"","family":"Maruyama","given":"Fumito","non-dropping-particle":"","parse-names":false,"suffix":""},{"dropping-particle":"","family":"Nakagawa","given":"Ichiro","non-dropping-particle":"","parse-names":false,"suffix":""},{"dropping-particle":"","family":"Eishi","given":"Yoshinobu","non-dropping-particle":"","parse-names":false,"suffix":""}],"container-title":"Genome announcements","id":"ITEM-1","issue":"1","issued":{"date-parts":[["2013","1","28"]]},"title":"Complete Genome Sequence of a Propionibacterium acnes Isolate from a Sarcoidosis Patient.","type":"article-journal","volume":"1"},"uris":["http://www.mendeley.com/documents/?uuid=49df4ee6-a1cb-4ad0-9da5-63ba2230759b"]}],"mendeley":{"formattedCitation":"[68]","plainTextFormattedCitation":"[68]","previouslyFormattedCitation":"[68]"},"properties":{"noteIndex":0},"schema":"https://github.com/citation-style-language/schema/raw/master/csl-citation.json"}</w:instrText>
            </w:r>
            <w:r w:rsidRPr="00552C4E">
              <w:fldChar w:fldCharType="separate"/>
            </w:r>
            <w:r w:rsidRPr="008B1AE5">
              <w:rPr>
                <w:noProof/>
              </w:rPr>
              <w:t>[68]</w:t>
            </w:r>
            <w:r w:rsidRPr="00552C4E">
              <w:fldChar w:fldCharType="end"/>
            </w:r>
          </w:p>
        </w:tc>
        <w:tc>
          <w:tcPr>
            <w:tcW w:w="1030" w:type="pct"/>
            <w:vAlign w:val="center"/>
          </w:tcPr>
          <w:p w14:paraId="1684144B" w14:textId="77777777" w:rsidR="009C79FF" w:rsidRPr="00552C4E" w:rsidRDefault="009C79FF" w:rsidP="00BA133C">
            <w:pPr>
              <w:pStyle w:val="ListParagraph"/>
              <w:ind w:left="0"/>
              <w:jc w:val="center"/>
            </w:pPr>
            <w:r>
              <w:t>No</w:t>
            </w:r>
          </w:p>
        </w:tc>
      </w:tr>
      <w:tr w:rsidR="009C79FF" w:rsidRPr="00552C4E" w14:paraId="484D02F2" w14:textId="77777777" w:rsidTr="00BA133C">
        <w:tc>
          <w:tcPr>
            <w:tcW w:w="1547" w:type="pct"/>
            <w:vMerge/>
            <w:vAlign w:val="center"/>
          </w:tcPr>
          <w:p w14:paraId="1D48AB00" w14:textId="77777777" w:rsidR="009C79FF" w:rsidRPr="00552C4E" w:rsidRDefault="009C79FF" w:rsidP="00BA133C">
            <w:pPr>
              <w:pStyle w:val="ListParagraph"/>
              <w:ind w:left="0"/>
              <w:jc w:val="center"/>
            </w:pPr>
          </w:p>
        </w:tc>
        <w:tc>
          <w:tcPr>
            <w:tcW w:w="745" w:type="pct"/>
            <w:vAlign w:val="center"/>
          </w:tcPr>
          <w:p w14:paraId="07D4EFDA" w14:textId="77777777" w:rsidR="009C79FF" w:rsidRPr="00552C4E" w:rsidRDefault="009C79FF" w:rsidP="00BA133C">
            <w:pPr>
              <w:pStyle w:val="ListParagraph"/>
              <w:ind w:left="0"/>
              <w:jc w:val="center"/>
            </w:pPr>
            <w:r w:rsidRPr="00552C4E">
              <w:t>HL096PA1</w:t>
            </w:r>
          </w:p>
        </w:tc>
        <w:tc>
          <w:tcPr>
            <w:tcW w:w="908" w:type="pct"/>
            <w:vAlign w:val="center"/>
          </w:tcPr>
          <w:p w14:paraId="0F02314D" w14:textId="77777777" w:rsidR="009C79FF" w:rsidRPr="00552C4E" w:rsidRDefault="009C79FF" w:rsidP="00BA133C">
            <w:pPr>
              <w:pStyle w:val="ListParagraph"/>
              <w:ind w:left="0"/>
              <w:jc w:val="center"/>
            </w:pPr>
            <w:r w:rsidRPr="00552C4E">
              <w:t>NC_021085.1</w:t>
            </w:r>
          </w:p>
        </w:tc>
        <w:tc>
          <w:tcPr>
            <w:tcW w:w="770" w:type="pct"/>
            <w:vAlign w:val="center"/>
          </w:tcPr>
          <w:p w14:paraId="622A05CD" w14:textId="77777777" w:rsidR="009C79FF" w:rsidRPr="00552C4E" w:rsidRDefault="009C79FF" w:rsidP="00BA133C">
            <w:pPr>
              <w:pStyle w:val="ListParagraph"/>
              <w:ind w:left="0"/>
              <w:jc w:val="center"/>
            </w:pPr>
            <w:r w:rsidRPr="00552C4E">
              <w:fldChar w:fldCharType="begin" w:fldLock="1"/>
            </w:r>
            <w:r>
              <w:instrText>ADDIN CSL_CITATION {"citationItems":[{"id":"ITEM-1","itemData":{"DOI":"10.1038/jid.2013.21","ISSN":"1523-1747","PMID":"23337890","abstract":"The human skin microbiome has important roles in skin health and disease. However, bacterial population structure and diversity at the strain level is poorly understood. We compared the skin microbiome at the strain level and genome level of Propionibacterium acnes, a dominant skin commensal, between 49 acne patients and 52 healthy individuals by sampling the pilosebaceous units on their noses. Metagenomic analysis demonstrated that although the relative abundances of P. acnes were similar, the strain population structures were significantly different in the two cohorts. Certain strains were highly associated with acne, and other strains were enriched in healthy skin. By sequencing 66 previously unreported P. acnes strains and comparing 71 P. acnes genomes, we identified potential genetic determinants of various P. acnes strains in association with acne or health. Our analysis suggests that acquired DNA sequences and bacterial immune elements may have roles in determining virulence properties of P. acnes strains, and some could be future targets for therapeutic interventions. This study demonstrates a previously unreported paradigm of commensal strain populations that could explain the pathogenesis of human diseases. It underscores the importance of strain-level analysis of the human microbiome to define the role of commensals in health and disease.","author":[{"dropping-particle":"","family":"Fitz-Gibbon","given":"Sorel","non-dropping-particle":"","parse-names":false,"suffix":""},{"dropping-particle":"","family":"Tomida","given":"Shuta","non-dropping-particle":"","parse-names":false,"suffix":""},{"dropping-particle":"","family":"Chiu","given":"Bor-Han","non-dropping-particle":"","parse-names":false,"suffix":""},{"dropping-particle":"","family":"Nguyen","given":"Lin","non-dropping-particle":"","parse-names":false,"suffix":""},{"dropping-particle":"","family":"Du","given":"Christine","non-dropping-particle":"","parse-names":false,"suffix":""},{"dropping-particle":"","family":"Liu","given":"Minghsun","non-dropping-particle":"","parse-names":false,"suffix":""},{"dropping-particle":"","family":"Elashoff","given":"David","non-dropping-particle":"","parse-names":false,"suffix":""},{"dropping-particle":"","family":"Erfe","given":"Marie C","non-dropping-particle":"","parse-names":false,"suffix":""},{"dropping-particle":"","family":"Loncaric","given":"Anya","non-dropping-particle":"","parse-names":false,"suffix":""},{"dropping-particle":"","family":"Kim","given":"Jenny","non-dropping-particle":"","parse-names":false,"suffix":""},{"dropping-particle":"","family":"Modlin","given":"Robert L","non-dropping-particle":"","parse-names":false,"suffix":""},{"dropping-particle":"","family":"Miller","given":"Jeff F","non-dropping-particle":"","parse-names":false,"suffix":""},{"dropping-particle":"","family":"Sodergren","given":"Erica","non-dropping-particle":"","parse-names":false,"suffix":""},{"dropping-particle":"","family":"Craft","given":"Noah","non-dropping-particle":"","parse-names":false,"suffix":""},{"dropping-particle":"","family":"Weinstock","given":"George M","non-dropping-particle":"","parse-names":false,"suffix":""},{"dropping-particle":"","family":"Li","given":"Huiying","non-dropping-particle":"","parse-names":false,"suffix":""}],"container-title":"The Journal of Investigative Dermatology","id":"ITEM-1","issue":"9","issued":{"date-parts":[["2013","9"]]},"page":"2152-60","title":"Propionibacterium acnes strain populations in the human skin microbiome associated with acne.","type":"article-journal","volume":"133"},"uris":["http://www.mendeley.com/documents/?uuid=5ce63361-4979-45e4-aeaf-2060282933ef"]}],"mendeley":{"formattedCitation":"[69]","plainTextFormattedCitation":"[69]","previouslyFormattedCitation":"[69]"},"properties":{"noteIndex":0},"schema":"https://github.com/citation-style-language/schema/raw/master/csl-citation.json"}</w:instrText>
            </w:r>
            <w:r w:rsidRPr="00552C4E">
              <w:fldChar w:fldCharType="separate"/>
            </w:r>
            <w:r w:rsidRPr="008B1AE5">
              <w:rPr>
                <w:noProof/>
              </w:rPr>
              <w:t>[69]</w:t>
            </w:r>
            <w:r w:rsidRPr="00552C4E">
              <w:fldChar w:fldCharType="end"/>
            </w:r>
          </w:p>
        </w:tc>
        <w:tc>
          <w:tcPr>
            <w:tcW w:w="1030" w:type="pct"/>
            <w:vAlign w:val="center"/>
          </w:tcPr>
          <w:p w14:paraId="012D7779" w14:textId="77777777" w:rsidR="009C79FF" w:rsidRPr="00552C4E" w:rsidRDefault="009C79FF" w:rsidP="00BA133C">
            <w:pPr>
              <w:pStyle w:val="ListParagraph"/>
              <w:ind w:left="0"/>
              <w:jc w:val="center"/>
            </w:pPr>
            <w:r>
              <w:t>No</w:t>
            </w:r>
          </w:p>
        </w:tc>
      </w:tr>
      <w:tr w:rsidR="009C79FF" w:rsidRPr="00552C4E" w14:paraId="41E86EBD" w14:textId="77777777" w:rsidTr="00BA133C">
        <w:tc>
          <w:tcPr>
            <w:tcW w:w="1547" w:type="pct"/>
            <w:vMerge/>
            <w:vAlign w:val="center"/>
          </w:tcPr>
          <w:p w14:paraId="4D76DB46" w14:textId="77777777" w:rsidR="009C79FF" w:rsidRPr="00552C4E" w:rsidRDefault="009C79FF" w:rsidP="00BA133C">
            <w:pPr>
              <w:pStyle w:val="ListParagraph"/>
              <w:ind w:left="0"/>
              <w:jc w:val="center"/>
            </w:pPr>
          </w:p>
        </w:tc>
        <w:tc>
          <w:tcPr>
            <w:tcW w:w="745" w:type="pct"/>
            <w:vAlign w:val="center"/>
          </w:tcPr>
          <w:p w14:paraId="63C6FE2B" w14:textId="77777777" w:rsidR="009C79FF" w:rsidRPr="00552C4E" w:rsidRDefault="009C79FF" w:rsidP="00BA133C">
            <w:pPr>
              <w:pStyle w:val="ListParagraph"/>
              <w:ind w:left="0"/>
              <w:jc w:val="center"/>
            </w:pPr>
            <w:r w:rsidRPr="00552C4E">
              <w:t>SK137</w:t>
            </w:r>
          </w:p>
        </w:tc>
        <w:tc>
          <w:tcPr>
            <w:tcW w:w="908" w:type="pct"/>
            <w:vAlign w:val="center"/>
          </w:tcPr>
          <w:p w14:paraId="6411AD7B" w14:textId="77777777" w:rsidR="009C79FF" w:rsidRPr="00552C4E" w:rsidRDefault="009C79FF" w:rsidP="00BA133C">
            <w:pPr>
              <w:pStyle w:val="ListParagraph"/>
              <w:ind w:left="0"/>
              <w:jc w:val="center"/>
            </w:pPr>
            <w:r w:rsidRPr="00552C4E">
              <w:t>NC_014039.1</w:t>
            </w:r>
          </w:p>
        </w:tc>
        <w:tc>
          <w:tcPr>
            <w:tcW w:w="770" w:type="pct"/>
            <w:vAlign w:val="center"/>
          </w:tcPr>
          <w:p w14:paraId="15393D2D" w14:textId="77777777" w:rsidR="009C79FF" w:rsidRPr="00552C4E" w:rsidRDefault="009C79FF" w:rsidP="00BA133C">
            <w:pPr>
              <w:pStyle w:val="ListParagraph"/>
              <w:ind w:left="0"/>
              <w:jc w:val="center"/>
            </w:pPr>
            <w:r w:rsidRPr="00552C4E">
              <w:fldChar w:fldCharType="begin" w:fldLock="1"/>
            </w:r>
            <w:r>
              <w:instrText>ADDIN CSL_CITATION {"citationItems":[{"id":"ITEM-1","itemData":{"DOI":"10.1038/nature11234","ISSN":"1476-4687","PMID":"22699609","abstract":"Studies of the human microbiome have revealed that even healthy individuals differ remarkably in the microbes that occupy habitats such as the gut, skin and vagina. Much of this diversity remains unexplained, although diet, environment, host genetics and early microbial exposure have all been implicated. Accordingly, to characterize the ecology of human-associated microbial communities, the Human Microbiome Project has analysed the largest cohort and set of distinct, clinically relevant body habitats so far. We found the diversity and abundance of each habitat's signature microbes to vary widely even among healthy subjects, with strong niche specialization both within and among individuals. The project encountered an estimated 81-99% of the genera, enzyme families and community configurations occupied by the healthy Western microbiome. Metagenomic carriage of metabolic pathways was stable among individuals despite variation in community structure, and ethnic/racial background proved to be one of the strongest associations of both pathways and microbes with clinical metadata. These results thus delineate the range of structural and functional configurations normal in the microbial communities of a healthy population, enabling future characterization of the epidemiology, ecology and translational applications of the human microbiome.","author":[{"dropping-particle":"","family":"Human Microbiome Project Consortium","given":"","non-dropping-particle":"","parse-names":false,"suffix":""}],"container-title":"Nature","id":"ITEM-1","issue":"7402","issued":{"date-parts":[["2012","6","13"]]},"page":"207-14","title":"Structure, function and diversity of the healthy human microbiome.","type":"article-journal","volume":"486"},"uris":["http://www.mendeley.com/documents/?uuid=a7e429e4-5c2b-4837-90da-0f14a694bf2a"]},{"id":"ITEM-2","itemData":{"DOI":"10.1038/nature11209","ISSN":"1476-4687","PMID":"22699610","abstract":"A variety of microbial communities and their genes (the microbiome) exist throughout the human body, with fundamental roles in human health and disease. The National Institutes of Health (NIH)-funded Human Microbiome Project Consortium has established a population-scale framework to develop metagenomic protocols, resulting in a broad range of quality-controlled resources and data including standardized methods for creating, processing and interpreting distinct types of high-throughput metagenomic data available to the scientific community. Here we present resources from a population of 242 healthy adults sampled at 15 or 18 body sites up to three times, which have generated 5,177 microbial taxonomic profiles from 16S ribosomal RNA genes and over 3.5 terabases of metagenomic sequence so far. In parallel, approximately 800 reference strains isolated from the human body have been sequenced. Collectively, these data represent the largest resource describing the abundance and variety of the human microbiome, while providing a framework for current and future studies.","author":[{"dropping-particle":"","family":"Human Microbiome Project Consortium","given":"","non-dropping-particle":"","parse-names":false,"suffix":""}],"container-title":"Nature","id":"ITEM-2","issue":"7402","issued":{"date-parts":[["2012","6","13"]]},"page":"215-21","title":"A framework for human microbiome research.","type":"article-journal","volume":"486"},"uris":["http://www.mendeley.com/documents/?uuid=39fd1f33-975c-444e-b5ab-43b1fe28ed8c"]}],"mendeley":{"formattedCitation":"[62, 63]","plainTextFormattedCitation":"[62, 63]","previouslyFormattedCitation":"[62, 63]"},"properties":{"noteIndex":0},"schema":"https://github.com/citation-style-language/schema/raw/master/csl-citation.json"}</w:instrText>
            </w:r>
            <w:r w:rsidRPr="00552C4E">
              <w:fldChar w:fldCharType="separate"/>
            </w:r>
            <w:r w:rsidRPr="008B1AE5">
              <w:rPr>
                <w:noProof/>
              </w:rPr>
              <w:t>[62, 63]</w:t>
            </w:r>
            <w:r w:rsidRPr="00552C4E">
              <w:fldChar w:fldCharType="end"/>
            </w:r>
          </w:p>
        </w:tc>
        <w:tc>
          <w:tcPr>
            <w:tcW w:w="1030" w:type="pct"/>
            <w:vAlign w:val="center"/>
          </w:tcPr>
          <w:p w14:paraId="4FEC93A1" w14:textId="77777777" w:rsidR="009C79FF" w:rsidRPr="00552C4E" w:rsidRDefault="009C79FF" w:rsidP="00BA133C">
            <w:pPr>
              <w:pStyle w:val="ListParagraph"/>
              <w:ind w:left="0"/>
              <w:jc w:val="center"/>
            </w:pPr>
            <w:r>
              <w:t>No</w:t>
            </w:r>
          </w:p>
        </w:tc>
      </w:tr>
      <w:tr w:rsidR="009C79FF" w:rsidRPr="00552C4E" w14:paraId="7E319D64" w14:textId="77777777" w:rsidTr="00BA133C">
        <w:tc>
          <w:tcPr>
            <w:tcW w:w="1547" w:type="pct"/>
            <w:vMerge/>
            <w:vAlign w:val="center"/>
          </w:tcPr>
          <w:p w14:paraId="0CED2E0B" w14:textId="77777777" w:rsidR="009C79FF" w:rsidRPr="00552C4E" w:rsidRDefault="009C79FF" w:rsidP="00BA133C">
            <w:pPr>
              <w:pStyle w:val="ListParagraph"/>
              <w:ind w:left="0"/>
              <w:jc w:val="center"/>
            </w:pPr>
          </w:p>
        </w:tc>
        <w:tc>
          <w:tcPr>
            <w:tcW w:w="745" w:type="pct"/>
            <w:vAlign w:val="center"/>
          </w:tcPr>
          <w:p w14:paraId="020C0642" w14:textId="77777777" w:rsidR="009C79FF" w:rsidRPr="00552C4E" w:rsidRDefault="009C79FF" w:rsidP="00BA133C">
            <w:pPr>
              <w:pStyle w:val="ListParagraph"/>
              <w:ind w:left="0"/>
              <w:jc w:val="center"/>
            </w:pPr>
            <w:r w:rsidRPr="00552C4E">
              <w:t>266</w:t>
            </w:r>
          </w:p>
        </w:tc>
        <w:tc>
          <w:tcPr>
            <w:tcW w:w="908" w:type="pct"/>
            <w:vAlign w:val="center"/>
          </w:tcPr>
          <w:p w14:paraId="2258D68A" w14:textId="77777777" w:rsidR="009C79FF" w:rsidRPr="00552C4E" w:rsidRDefault="009C79FF" w:rsidP="00BA133C">
            <w:pPr>
              <w:pStyle w:val="ListParagraph"/>
              <w:ind w:left="0"/>
              <w:jc w:val="center"/>
            </w:pPr>
            <w:r w:rsidRPr="00552C4E">
              <w:t>NC_017534.1</w:t>
            </w:r>
          </w:p>
        </w:tc>
        <w:tc>
          <w:tcPr>
            <w:tcW w:w="770" w:type="pct"/>
            <w:vAlign w:val="center"/>
          </w:tcPr>
          <w:p w14:paraId="452B2754" w14:textId="77777777" w:rsidR="009C79FF" w:rsidRPr="00552C4E" w:rsidRDefault="009C79FF" w:rsidP="00BA133C">
            <w:pPr>
              <w:pStyle w:val="ListParagraph"/>
              <w:ind w:left="0"/>
              <w:jc w:val="center"/>
            </w:pPr>
            <w:r w:rsidRPr="00552C4E">
              <w:fldChar w:fldCharType="begin" w:fldLock="1"/>
            </w:r>
            <w:r>
              <w:instrText>ADDIN CSL_CITATION {"citationItems":[{"id":"ITEM-1","itemData":{"DOI":"10.1371/journal.pone.0021581","ISSN":"1932-6203","PMID":"21738717","abstract":"The anaerobic gram-positive bacterium Propionibacterium acnes is a human skin commensal that is occasionally associated with inflammatory diseases. Recent work has indicated that evolutionary distinct lineages of P. acnes play etiologic roles in disease while others are associated with maintenance of skin homeostasis. To shed light on the molecular basis for differential strain properties, we carried out genomic and transcriptomic analysis of distinct P. acnes strains. We sequenced the genome of the P. acnes strain 266, a type I-1a strain. Comparative genome analysis of strain 266 and four other P. acnes strains revealed that overall genome plasticity is relatively low; however, a number of island-like genomic regions, encoding a variety of putative virulence-associated and fitness traits differ between phylotypes, as judged from PCR analysis of a collection of P. acnes strains. Comparative transcriptome analysis of strains KPA171202 (type I-2) and 266 during exponential growth revealed inter-strain differences in gene expression of transport systems and metabolic pathways. In addition, transcript levels of genes encoding possible virulence factors such as dermatan-sulphate adhesin, polyunsaturated fatty acid isomerase, iron acquisition protein HtaA and lipase GehA were upregulated in strain 266. We investigated differential gene expression during exponential and stationary growth phases. Genes encoding components of the energy-conserving respiratory chain as well as secreted and virulence-associated factors were transcribed during the exponential phase, while the stationary growth phase was characterized by upregulation of genes involved in stress responses and amino acid metabolism. Our data highlight the genomic basis for strain diversity and identify, for the first time, the actively transcribed part of the genome, underlining the important role growth status plays in the inflammation-inducing activity of P. acnes. We argue that the disease-causing potential of different P. acnes strains is not only determined by the phylotype-specific genome content but also by variable gene expression.","author":[{"dropping-particle":"","family":"Brzuszkiewicz","given":"Elzbieta","non-dropping-particle":"","parse-names":false,"suffix":""},{"dropping-particle":"","family":"Weiner","given":"January","non-dropping-particle":"","parse-names":false,"suffix":""},{"dropping-particle":"","family":"Wollherr","given":"Antje","non-dropping-particle":"","parse-names":false,"suffix":""},{"dropping-particle":"","family":"Thürmer","given":"Andrea","non-dropping-particle":"","parse-names":false,"suffix":""},{"dropping-particle":"","family":"Hüpeden","given":"Jennifer","non-dropping-particle":"","parse-names":false,"suffix":""},{"dropping-particle":"","family":"Lomholt","given":"Hans B","non-dropping-particle":"","parse-names":false,"suffix":""},{"dropping-particle":"","family":"Kilian","given":"Mogens","non-dropping-particle":"","parse-names":false,"suffix":""},{"dropping-particle":"","family":"Gottschalk","given":"Gerhard","non-dropping-particle":"","parse-names":false,"suffix":""},{"dropping-particle":"","family":"Daniel","given":"Rolf","non-dropping-particle":"","parse-names":false,"suffix":""},{"dropping-particle":"","family":"Mollenkopf","given":"Hans-Joachim","non-dropping-particle":"","parse-names":false,"suffix":""},{"dropping-particle":"","family":"Meyer","given":"Thomas F","non-dropping-particle":"","parse-names":false,"suffix":""},{"dropping-particle":"","family":"Brüggemann","given":"Holger","non-dropping-particle":"","parse-names":false,"suffix":""}],"container-title":"PloS one","id":"ITEM-1","issue":"6","issued":{"date-parts":[["2011","1"]]},"page":"e21581","title":"Comparative genomics and transcriptomics of Propionibacterium acnes.","type":"article-journal","volume":"6"},"uris":["http://www.mendeley.com/documents/?uuid=2b217e1a-336d-40b7-95e6-e6d2661f5fd3"]}],"mendeley":{"formattedCitation":"[51]","plainTextFormattedCitation":"[51]","previouslyFormattedCitation":"[51]"},"properties":{"noteIndex":0},"schema":"https://github.com/citation-style-language/schema/raw/master/csl-citation.json"}</w:instrText>
            </w:r>
            <w:r w:rsidRPr="00552C4E">
              <w:fldChar w:fldCharType="separate"/>
            </w:r>
            <w:r w:rsidRPr="008B1AE5">
              <w:rPr>
                <w:noProof/>
              </w:rPr>
              <w:t>[51]</w:t>
            </w:r>
            <w:r w:rsidRPr="00552C4E">
              <w:fldChar w:fldCharType="end"/>
            </w:r>
          </w:p>
        </w:tc>
        <w:tc>
          <w:tcPr>
            <w:tcW w:w="1030" w:type="pct"/>
            <w:vAlign w:val="center"/>
          </w:tcPr>
          <w:p w14:paraId="23909F07" w14:textId="77777777" w:rsidR="009C79FF" w:rsidRPr="00552C4E" w:rsidRDefault="009C79FF" w:rsidP="00BA133C">
            <w:pPr>
              <w:pStyle w:val="ListParagraph"/>
              <w:ind w:left="0"/>
              <w:jc w:val="center"/>
            </w:pPr>
            <w:r>
              <w:t>No</w:t>
            </w:r>
          </w:p>
        </w:tc>
      </w:tr>
      <w:tr w:rsidR="009C79FF" w:rsidRPr="00552C4E" w14:paraId="6D0C9C9F" w14:textId="77777777" w:rsidTr="00BA133C">
        <w:tc>
          <w:tcPr>
            <w:tcW w:w="1547" w:type="pct"/>
            <w:vMerge/>
            <w:vAlign w:val="center"/>
          </w:tcPr>
          <w:p w14:paraId="506FFAF7" w14:textId="77777777" w:rsidR="009C79FF" w:rsidRPr="00552C4E" w:rsidRDefault="009C79FF" w:rsidP="00BA133C">
            <w:pPr>
              <w:pStyle w:val="ListParagraph"/>
              <w:ind w:left="0"/>
              <w:jc w:val="center"/>
            </w:pPr>
          </w:p>
        </w:tc>
        <w:tc>
          <w:tcPr>
            <w:tcW w:w="745" w:type="pct"/>
            <w:vAlign w:val="center"/>
          </w:tcPr>
          <w:p w14:paraId="72FBB676" w14:textId="77777777" w:rsidR="009C79FF" w:rsidRPr="00552C4E" w:rsidRDefault="009C79FF" w:rsidP="00BA133C">
            <w:pPr>
              <w:pStyle w:val="ListParagraph"/>
              <w:ind w:left="0"/>
              <w:jc w:val="center"/>
            </w:pPr>
            <w:r w:rsidRPr="00552C4E">
              <w:t>hdn-1</w:t>
            </w:r>
          </w:p>
        </w:tc>
        <w:tc>
          <w:tcPr>
            <w:tcW w:w="908" w:type="pct"/>
            <w:vAlign w:val="center"/>
          </w:tcPr>
          <w:p w14:paraId="3D93B9D0" w14:textId="77777777" w:rsidR="009C79FF" w:rsidRPr="00552C4E" w:rsidRDefault="009C79FF" w:rsidP="00BA133C">
            <w:pPr>
              <w:pStyle w:val="ListParagraph"/>
              <w:ind w:left="0"/>
              <w:jc w:val="center"/>
            </w:pPr>
            <w:r w:rsidRPr="00552C4E">
              <w:t>NZ_CP006032.1</w:t>
            </w:r>
          </w:p>
        </w:tc>
        <w:tc>
          <w:tcPr>
            <w:tcW w:w="770" w:type="pct"/>
            <w:vAlign w:val="center"/>
          </w:tcPr>
          <w:p w14:paraId="674C3E98" w14:textId="77777777" w:rsidR="009C79FF" w:rsidRPr="00552C4E" w:rsidRDefault="009C79FF" w:rsidP="00BA133C">
            <w:pPr>
              <w:pStyle w:val="ListParagraph"/>
              <w:ind w:left="0"/>
              <w:jc w:val="center"/>
            </w:pPr>
            <w:r w:rsidRPr="00552C4E">
              <w:t>(Nagy et al., unpublished)</w:t>
            </w:r>
          </w:p>
        </w:tc>
        <w:tc>
          <w:tcPr>
            <w:tcW w:w="1030" w:type="pct"/>
            <w:vAlign w:val="center"/>
          </w:tcPr>
          <w:p w14:paraId="730A4BD8" w14:textId="77777777" w:rsidR="009C79FF" w:rsidRPr="00552C4E" w:rsidRDefault="009C79FF" w:rsidP="00BA133C">
            <w:pPr>
              <w:pStyle w:val="ListParagraph"/>
              <w:ind w:left="0"/>
              <w:jc w:val="center"/>
            </w:pPr>
            <w:r>
              <w:t>No</w:t>
            </w:r>
          </w:p>
        </w:tc>
      </w:tr>
    </w:tbl>
    <w:p w14:paraId="17E1630B" w14:textId="77777777" w:rsidR="009C79FF" w:rsidRPr="00552C4E" w:rsidRDefault="009C79FF" w:rsidP="009C79FF">
      <w:pPr>
        <w:pStyle w:val="ListParagraph"/>
        <w:spacing w:line="480" w:lineRule="auto"/>
        <w:ind w:left="0"/>
        <w:rPr>
          <w:b/>
        </w:rPr>
      </w:pPr>
    </w:p>
    <w:p w14:paraId="3CA16A66" w14:textId="77777777" w:rsidR="009C79FF" w:rsidRPr="00EE1568" w:rsidRDefault="009C79FF" w:rsidP="009C79FF">
      <w:pPr>
        <w:pStyle w:val="ListParagraph"/>
        <w:spacing w:line="480" w:lineRule="auto"/>
        <w:ind w:left="0"/>
        <w:jc w:val="both"/>
        <w:rPr>
          <w:i/>
        </w:rPr>
      </w:pPr>
    </w:p>
    <w:p w14:paraId="177B96E3" w14:textId="77777777" w:rsidR="009C79FF" w:rsidRDefault="009C79FF" w:rsidP="009C79FF">
      <w:pPr>
        <w:spacing w:line="480" w:lineRule="auto"/>
        <w:rPr>
          <w:b/>
          <w:noProof/>
          <w:lang w:eastAsia="en-AU"/>
        </w:rPr>
      </w:pPr>
    </w:p>
    <w:p w14:paraId="7B582F0B" w14:textId="77777777" w:rsidR="009C79FF" w:rsidRDefault="009C79FF" w:rsidP="009C79FF">
      <w:pPr>
        <w:spacing w:line="480" w:lineRule="auto"/>
        <w:rPr>
          <w:b/>
          <w:noProof/>
          <w:lang w:eastAsia="en-AU"/>
        </w:rPr>
      </w:pPr>
    </w:p>
    <w:p w14:paraId="0111BC20" w14:textId="77777777" w:rsidR="009C79FF" w:rsidRDefault="009C79FF" w:rsidP="009C79FF">
      <w:pPr>
        <w:spacing w:line="480" w:lineRule="auto"/>
        <w:rPr>
          <w:b/>
          <w:noProof/>
          <w:lang w:eastAsia="en-AU"/>
        </w:rPr>
      </w:pPr>
    </w:p>
    <w:p w14:paraId="206AC64F" w14:textId="77777777" w:rsidR="009C79FF" w:rsidRDefault="009C79FF" w:rsidP="009C79FF">
      <w:pPr>
        <w:spacing w:line="480" w:lineRule="auto"/>
        <w:rPr>
          <w:b/>
          <w:noProof/>
          <w:lang w:eastAsia="en-AU"/>
        </w:rPr>
      </w:pPr>
    </w:p>
    <w:p w14:paraId="3B467E65" w14:textId="77777777" w:rsidR="009C79FF" w:rsidRDefault="009C79FF" w:rsidP="009C79FF">
      <w:pPr>
        <w:spacing w:line="480" w:lineRule="auto"/>
        <w:rPr>
          <w:b/>
          <w:noProof/>
          <w:lang w:eastAsia="en-AU"/>
        </w:rPr>
      </w:pPr>
    </w:p>
    <w:p w14:paraId="3402B251" w14:textId="77777777" w:rsidR="009C79FF" w:rsidRDefault="009C79FF" w:rsidP="009C79FF">
      <w:pPr>
        <w:spacing w:line="480" w:lineRule="auto"/>
        <w:rPr>
          <w:b/>
          <w:noProof/>
          <w:lang w:eastAsia="en-AU"/>
        </w:rPr>
      </w:pPr>
      <w:bookmarkStart w:id="0" w:name="_GoBack"/>
      <w:bookmarkEnd w:id="0"/>
    </w:p>
    <w:p w14:paraId="667FAB75" w14:textId="77777777" w:rsidR="009C79FF" w:rsidRDefault="009C79FF" w:rsidP="009C79FF">
      <w:pPr>
        <w:rPr>
          <w:b/>
        </w:rPr>
      </w:pPr>
      <w:r w:rsidRPr="00552C4E">
        <w:rPr>
          <w:b/>
        </w:rPr>
        <w:lastRenderedPageBreak/>
        <w:t xml:space="preserve">Table </w:t>
      </w:r>
      <w:r>
        <w:rPr>
          <w:b/>
        </w:rPr>
        <w:t>5</w:t>
      </w:r>
      <w:r w:rsidRPr="00552C4E">
        <w:rPr>
          <w:b/>
        </w:rPr>
        <w:t xml:space="preserve">: List of </w:t>
      </w:r>
      <w:r>
        <w:rPr>
          <w:b/>
        </w:rPr>
        <w:t>plasmids and primers</w:t>
      </w:r>
    </w:p>
    <w:p w14:paraId="4AE1A622" w14:textId="77777777" w:rsidR="009C79FF" w:rsidRPr="00552C4E" w:rsidRDefault="009C79FF" w:rsidP="009C79FF">
      <w:pPr>
        <w:rPr>
          <w:b/>
        </w:rPr>
      </w:pP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5405"/>
        <w:gridCol w:w="1768"/>
      </w:tblGrid>
      <w:tr w:rsidR="009C79FF" w:rsidRPr="00821167" w14:paraId="088755E2" w14:textId="77777777" w:rsidTr="00BA133C">
        <w:trPr>
          <w:trHeight w:val="291"/>
        </w:trPr>
        <w:tc>
          <w:tcPr>
            <w:tcW w:w="7248" w:type="dxa"/>
            <w:gridSpan w:val="2"/>
            <w:shd w:val="clear" w:color="auto" w:fill="auto"/>
            <w:noWrap/>
            <w:vAlign w:val="bottom"/>
          </w:tcPr>
          <w:p w14:paraId="4DAF3F24" w14:textId="77777777" w:rsidR="009C79FF" w:rsidRPr="00442166" w:rsidRDefault="009C79FF" w:rsidP="00BA133C">
            <w:pPr>
              <w:spacing w:after="0" w:line="240" w:lineRule="auto"/>
              <w:rPr>
                <w:rFonts w:eastAsia="Times New Roman" w:cs="Times New Roman"/>
                <w:b/>
                <w:lang w:eastAsia="en-AU"/>
              </w:rPr>
            </w:pPr>
            <w:r w:rsidRPr="00442166">
              <w:rPr>
                <w:rFonts w:eastAsia="Times New Roman" w:cs="Times New Roman"/>
                <w:b/>
                <w:lang w:eastAsia="en-AU"/>
              </w:rPr>
              <w:t>Plasmids</w:t>
            </w:r>
          </w:p>
        </w:tc>
        <w:tc>
          <w:tcPr>
            <w:tcW w:w="1768" w:type="dxa"/>
          </w:tcPr>
          <w:p w14:paraId="57162B48" w14:textId="77777777" w:rsidR="009C79FF" w:rsidRPr="00442166" w:rsidRDefault="009C79FF" w:rsidP="00BA133C">
            <w:pPr>
              <w:spacing w:after="0" w:line="240" w:lineRule="auto"/>
              <w:rPr>
                <w:rFonts w:eastAsia="Times New Roman" w:cs="Times New Roman"/>
                <w:b/>
                <w:lang w:eastAsia="en-AU"/>
              </w:rPr>
            </w:pPr>
            <w:r w:rsidRPr="00442166">
              <w:rPr>
                <w:rFonts w:eastAsia="Times New Roman" w:cs="Times New Roman"/>
                <w:b/>
                <w:lang w:eastAsia="en-AU"/>
              </w:rPr>
              <w:t>Reference</w:t>
            </w:r>
          </w:p>
        </w:tc>
      </w:tr>
      <w:tr w:rsidR="009C79FF" w:rsidRPr="00821167" w14:paraId="506A9ADE" w14:textId="77777777" w:rsidTr="00BA133C">
        <w:trPr>
          <w:trHeight w:val="291"/>
        </w:trPr>
        <w:tc>
          <w:tcPr>
            <w:tcW w:w="1843" w:type="dxa"/>
            <w:shd w:val="clear" w:color="auto" w:fill="auto"/>
            <w:noWrap/>
            <w:vAlign w:val="center"/>
          </w:tcPr>
          <w:p w14:paraId="4AF661B8"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pRGO1</w:t>
            </w:r>
          </w:p>
        </w:tc>
        <w:tc>
          <w:tcPr>
            <w:tcW w:w="5405" w:type="dxa"/>
            <w:shd w:val="clear" w:color="auto" w:fill="auto"/>
            <w:noWrap/>
            <w:vAlign w:val="center"/>
          </w:tcPr>
          <w:p w14:paraId="690FA689"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 xml:space="preserve">Plasmid from </w:t>
            </w:r>
            <w:r w:rsidRPr="003F157A">
              <w:rPr>
                <w:rFonts w:eastAsia="Times New Roman" w:cs="Times New Roman"/>
                <w:i/>
                <w:lang w:eastAsia="en-AU"/>
              </w:rPr>
              <w:t xml:space="preserve">P. </w:t>
            </w:r>
            <w:r>
              <w:rPr>
                <w:rFonts w:eastAsia="Times New Roman" w:cs="Times New Roman"/>
                <w:i/>
                <w:noProof/>
                <w:lang w:eastAsia="en-AU"/>
              </w:rPr>
              <w:t>acidipropionici</w:t>
            </w:r>
          </w:p>
        </w:tc>
        <w:tc>
          <w:tcPr>
            <w:tcW w:w="1768" w:type="dxa"/>
            <w:vAlign w:val="center"/>
          </w:tcPr>
          <w:p w14:paraId="1874B5AE"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Kiatpapan</w:t>
            </w:r>
            <w:proofErr w:type="spellEnd"/>
            <w:r w:rsidRPr="00821167">
              <w:rPr>
                <w:rFonts w:eastAsia="Times New Roman" w:cs="Times New Roman"/>
                <w:lang w:eastAsia="en-AU"/>
              </w:rPr>
              <w:t xml:space="preserve"> </w:t>
            </w:r>
            <w:r>
              <w:rPr>
                <w:rFonts w:eastAsia="Times New Roman" w:cs="Times New Roman"/>
                <w:lang w:eastAsia="en-AU"/>
              </w:rPr>
              <w:t xml:space="preserve"> </w:t>
            </w:r>
            <w:r>
              <w:rPr>
                <w:rFonts w:eastAsia="Times New Roman" w:cs="Times New Roman"/>
                <w:lang w:eastAsia="en-AU"/>
              </w:rPr>
              <w:fldChar w:fldCharType="begin" w:fldLock="1"/>
            </w:r>
            <w:r>
              <w:rPr>
                <w:rFonts w:eastAsia="Times New Roman" w:cs="Times New Roman"/>
                <w:lang w:eastAsia="en-AU"/>
              </w:rPr>
              <w:instrText>ADDIN CSL_CITATION {"citationItems":[{"id":"ITEM-1","itemData":{"ISSN":"0099-2240","PMID":"11055911","abstract":"The complete nucleotide sequence of pRGO1, a cryptic plasmid from Propionibacterium acidipropionici E214, was determined. pRGO1 is 6, 868 bp long, and its G+C content is 65.0%. Frame analysis of the sequence revealed six open reading frames, which were designated Orf1 to Orf6. The deduced amino acid sequences of Orf1 and Orf2 showed extensive similarities to an initiator of plasmid replication, the Rep protein, of various plasmids of gram-positive bacteria. The amino acid sequence of the putative translation product of orf3 exhibited a high degree of similarity to the amino acid sequences of DNA invertase in several bacteria. For the putative translation products of orf4, orf5, and orf6, on the other hand, no homologous sequences were found. The function of these open reading frames was studied by deletion analysis. A shuttle vector, pPK705, was constructed for shuttling between Escherichia coli and a Propionibacterium strain containing orf1 (repA), orf2 (repB), orf5, and orf6 from pRGO1, pUC18, and the hygromycin B-resistant gene as a drug marker. Shuttle vector pPK705 successfully transformed Propionibacterium freudenreichii subsp. shermanii IFO12426 by electroporation at an efficiency of 8 x 10(6) CFU/microg of DNA under optimized conditions. Transformation of various species of propionibacteria with pPK705 was also performed at efficiencies of about 10(4) to 10(7) CFU/microg of DNA. The vector was stably maintained in strains of P. freudenreichii subsp. shermanii, P. freudenreichii, P. pentosaceum, and P. freudenreichii subsp. freudenreichii grown under nonselective conditions. Successful manipulation of a host-vector system in propionibacteria should facilitate genetic studies and lead to creation of genes that are useful industrially.","author":[{"dropping-particle":"","family":"Kiatpapan","given":"P","non-dropping-particle":"","parse-names":false,"suffix":""},{"dropping-particle":"","family":"Hashimoto","given":"Y","non-dropping-particle":"","parse-names":false,"suffix":""},{"dropping-particle":"","family":"Nakamura","given":"H","non-dropping-particle":"","parse-names":false,"suffix":""},{"dropping-particle":"","family":"Piao","given":"Y Z","non-dropping-particle":"","parse-names":false,"suffix":""},{"dropping-particle":"","family":"Ono","given":"H","non-dropping-particle":"","parse-names":false,"suffix":""},{"dropping-particle":"","family":"Yamashita","given":"M","non-dropping-particle":"","parse-names":false,"suffix":""},{"dropping-particle":"","family":"Murooka","given":"Y","non-dropping-particle":"","parse-names":false,"suffix":""}],"container-title":"Applied and environmental microbiology","id":"ITEM-1","issue":"11","issued":{"date-parts":[["2000","11"]]},"page":"4688-95","title":"Characterization of pRGO1, a plasmid from Propionibacterium acidipropionici, and its use for development of a host-vector system in propionibacteria.","type":"article-journal","volume":"66"},"uris":["http://www.mendeley.com/documents/?uuid=b5a69d02-ff80-4a52-b243-8b8e6e1d8e39"]}],"mendeley":{"formattedCitation":"[83]","plainTextFormattedCitation":"[83]","previouslyFormattedCitation":"[83]"},"properties":{"noteIndex":0},"schema":"https://github.com/citation-style-language/schema/raw/master/csl-citation.json"}</w:instrText>
            </w:r>
            <w:r>
              <w:rPr>
                <w:rFonts w:eastAsia="Times New Roman" w:cs="Times New Roman"/>
                <w:lang w:eastAsia="en-AU"/>
              </w:rPr>
              <w:fldChar w:fldCharType="separate"/>
            </w:r>
            <w:r w:rsidRPr="001E09E6">
              <w:rPr>
                <w:rFonts w:eastAsia="Times New Roman" w:cs="Times New Roman"/>
                <w:noProof/>
                <w:lang w:eastAsia="en-AU"/>
              </w:rPr>
              <w:t>[83]</w:t>
            </w:r>
            <w:r>
              <w:rPr>
                <w:rFonts w:eastAsia="Times New Roman" w:cs="Times New Roman"/>
                <w:lang w:eastAsia="en-AU"/>
              </w:rPr>
              <w:fldChar w:fldCharType="end"/>
            </w:r>
          </w:p>
        </w:tc>
      </w:tr>
      <w:tr w:rsidR="009C79FF" w:rsidRPr="00821167" w14:paraId="12BC43DA" w14:textId="77777777" w:rsidTr="00BA133C">
        <w:trPr>
          <w:trHeight w:val="291"/>
        </w:trPr>
        <w:tc>
          <w:tcPr>
            <w:tcW w:w="1843" w:type="dxa"/>
            <w:shd w:val="clear" w:color="auto" w:fill="auto"/>
            <w:noWrap/>
            <w:vAlign w:val="center"/>
          </w:tcPr>
          <w:p w14:paraId="24C41B81"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cs="Times New Roman"/>
              </w:rPr>
              <w:t>pBRPprp_gfpuv</w:t>
            </w:r>
            <w:proofErr w:type="spellEnd"/>
          </w:p>
        </w:tc>
        <w:tc>
          <w:tcPr>
            <w:tcW w:w="5405" w:type="dxa"/>
            <w:shd w:val="clear" w:color="auto" w:fill="auto"/>
            <w:noWrap/>
            <w:vAlign w:val="center"/>
          </w:tcPr>
          <w:p w14:paraId="125FEA13"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 xml:space="preserve">PBR322 based plasmid. </w:t>
            </w:r>
            <w:r w:rsidRPr="00821167">
              <w:rPr>
                <w:rFonts w:eastAsia="Times New Roman" w:cs="Times New Roman"/>
                <w:noProof/>
                <w:lang w:eastAsia="en-AU"/>
              </w:rPr>
              <w:t>gfpUV expression</w:t>
            </w:r>
            <w:r w:rsidRPr="00821167">
              <w:rPr>
                <w:rFonts w:eastAsia="Times New Roman" w:cs="Times New Roman"/>
                <w:lang w:eastAsia="en-AU"/>
              </w:rPr>
              <w:t xml:space="preserve"> </w:t>
            </w:r>
            <w:r w:rsidRPr="00821167">
              <w:rPr>
                <w:rFonts w:eastAsia="Times New Roman" w:cs="Times New Roman"/>
                <w:noProof/>
                <w:lang w:eastAsia="en-AU"/>
              </w:rPr>
              <w:t>under</w:t>
            </w:r>
            <w:r w:rsidRPr="00821167">
              <w:rPr>
                <w:rFonts w:eastAsia="Times New Roman" w:cs="Times New Roman"/>
                <w:lang w:eastAsia="en-AU"/>
              </w:rPr>
              <w:t xml:space="preserve"> the control of </w:t>
            </w:r>
            <w:r w:rsidRPr="00821167">
              <w:rPr>
                <w:rFonts w:eastAsia="Times New Roman" w:cs="Times New Roman"/>
                <w:noProof/>
                <w:lang w:eastAsia="en-AU"/>
              </w:rPr>
              <w:t>prpR</w:t>
            </w:r>
            <w:r w:rsidRPr="00821167">
              <w:rPr>
                <w:rFonts w:eastAsia="Times New Roman" w:cs="Times New Roman"/>
                <w:lang w:eastAsia="en-AU"/>
              </w:rPr>
              <w:t xml:space="preserve"> promoter. </w:t>
            </w:r>
            <w:proofErr w:type="spellStart"/>
            <w:r w:rsidRPr="00821167">
              <w:rPr>
                <w:rFonts w:eastAsia="Times New Roman" w:cs="Times New Roman"/>
                <w:lang w:eastAsia="en-AU"/>
              </w:rPr>
              <w:t>AmpR</w:t>
            </w:r>
            <w:proofErr w:type="spellEnd"/>
          </w:p>
        </w:tc>
        <w:tc>
          <w:tcPr>
            <w:tcW w:w="1768" w:type="dxa"/>
            <w:vAlign w:val="center"/>
          </w:tcPr>
          <w:p w14:paraId="04A395F3"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Lab collection</w:t>
            </w:r>
          </w:p>
        </w:tc>
      </w:tr>
      <w:tr w:rsidR="009C79FF" w:rsidRPr="00821167" w14:paraId="3C9C665B" w14:textId="77777777" w:rsidTr="00BA133C">
        <w:trPr>
          <w:trHeight w:val="291"/>
        </w:trPr>
        <w:tc>
          <w:tcPr>
            <w:tcW w:w="1843" w:type="dxa"/>
            <w:shd w:val="clear" w:color="auto" w:fill="auto"/>
            <w:noWrap/>
            <w:vAlign w:val="center"/>
          </w:tcPr>
          <w:p w14:paraId="5B83BAFD" w14:textId="77777777" w:rsidR="009C79FF" w:rsidRPr="00821167" w:rsidRDefault="009C79FF" w:rsidP="00BA133C">
            <w:pPr>
              <w:spacing w:after="0" w:line="240" w:lineRule="auto"/>
              <w:jc w:val="center"/>
              <w:rPr>
                <w:rFonts w:cs="Times New Roman"/>
              </w:rPr>
            </w:pPr>
            <w:r w:rsidRPr="00821167">
              <w:rPr>
                <w:rFonts w:cs="Times New Roman"/>
              </w:rPr>
              <w:t>pPAC_Cas9</w:t>
            </w:r>
          </w:p>
        </w:tc>
        <w:tc>
          <w:tcPr>
            <w:tcW w:w="5405" w:type="dxa"/>
            <w:shd w:val="clear" w:color="auto" w:fill="auto"/>
            <w:noWrap/>
            <w:vAlign w:val="center"/>
          </w:tcPr>
          <w:p w14:paraId="67A96FF9"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 xml:space="preserve">pRGO1 derived plasmid harbouring optimised Cas9. </w:t>
            </w:r>
            <w:proofErr w:type="spellStart"/>
            <w:r w:rsidRPr="00821167">
              <w:rPr>
                <w:rFonts w:eastAsia="Times New Roman" w:cs="Times New Roman"/>
                <w:lang w:eastAsia="en-AU"/>
              </w:rPr>
              <w:t>EryR</w:t>
            </w:r>
            <w:proofErr w:type="spellEnd"/>
            <w:r w:rsidRPr="00821167">
              <w:rPr>
                <w:rFonts w:eastAsia="Times New Roman" w:cs="Times New Roman"/>
                <w:lang w:eastAsia="en-AU"/>
              </w:rPr>
              <w:t xml:space="preserve">. </w:t>
            </w:r>
            <w:r w:rsidRPr="00821167">
              <w:rPr>
                <w:rFonts w:eastAsia="Times New Roman" w:cs="Times New Roman"/>
                <w:noProof/>
                <w:lang w:eastAsia="en-AU"/>
              </w:rPr>
              <w:t>ApraR</w:t>
            </w:r>
          </w:p>
        </w:tc>
        <w:tc>
          <w:tcPr>
            <w:tcW w:w="1768" w:type="dxa"/>
            <w:vAlign w:val="center"/>
          </w:tcPr>
          <w:p w14:paraId="6A398B28"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This work</w:t>
            </w:r>
          </w:p>
        </w:tc>
      </w:tr>
      <w:tr w:rsidR="009C79FF" w:rsidRPr="00821167" w14:paraId="34271E0E" w14:textId="77777777" w:rsidTr="00BA133C">
        <w:trPr>
          <w:trHeight w:val="291"/>
        </w:trPr>
        <w:tc>
          <w:tcPr>
            <w:tcW w:w="1843" w:type="dxa"/>
            <w:shd w:val="clear" w:color="auto" w:fill="auto"/>
            <w:noWrap/>
            <w:vAlign w:val="center"/>
          </w:tcPr>
          <w:p w14:paraId="570F8F51" w14:textId="77777777" w:rsidR="009C79FF" w:rsidRPr="00821167" w:rsidRDefault="009C79FF" w:rsidP="00BA133C">
            <w:pPr>
              <w:spacing w:after="0" w:line="240" w:lineRule="auto"/>
              <w:jc w:val="center"/>
              <w:rPr>
                <w:rFonts w:cs="Times New Roman"/>
              </w:rPr>
            </w:pPr>
            <w:r w:rsidRPr="00821167">
              <w:rPr>
                <w:rFonts w:cs="Times New Roman"/>
              </w:rPr>
              <w:t>pCas9_nifJ</w:t>
            </w:r>
          </w:p>
        </w:tc>
        <w:tc>
          <w:tcPr>
            <w:tcW w:w="5405" w:type="dxa"/>
            <w:shd w:val="clear" w:color="auto" w:fill="auto"/>
            <w:noWrap/>
            <w:vAlign w:val="center"/>
          </w:tcPr>
          <w:p w14:paraId="0AFA039A"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pPAC_Ca9 derived plasmid. Contains gRN</w:t>
            </w:r>
            <w:r>
              <w:rPr>
                <w:rFonts w:eastAsia="Times New Roman" w:cs="Times New Roman"/>
                <w:lang w:eastAsia="en-AU"/>
              </w:rPr>
              <w:t>A</w:t>
            </w:r>
            <w:r w:rsidRPr="00821167">
              <w:rPr>
                <w:rFonts w:eastAsia="Times New Roman" w:cs="Times New Roman"/>
                <w:lang w:eastAsia="en-AU"/>
              </w:rPr>
              <w:t xml:space="preserve"> region for knockout</w:t>
            </w:r>
            <w:r>
              <w:rPr>
                <w:rFonts w:eastAsia="Times New Roman" w:cs="Times New Roman"/>
                <w:lang w:eastAsia="en-AU"/>
              </w:rPr>
              <w:t xml:space="preserve"> of</w:t>
            </w:r>
            <w:r w:rsidRPr="00821167">
              <w:rPr>
                <w:rFonts w:eastAsia="Times New Roman" w:cs="Times New Roman"/>
                <w:lang w:eastAsia="en-AU"/>
              </w:rPr>
              <w:t xml:space="preserve"> </w:t>
            </w:r>
            <w:proofErr w:type="spellStart"/>
            <w:r w:rsidRPr="00821167">
              <w:rPr>
                <w:rFonts w:eastAsia="Times New Roman" w:cs="Times New Roman"/>
                <w:lang w:eastAsia="en-AU"/>
              </w:rPr>
              <w:t>nifJ</w:t>
            </w:r>
            <w:proofErr w:type="spellEnd"/>
          </w:p>
        </w:tc>
        <w:tc>
          <w:tcPr>
            <w:tcW w:w="1768" w:type="dxa"/>
            <w:vAlign w:val="center"/>
          </w:tcPr>
          <w:p w14:paraId="3468D103"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This work</w:t>
            </w:r>
          </w:p>
        </w:tc>
      </w:tr>
      <w:tr w:rsidR="009C79FF" w:rsidRPr="00821167" w14:paraId="1C78C1D2" w14:textId="77777777" w:rsidTr="00BA133C">
        <w:trPr>
          <w:trHeight w:val="291"/>
        </w:trPr>
        <w:tc>
          <w:tcPr>
            <w:tcW w:w="7248" w:type="dxa"/>
            <w:gridSpan w:val="2"/>
            <w:shd w:val="clear" w:color="auto" w:fill="auto"/>
            <w:noWrap/>
            <w:vAlign w:val="center"/>
          </w:tcPr>
          <w:p w14:paraId="5BB8E13E" w14:textId="77777777" w:rsidR="009C79FF" w:rsidRPr="00442166" w:rsidRDefault="009C79FF" w:rsidP="00BA133C">
            <w:pPr>
              <w:spacing w:after="0" w:line="240" w:lineRule="auto"/>
              <w:jc w:val="center"/>
              <w:rPr>
                <w:rFonts w:eastAsia="Times New Roman" w:cs="Times New Roman"/>
                <w:b/>
                <w:lang w:eastAsia="en-AU"/>
              </w:rPr>
            </w:pPr>
            <w:r w:rsidRPr="00442166">
              <w:rPr>
                <w:rFonts w:eastAsia="Times New Roman" w:cs="Times New Roman"/>
                <w:b/>
                <w:lang w:eastAsia="en-AU"/>
              </w:rPr>
              <w:t>Primers</w:t>
            </w:r>
          </w:p>
        </w:tc>
        <w:tc>
          <w:tcPr>
            <w:tcW w:w="1768" w:type="dxa"/>
            <w:vAlign w:val="center"/>
          </w:tcPr>
          <w:p w14:paraId="5EA5DF6A"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3E411889" w14:textId="77777777" w:rsidTr="00BA133C">
        <w:trPr>
          <w:trHeight w:val="291"/>
        </w:trPr>
        <w:tc>
          <w:tcPr>
            <w:tcW w:w="1843" w:type="dxa"/>
            <w:shd w:val="clear" w:color="auto" w:fill="auto"/>
            <w:noWrap/>
            <w:vAlign w:val="center"/>
          </w:tcPr>
          <w:p w14:paraId="5FB066BC"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ackUP-HA_fwd</w:t>
            </w:r>
            <w:proofErr w:type="spellEnd"/>
          </w:p>
        </w:tc>
        <w:tc>
          <w:tcPr>
            <w:tcW w:w="5405" w:type="dxa"/>
            <w:shd w:val="clear" w:color="auto" w:fill="auto"/>
            <w:noWrap/>
            <w:vAlign w:val="center"/>
          </w:tcPr>
          <w:p w14:paraId="0D622526"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tttttaagcttcccgTCTCGCCGCTACCGCGCTTG</w:t>
            </w:r>
            <w:proofErr w:type="spellEnd"/>
          </w:p>
        </w:tc>
        <w:tc>
          <w:tcPr>
            <w:tcW w:w="1768" w:type="dxa"/>
            <w:vAlign w:val="center"/>
          </w:tcPr>
          <w:p w14:paraId="0937D709"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2858D2BA" w14:textId="77777777" w:rsidTr="00BA133C">
        <w:trPr>
          <w:trHeight w:val="291"/>
        </w:trPr>
        <w:tc>
          <w:tcPr>
            <w:tcW w:w="1843" w:type="dxa"/>
            <w:shd w:val="clear" w:color="auto" w:fill="auto"/>
            <w:noWrap/>
            <w:vAlign w:val="center"/>
            <w:hideMark/>
          </w:tcPr>
          <w:p w14:paraId="6257164F"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ackUP-HA_rev</w:t>
            </w:r>
            <w:proofErr w:type="spellEnd"/>
          </w:p>
        </w:tc>
        <w:tc>
          <w:tcPr>
            <w:tcW w:w="5405" w:type="dxa"/>
            <w:shd w:val="clear" w:color="auto" w:fill="auto"/>
            <w:noWrap/>
            <w:vAlign w:val="center"/>
            <w:hideMark/>
          </w:tcPr>
          <w:p w14:paraId="41FFCD09"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ggatagcgtcgccgtACGCCGCTGGCCGGCCTG</w:t>
            </w:r>
            <w:proofErr w:type="spellEnd"/>
          </w:p>
        </w:tc>
        <w:tc>
          <w:tcPr>
            <w:tcW w:w="1768" w:type="dxa"/>
            <w:vAlign w:val="center"/>
          </w:tcPr>
          <w:p w14:paraId="0D69A12C"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2F507267" w14:textId="77777777" w:rsidTr="00BA133C">
        <w:trPr>
          <w:trHeight w:val="291"/>
        </w:trPr>
        <w:tc>
          <w:tcPr>
            <w:tcW w:w="1843" w:type="dxa"/>
            <w:shd w:val="clear" w:color="auto" w:fill="auto"/>
            <w:noWrap/>
            <w:vAlign w:val="center"/>
            <w:hideMark/>
          </w:tcPr>
          <w:p w14:paraId="7298F6D2"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ack-</w:t>
            </w:r>
            <w:proofErr w:type="spellStart"/>
            <w:r w:rsidRPr="00821167">
              <w:rPr>
                <w:rFonts w:eastAsia="Times New Roman" w:cs="Times New Roman"/>
                <w:lang w:eastAsia="en-AU"/>
              </w:rPr>
              <w:t>gfpUV_fwd</w:t>
            </w:r>
            <w:proofErr w:type="spellEnd"/>
          </w:p>
        </w:tc>
        <w:tc>
          <w:tcPr>
            <w:tcW w:w="5405" w:type="dxa"/>
            <w:shd w:val="clear" w:color="auto" w:fill="auto"/>
            <w:noWrap/>
            <w:vAlign w:val="center"/>
            <w:hideMark/>
          </w:tcPr>
          <w:p w14:paraId="7141BA8A"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gccggccagcggcgtACGGCGACGCTATCCCCA</w:t>
            </w:r>
            <w:proofErr w:type="spellEnd"/>
          </w:p>
        </w:tc>
        <w:tc>
          <w:tcPr>
            <w:tcW w:w="1768" w:type="dxa"/>
            <w:vAlign w:val="center"/>
          </w:tcPr>
          <w:p w14:paraId="019E41D6"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7268AC45" w14:textId="77777777" w:rsidTr="00BA133C">
        <w:trPr>
          <w:trHeight w:val="291"/>
        </w:trPr>
        <w:tc>
          <w:tcPr>
            <w:tcW w:w="1843" w:type="dxa"/>
            <w:shd w:val="clear" w:color="auto" w:fill="auto"/>
            <w:noWrap/>
            <w:vAlign w:val="center"/>
            <w:hideMark/>
          </w:tcPr>
          <w:p w14:paraId="3C41B415"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ack-</w:t>
            </w:r>
            <w:proofErr w:type="spellStart"/>
            <w:r w:rsidRPr="00821167">
              <w:rPr>
                <w:rFonts w:eastAsia="Times New Roman" w:cs="Times New Roman"/>
                <w:lang w:eastAsia="en-AU"/>
              </w:rPr>
              <w:t>gfpUV_rev</w:t>
            </w:r>
            <w:proofErr w:type="spellEnd"/>
          </w:p>
        </w:tc>
        <w:tc>
          <w:tcPr>
            <w:tcW w:w="5405" w:type="dxa"/>
            <w:shd w:val="clear" w:color="auto" w:fill="auto"/>
            <w:noWrap/>
            <w:vAlign w:val="center"/>
            <w:hideMark/>
          </w:tcPr>
          <w:p w14:paraId="3FA666BA"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tcggcgagctcaaccTTATTATTTGTAGAGCTCATCCATGCCATG</w:t>
            </w:r>
            <w:proofErr w:type="spellEnd"/>
          </w:p>
        </w:tc>
        <w:tc>
          <w:tcPr>
            <w:tcW w:w="1768" w:type="dxa"/>
            <w:vAlign w:val="center"/>
          </w:tcPr>
          <w:p w14:paraId="6DBFCEAD"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6108C13A" w14:textId="77777777" w:rsidTr="00BA133C">
        <w:trPr>
          <w:trHeight w:val="291"/>
        </w:trPr>
        <w:tc>
          <w:tcPr>
            <w:tcW w:w="1843" w:type="dxa"/>
            <w:shd w:val="clear" w:color="auto" w:fill="auto"/>
            <w:noWrap/>
            <w:vAlign w:val="center"/>
            <w:hideMark/>
          </w:tcPr>
          <w:p w14:paraId="34A5C2C9"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ack-DW-</w:t>
            </w:r>
            <w:proofErr w:type="spellStart"/>
            <w:r w:rsidRPr="00821167">
              <w:rPr>
                <w:rFonts w:eastAsia="Times New Roman" w:cs="Times New Roman"/>
                <w:lang w:eastAsia="en-AU"/>
              </w:rPr>
              <w:t>HA_fwd</w:t>
            </w:r>
            <w:proofErr w:type="spellEnd"/>
          </w:p>
        </w:tc>
        <w:tc>
          <w:tcPr>
            <w:tcW w:w="5405" w:type="dxa"/>
            <w:shd w:val="clear" w:color="auto" w:fill="auto"/>
            <w:noWrap/>
            <w:vAlign w:val="center"/>
            <w:hideMark/>
          </w:tcPr>
          <w:p w14:paraId="562E6C44"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ctctacaaataataaGGTTGAGCTCGCCGAGGTCG</w:t>
            </w:r>
            <w:proofErr w:type="spellEnd"/>
          </w:p>
        </w:tc>
        <w:tc>
          <w:tcPr>
            <w:tcW w:w="1768" w:type="dxa"/>
            <w:vAlign w:val="center"/>
          </w:tcPr>
          <w:p w14:paraId="4DFC3EF9"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00D8F224" w14:textId="77777777" w:rsidTr="00BA133C">
        <w:trPr>
          <w:trHeight w:val="305"/>
        </w:trPr>
        <w:tc>
          <w:tcPr>
            <w:tcW w:w="1843" w:type="dxa"/>
            <w:shd w:val="clear" w:color="auto" w:fill="auto"/>
            <w:noWrap/>
            <w:vAlign w:val="center"/>
            <w:hideMark/>
          </w:tcPr>
          <w:p w14:paraId="27E9C80E" w14:textId="77777777" w:rsidR="009C79FF" w:rsidRPr="00821167" w:rsidRDefault="009C79FF" w:rsidP="00BA133C">
            <w:pPr>
              <w:spacing w:after="0" w:line="240" w:lineRule="auto"/>
              <w:jc w:val="center"/>
              <w:rPr>
                <w:rFonts w:eastAsia="Times New Roman" w:cs="Times New Roman"/>
                <w:lang w:eastAsia="en-AU"/>
              </w:rPr>
            </w:pPr>
            <w:r w:rsidRPr="00821167">
              <w:rPr>
                <w:rFonts w:eastAsia="Times New Roman" w:cs="Times New Roman"/>
                <w:lang w:eastAsia="en-AU"/>
              </w:rPr>
              <w:t>ack-DW-</w:t>
            </w:r>
            <w:proofErr w:type="spellStart"/>
            <w:r w:rsidRPr="00821167">
              <w:rPr>
                <w:rFonts w:eastAsia="Times New Roman" w:cs="Times New Roman"/>
                <w:lang w:eastAsia="en-AU"/>
              </w:rPr>
              <w:t>HA_rev</w:t>
            </w:r>
            <w:proofErr w:type="spellEnd"/>
          </w:p>
        </w:tc>
        <w:tc>
          <w:tcPr>
            <w:tcW w:w="5405" w:type="dxa"/>
            <w:shd w:val="clear" w:color="auto" w:fill="auto"/>
            <w:noWrap/>
            <w:vAlign w:val="center"/>
            <w:hideMark/>
          </w:tcPr>
          <w:p w14:paraId="4EAC8FD6" w14:textId="77777777" w:rsidR="009C79FF" w:rsidRPr="00821167" w:rsidRDefault="009C79FF" w:rsidP="00BA133C">
            <w:pPr>
              <w:spacing w:after="0" w:line="240" w:lineRule="auto"/>
              <w:jc w:val="center"/>
              <w:rPr>
                <w:rFonts w:eastAsia="Times New Roman" w:cs="Times New Roman"/>
                <w:lang w:eastAsia="en-AU"/>
              </w:rPr>
            </w:pPr>
            <w:proofErr w:type="spellStart"/>
            <w:r w:rsidRPr="00821167">
              <w:rPr>
                <w:rFonts w:eastAsia="Times New Roman" w:cs="Times New Roman"/>
                <w:lang w:eastAsia="en-AU"/>
              </w:rPr>
              <w:t>aattggagctccaccgcggtggcggccgctCGGAGAACCCGGTGGCCG</w:t>
            </w:r>
            <w:proofErr w:type="spellEnd"/>
          </w:p>
        </w:tc>
        <w:tc>
          <w:tcPr>
            <w:tcW w:w="1768" w:type="dxa"/>
            <w:vAlign w:val="center"/>
          </w:tcPr>
          <w:p w14:paraId="4D16DAE9" w14:textId="77777777" w:rsidR="009C79FF" w:rsidRPr="00821167" w:rsidRDefault="009C79FF" w:rsidP="00BA133C">
            <w:pPr>
              <w:spacing w:after="0" w:line="240" w:lineRule="auto"/>
              <w:jc w:val="center"/>
              <w:rPr>
                <w:rFonts w:eastAsia="Times New Roman" w:cs="Times New Roman"/>
                <w:lang w:eastAsia="en-AU"/>
              </w:rPr>
            </w:pPr>
          </w:p>
        </w:tc>
      </w:tr>
      <w:tr w:rsidR="009C79FF" w:rsidRPr="00821167" w14:paraId="4B69DEAE" w14:textId="77777777" w:rsidTr="00BA133C">
        <w:trPr>
          <w:trHeight w:val="305"/>
        </w:trPr>
        <w:tc>
          <w:tcPr>
            <w:tcW w:w="1843" w:type="dxa"/>
            <w:shd w:val="clear" w:color="auto" w:fill="auto"/>
            <w:noWrap/>
            <w:vAlign w:val="center"/>
          </w:tcPr>
          <w:p w14:paraId="1DCE0C39" w14:textId="77777777" w:rsidR="009C79FF" w:rsidRPr="00821167" w:rsidRDefault="009C79FF" w:rsidP="00BA133C">
            <w:pPr>
              <w:jc w:val="center"/>
              <w:rPr>
                <w:rFonts w:cs="Times New Roman"/>
              </w:rPr>
            </w:pPr>
            <w:r w:rsidRPr="00821167">
              <w:rPr>
                <w:rFonts w:cs="Times New Roman"/>
              </w:rPr>
              <w:t xml:space="preserve">ack </w:t>
            </w:r>
            <w:proofErr w:type="spellStart"/>
            <w:r w:rsidRPr="00821167">
              <w:rPr>
                <w:rFonts w:cs="Times New Roman"/>
              </w:rPr>
              <w:t>conf_fwd</w:t>
            </w:r>
            <w:proofErr w:type="spellEnd"/>
          </w:p>
        </w:tc>
        <w:tc>
          <w:tcPr>
            <w:tcW w:w="5405" w:type="dxa"/>
            <w:shd w:val="clear" w:color="auto" w:fill="auto"/>
            <w:noWrap/>
            <w:vAlign w:val="center"/>
          </w:tcPr>
          <w:p w14:paraId="04B7A294" w14:textId="77777777" w:rsidR="009C79FF" w:rsidRPr="00821167" w:rsidRDefault="009C79FF" w:rsidP="00BA133C">
            <w:pPr>
              <w:jc w:val="center"/>
              <w:rPr>
                <w:rFonts w:cs="Times New Roman"/>
              </w:rPr>
            </w:pPr>
            <w:r w:rsidRPr="00821167">
              <w:rPr>
                <w:rFonts w:cs="Times New Roman"/>
              </w:rPr>
              <w:t>CCGAGCATTCCCGAGTTC</w:t>
            </w:r>
          </w:p>
        </w:tc>
        <w:tc>
          <w:tcPr>
            <w:tcW w:w="1768" w:type="dxa"/>
            <w:vAlign w:val="center"/>
          </w:tcPr>
          <w:p w14:paraId="13E4CBC4" w14:textId="77777777" w:rsidR="009C79FF" w:rsidRPr="00821167" w:rsidRDefault="009C79FF" w:rsidP="00BA133C">
            <w:pPr>
              <w:jc w:val="center"/>
              <w:rPr>
                <w:rFonts w:cs="Times New Roman"/>
              </w:rPr>
            </w:pPr>
          </w:p>
        </w:tc>
      </w:tr>
      <w:tr w:rsidR="009C79FF" w:rsidRPr="00821167" w14:paraId="68B44153" w14:textId="77777777" w:rsidTr="00BA133C">
        <w:trPr>
          <w:trHeight w:val="305"/>
        </w:trPr>
        <w:tc>
          <w:tcPr>
            <w:tcW w:w="1843" w:type="dxa"/>
            <w:shd w:val="clear" w:color="auto" w:fill="auto"/>
            <w:noWrap/>
            <w:vAlign w:val="center"/>
          </w:tcPr>
          <w:p w14:paraId="37908B72" w14:textId="77777777" w:rsidR="009C79FF" w:rsidRPr="00821167" w:rsidRDefault="009C79FF" w:rsidP="00BA133C">
            <w:pPr>
              <w:jc w:val="center"/>
              <w:rPr>
                <w:rFonts w:cs="Times New Roman"/>
              </w:rPr>
            </w:pPr>
            <w:r w:rsidRPr="00821167">
              <w:rPr>
                <w:rFonts w:cs="Times New Roman"/>
              </w:rPr>
              <w:t xml:space="preserve">ack </w:t>
            </w:r>
            <w:proofErr w:type="spellStart"/>
            <w:r w:rsidRPr="00821167">
              <w:rPr>
                <w:rFonts w:cs="Times New Roman"/>
              </w:rPr>
              <w:t>conf_rev</w:t>
            </w:r>
            <w:proofErr w:type="spellEnd"/>
          </w:p>
        </w:tc>
        <w:tc>
          <w:tcPr>
            <w:tcW w:w="5405" w:type="dxa"/>
            <w:shd w:val="clear" w:color="auto" w:fill="auto"/>
            <w:noWrap/>
            <w:vAlign w:val="center"/>
          </w:tcPr>
          <w:p w14:paraId="3F42687C" w14:textId="77777777" w:rsidR="009C79FF" w:rsidRPr="00821167" w:rsidRDefault="009C79FF" w:rsidP="00BA133C">
            <w:pPr>
              <w:jc w:val="center"/>
              <w:rPr>
                <w:rFonts w:cs="Times New Roman"/>
              </w:rPr>
            </w:pPr>
            <w:r w:rsidRPr="00821167">
              <w:rPr>
                <w:rFonts w:cs="Times New Roman"/>
              </w:rPr>
              <w:t>CTTCGACACCGCCTTCTTC</w:t>
            </w:r>
          </w:p>
        </w:tc>
        <w:tc>
          <w:tcPr>
            <w:tcW w:w="1768" w:type="dxa"/>
            <w:vAlign w:val="center"/>
          </w:tcPr>
          <w:p w14:paraId="71AF2F3E" w14:textId="77777777" w:rsidR="009C79FF" w:rsidRPr="00821167" w:rsidRDefault="009C79FF" w:rsidP="00BA133C">
            <w:pPr>
              <w:jc w:val="center"/>
              <w:rPr>
                <w:rFonts w:cs="Times New Roman"/>
              </w:rPr>
            </w:pPr>
          </w:p>
        </w:tc>
      </w:tr>
      <w:tr w:rsidR="009C79FF" w:rsidRPr="00821167" w14:paraId="616BD0B3" w14:textId="77777777" w:rsidTr="00BA133C">
        <w:trPr>
          <w:trHeight w:val="305"/>
        </w:trPr>
        <w:tc>
          <w:tcPr>
            <w:tcW w:w="1843" w:type="dxa"/>
            <w:shd w:val="clear" w:color="auto" w:fill="auto"/>
            <w:noWrap/>
            <w:vAlign w:val="center"/>
          </w:tcPr>
          <w:p w14:paraId="663B0B41" w14:textId="77777777" w:rsidR="009C79FF" w:rsidRPr="00821167" w:rsidRDefault="009C79FF" w:rsidP="00BA133C">
            <w:pPr>
              <w:jc w:val="center"/>
              <w:rPr>
                <w:rFonts w:cs="Times New Roman"/>
              </w:rPr>
            </w:pPr>
            <w:r w:rsidRPr="00821167">
              <w:rPr>
                <w:rFonts w:cs="Times New Roman"/>
              </w:rPr>
              <w:t xml:space="preserve">20 </w:t>
            </w:r>
            <w:proofErr w:type="spellStart"/>
            <w:r>
              <w:rPr>
                <w:rFonts w:cs="Times New Roman"/>
              </w:rPr>
              <w:t>nt</w:t>
            </w:r>
            <w:proofErr w:type="spellEnd"/>
            <w:r w:rsidRPr="00821167">
              <w:rPr>
                <w:rFonts w:cs="Times New Roman"/>
              </w:rPr>
              <w:t xml:space="preserve"> region</w:t>
            </w:r>
          </w:p>
        </w:tc>
        <w:tc>
          <w:tcPr>
            <w:tcW w:w="5405" w:type="dxa"/>
            <w:shd w:val="clear" w:color="auto" w:fill="auto"/>
            <w:noWrap/>
            <w:vAlign w:val="center"/>
          </w:tcPr>
          <w:p w14:paraId="022BB15B" w14:textId="77777777" w:rsidR="009C79FF" w:rsidRPr="00821167" w:rsidRDefault="009C79FF" w:rsidP="00BA133C">
            <w:pPr>
              <w:jc w:val="center"/>
              <w:rPr>
                <w:rFonts w:cs="Times New Roman"/>
              </w:rPr>
            </w:pPr>
            <w:proofErr w:type="spellStart"/>
            <w:r w:rsidRPr="00821167">
              <w:rPr>
                <w:rFonts w:cs="Times New Roman"/>
              </w:rPr>
              <w:t>ccgccgggcgcaccaacctg</w:t>
            </w:r>
            <w:r w:rsidRPr="00821167">
              <w:rPr>
                <w:rFonts w:cs="Times New Roman"/>
                <w:b/>
                <w:u w:val="single"/>
              </w:rPr>
              <w:t>TGG</w:t>
            </w:r>
            <w:proofErr w:type="spellEnd"/>
            <w:r w:rsidRPr="00821167">
              <w:rPr>
                <w:rFonts w:cs="Times New Roman"/>
                <w:b/>
                <w:u w:val="single"/>
              </w:rPr>
              <w:t xml:space="preserve"> </w:t>
            </w:r>
            <w:r>
              <w:rPr>
                <w:rFonts w:cs="Times New Roman"/>
              </w:rPr>
              <w:t>(PAM region shown in bold</w:t>
            </w:r>
            <w:r w:rsidRPr="00821167">
              <w:rPr>
                <w:rFonts w:cs="Times New Roman"/>
              </w:rPr>
              <w:t xml:space="preserve"> </w:t>
            </w:r>
            <w:r>
              <w:rPr>
                <w:rFonts w:cs="Times New Roman"/>
              </w:rPr>
              <w:t>n</w:t>
            </w:r>
            <w:r w:rsidRPr="00821167">
              <w:rPr>
                <w:rFonts w:cs="Times New Roman"/>
              </w:rPr>
              <w:t>ot included in gRNA sca</w:t>
            </w:r>
            <w:r>
              <w:rPr>
                <w:rFonts w:cs="Times New Roman"/>
              </w:rPr>
              <w:t>f</w:t>
            </w:r>
            <w:r w:rsidRPr="00821167">
              <w:rPr>
                <w:rFonts w:cs="Times New Roman"/>
              </w:rPr>
              <w:t>fold)</w:t>
            </w:r>
          </w:p>
        </w:tc>
        <w:tc>
          <w:tcPr>
            <w:tcW w:w="1768" w:type="dxa"/>
            <w:vAlign w:val="center"/>
          </w:tcPr>
          <w:p w14:paraId="613FA362" w14:textId="77777777" w:rsidR="009C79FF" w:rsidRPr="00821167" w:rsidRDefault="009C79FF" w:rsidP="00BA133C">
            <w:pPr>
              <w:jc w:val="center"/>
              <w:rPr>
                <w:rFonts w:cs="Times New Roman"/>
              </w:rPr>
            </w:pPr>
          </w:p>
        </w:tc>
      </w:tr>
    </w:tbl>
    <w:p w14:paraId="00325BAB" w14:textId="77777777" w:rsidR="009C79FF" w:rsidRDefault="009C79FF" w:rsidP="009C79FF">
      <w:pPr>
        <w:spacing w:line="480" w:lineRule="auto"/>
        <w:rPr>
          <w:b/>
          <w:noProof/>
          <w:lang w:eastAsia="en-AU"/>
        </w:rPr>
      </w:pPr>
    </w:p>
    <w:p w14:paraId="26F34D2B" w14:textId="77777777" w:rsidR="009C79FF" w:rsidRDefault="009C79FF" w:rsidP="009C79FF">
      <w:pPr>
        <w:spacing w:line="480" w:lineRule="auto"/>
        <w:rPr>
          <w:b/>
          <w:noProof/>
          <w:lang w:eastAsia="en-AU"/>
        </w:rPr>
      </w:pPr>
    </w:p>
    <w:p w14:paraId="5EE43E3E" w14:textId="77777777" w:rsidR="009C79FF" w:rsidRDefault="009C79FF" w:rsidP="009C79FF">
      <w:pPr>
        <w:spacing w:line="480" w:lineRule="auto"/>
        <w:rPr>
          <w:b/>
          <w:noProof/>
          <w:lang w:eastAsia="en-AU"/>
        </w:rPr>
      </w:pPr>
    </w:p>
    <w:p w14:paraId="7534ADA8" w14:textId="77777777" w:rsidR="009C79FF" w:rsidRDefault="009C79FF" w:rsidP="009C79FF">
      <w:pPr>
        <w:spacing w:line="480" w:lineRule="auto"/>
        <w:rPr>
          <w:b/>
          <w:noProof/>
          <w:lang w:eastAsia="en-AU"/>
        </w:rPr>
      </w:pPr>
    </w:p>
    <w:p w14:paraId="00F6FDC5" w14:textId="77777777" w:rsidR="009C79FF" w:rsidRDefault="009C79FF" w:rsidP="009C79FF">
      <w:pPr>
        <w:spacing w:line="480" w:lineRule="auto"/>
        <w:rPr>
          <w:b/>
          <w:noProof/>
          <w:lang w:eastAsia="en-AU"/>
        </w:rPr>
      </w:pPr>
    </w:p>
    <w:p w14:paraId="1E722C3C" w14:textId="77777777" w:rsidR="009C79FF" w:rsidRDefault="009C79FF" w:rsidP="009C79FF">
      <w:pPr>
        <w:spacing w:line="480" w:lineRule="auto"/>
        <w:rPr>
          <w:b/>
          <w:noProof/>
          <w:lang w:eastAsia="en-AU"/>
        </w:rPr>
      </w:pPr>
    </w:p>
    <w:p w14:paraId="738B368A" w14:textId="77777777" w:rsidR="009C79FF" w:rsidRDefault="009C79FF"/>
    <w:sectPr w:rsidR="009C79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9FF"/>
    <w:rsid w:val="009C79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EDEF5"/>
  <w15:chartTrackingRefBased/>
  <w15:docId w15:val="{AC041FE5-72E8-4D52-A6B6-33223DE09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79FF"/>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79FF"/>
    <w:pPr>
      <w:ind w:left="720"/>
      <w:contextualSpacing/>
    </w:pPr>
  </w:style>
  <w:style w:type="table" w:styleId="TableGrid">
    <w:name w:val="Table Grid"/>
    <w:basedOn w:val="TableNormal"/>
    <w:uiPriority w:val="39"/>
    <w:rsid w:val="009C79FF"/>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7595</Words>
  <Characters>43298</Characters>
  <Application>Microsoft Office Word</Application>
  <DocSecurity>0</DocSecurity>
  <Lines>360</Lines>
  <Paragraphs>101</Paragraphs>
  <ScaleCrop>false</ScaleCrop>
  <Company/>
  <LinksUpToDate>false</LinksUpToDate>
  <CharactersWithSpaces>50792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Brewin</dc:creator>
  <cp:keywords/>
  <dc:description/>
  <cp:lastModifiedBy>Mark Brewin</cp:lastModifiedBy>
  <cp:revision>1</cp:revision>
  <dcterms:created xsi:type="dcterms:W3CDTF">2020-03-13T13:13:00Z</dcterms:created>
  <dcterms:modified xsi:type="dcterms:W3CDTF">2020-03-13T13:13:00Z</dcterms:modified>
</cp:coreProperties>
</file>