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24E5B" w14:textId="77777777" w:rsidR="00443E1F" w:rsidRDefault="00443E1F" w:rsidP="00443E1F">
      <w:pPr>
        <w:spacing w:line="480" w:lineRule="auto"/>
        <w:jc w:val="center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  <w:r w:rsidRPr="00CE037F">
        <w:rPr>
          <w:noProof/>
        </w:rPr>
        <w:drawing>
          <wp:inline distT="0" distB="0" distL="0" distR="0" wp14:anchorId="3E420542" wp14:editId="05D09DA8">
            <wp:extent cx="4752920" cy="4327071"/>
            <wp:effectExtent l="0" t="0" r="0" b="0"/>
            <wp:docPr id="8" name="图片 8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iagram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891" cy="436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9EB87" w14:textId="1DB4DAFE" w:rsidR="001C4012" w:rsidRDefault="00443E1F" w:rsidP="00443E1F">
      <w:r w:rsidRPr="00FE51FD">
        <w:rPr>
          <w:rFonts w:ascii="Calibri" w:hAnsi="Calibri" w:cs="Calibri"/>
          <w:b/>
          <w:bCs/>
          <w:color w:val="000000" w:themeColor="text1"/>
          <w:sz w:val="24"/>
          <w:szCs w:val="24"/>
          <w:lang w:val="de-DE"/>
        </w:rPr>
        <w:t>Scheme 1</w:t>
      </w:r>
      <w:r w:rsidRPr="00FE51FD">
        <w:rPr>
          <w:rFonts w:ascii="Calibri" w:hAnsi="Calibri" w:cs="Calibri"/>
          <w:color w:val="000000" w:themeColor="text1"/>
          <w:sz w:val="24"/>
          <w:szCs w:val="24"/>
          <w:lang w:val="de-DE"/>
        </w:rPr>
        <w:t>. Strategy for designing visible-light-activated thiol-click ligation. (a) Photocage-based thiols release with photo-removable protecting groups (PPG) as a waste during the ligation. (b) Illustration of a “wasteless”, green-light-triggered (λ = 530-560 nm) thiol release via perylene bisimides triggers (</w:t>
      </w:r>
      <w:r w:rsidRPr="00FE51FD">
        <w:rPr>
          <w:rFonts w:ascii="Calibri" w:hAnsi="Calibri" w:cs="Calibri"/>
          <w:b/>
          <w:bCs/>
          <w:color w:val="000000" w:themeColor="text1"/>
          <w:sz w:val="24"/>
          <w:szCs w:val="24"/>
          <w:lang w:val="de-DE"/>
        </w:rPr>
        <w:t>PBI-1a</w:t>
      </w:r>
      <w:r w:rsidRPr="00FE51FD">
        <w:rPr>
          <w:rFonts w:ascii="Calibri" w:hAnsi="Calibri" w:cs="Calibri"/>
          <w:color w:val="000000" w:themeColor="text1"/>
          <w:sz w:val="24"/>
          <w:szCs w:val="24"/>
          <w:lang w:val="de-DE"/>
        </w:rPr>
        <w:t xml:space="preserve">, </w:t>
      </w:r>
      <w:r w:rsidRPr="00FE51FD">
        <w:rPr>
          <w:rFonts w:ascii="Calibri" w:hAnsi="Calibri" w:cs="Calibri"/>
          <w:b/>
          <w:bCs/>
          <w:color w:val="000000" w:themeColor="text1"/>
          <w:sz w:val="24"/>
          <w:szCs w:val="24"/>
          <w:lang w:val="de-DE"/>
        </w:rPr>
        <w:t>2a</w:t>
      </w:r>
      <w:r w:rsidRPr="00FE51FD">
        <w:rPr>
          <w:rFonts w:ascii="Calibri" w:hAnsi="Calibri" w:cs="Calibri"/>
          <w:color w:val="000000" w:themeColor="text1"/>
          <w:sz w:val="24"/>
          <w:szCs w:val="24"/>
          <w:lang w:val="de-DE"/>
        </w:rPr>
        <w:t>) and the corresponding overall photoreaction processes based on photo-cyclization and rearrangement.</w:t>
      </w:r>
    </w:p>
    <w:sectPr w:rsidR="001C4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E1F"/>
    <w:rsid w:val="001C4012"/>
    <w:rsid w:val="0044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68C8F"/>
  <w15:chartTrackingRefBased/>
  <w15:docId w15:val="{5DFB890F-BC81-45FD-A4B6-A5C6182E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E1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2022-06-09T15:10:00Z</dcterms:created>
  <dcterms:modified xsi:type="dcterms:W3CDTF">2022-06-09T15:10:00Z</dcterms:modified>
</cp:coreProperties>
</file>