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E2D" w:rsidRDefault="00194E2D" w:rsidP="00194E2D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Supplementary </w:t>
      </w:r>
      <w:r w:rsidRPr="007E1134">
        <w:rPr>
          <w:rFonts w:ascii="Arial" w:hAnsi="Arial" w:cs="Arial"/>
          <w:sz w:val="24"/>
          <w:szCs w:val="24"/>
        </w:rPr>
        <w:t xml:space="preserve">Table 2. </w:t>
      </w:r>
      <w:r>
        <w:rPr>
          <w:rFonts w:ascii="Arial" w:hAnsi="Arial" w:cs="Arial" w:hint="eastAsia"/>
          <w:sz w:val="24"/>
          <w:szCs w:val="24"/>
        </w:rPr>
        <w:t>Cumulative p</w:t>
      </w:r>
      <w:r w:rsidRPr="007E1134">
        <w:rPr>
          <w:rFonts w:ascii="Arial" w:hAnsi="Arial" w:cs="Arial"/>
          <w:sz w:val="24"/>
          <w:szCs w:val="24"/>
        </w:rPr>
        <w:t>rostate cancer</w:t>
      </w:r>
      <w:r>
        <w:rPr>
          <w:rFonts w:ascii="Arial" w:hAnsi="Arial" w:cs="Arial"/>
          <w:sz w:val="24"/>
          <w:szCs w:val="24"/>
        </w:rPr>
        <w:t>-specific</w:t>
      </w:r>
      <w:r w:rsidRPr="007E1134">
        <w:rPr>
          <w:rFonts w:ascii="Arial" w:hAnsi="Arial" w:cs="Arial"/>
          <w:sz w:val="24"/>
          <w:szCs w:val="24"/>
        </w:rPr>
        <w:t xml:space="preserve"> and all-cause mortality according to initial treatment</w:t>
      </w:r>
      <w:r>
        <w:rPr>
          <w:rFonts w:ascii="Arial" w:hAnsi="Arial" w:cs="Arial" w:hint="eastAsia"/>
          <w:sz w:val="24"/>
          <w:szCs w:val="24"/>
        </w:rPr>
        <w:t>s</w:t>
      </w:r>
    </w:p>
    <w:tbl>
      <w:tblPr>
        <w:tblStyle w:val="a3"/>
        <w:tblpPr w:leftFromText="142" w:rightFromText="142" w:vertAnchor="page" w:horzAnchor="margin" w:tblpX="-352" w:tblpY="2301"/>
        <w:tblW w:w="1352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6"/>
        <w:gridCol w:w="2201"/>
        <w:gridCol w:w="2167"/>
        <w:gridCol w:w="2102"/>
        <w:gridCol w:w="1112"/>
      </w:tblGrid>
      <w:tr w:rsidR="00194E2D" w:rsidTr="00052551">
        <w:trPr>
          <w:trHeight w:val="416"/>
        </w:trPr>
        <w:tc>
          <w:tcPr>
            <w:tcW w:w="5946" w:type="dxa"/>
            <w:tcBorders>
              <w:top w:val="single" w:sz="8" w:space="0" w:color="auto"/>
              <w:bottom w:val="single" w:sz="8" w:space="0" w:color="auto"/>
            </w:tcBorders>
          </w:tcPr>
          <w:p w:rsidR="00194E2D" w:rsidRPr="00524832" w:rsidRDefault="00194E2D" w:rsidP="00052551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22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94E2D" w:rsidRPr="00A34CF6" w:rsidRDefault="00194E2D" w:rsidP="00052551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34CF6">
              <w:rPr>
                <w:rFonts w:ascii="Arial" w:hAnsi="Arial" w:cs="Arial"/>
                <w:b/>
                <w:sz w:val="24"/>
              </w:rPr>
              <w:t>Observation</w:t>
            </w:r>
          </w:p>
        </w:tc>
        <w:tc>
          <w:tcPr>
            <w:tcW w:w="21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94E2D" w:rsidRPr="00A34CF6" w:rsidRDefault="00194E2D" w:rsidP="00052551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34CF6">
              <w:rPr>
                <w:rFonts w:ascii="Arial" w:hAnsi="Arial" w:cs="Arial"/>
                <w:b/>
                <w:sz w:val="24"/>
              </w:rPr>
              <w:t>Radi</w:t>
            </w:r>
            <w:r>
              <w:rPr>
                <w:rFonts w:ascii="Arial" w:hAnsi="Arial" w:cs="Arial"/>
                <w:b/>
                <w:sz w:val="24"/>
              </w:rPr>
              <w:t>otherapy</w:t>
            </w:r>
          </w:p>
        </w:tc>
        <w:tc>
          <w:tcPr>
            <w:tcW w:w="21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94E2D" w:rsidRPr="00A34CF6" w:rsidRDefault="00194E2D" w:rsidP="00052551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34CF6">
              <w:rPr>
                <w:rFonts w:ascii="Arial" w:hAnsi="Arial" w:cs="Arial"/>
                <w:b/>
                <w:sz w:val="24"/>
              </w:rPr>
              <w:t>Radical prostatectomy</w:t>
            </w:r>
          </w:p>
        </w:tc>
        <w:tc>
          <w:tcPr>
            <w:tcW w:w="11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94E2D" w:rsidRPr="00A34CF6" w:rsidRDefault="00194E2D" w:rsidP="00052551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34CF6">
              <w:rPr>
                <w:rFonts w:ascii="Arial" w:hAnsi="Arial" w:cs="Arial"/>
                <w:b/>
                <w:i/>
                <w:sz w:val="24"/>
              </w:rPr>
              <w:t>P</w:t>
            </w:r>
            <w:r w:rsidRPr="00A34CF6">
              <w:rPr>
                <w:rFonts w:ascii="Arial" w:hAnsi="Arial" w:cs="Arial"/>
                <w:b/>
                <w:sz w:val="24"/>
              </w:rPr>
              <w:t>-value</w:t>
            </w:r>
            <w:r w:rsidRPr="00A34CF6">
              <w:rPr>
                <w:rFonts w:ascii="Arial" w:hAnsi="Arial" w:cs="Arial" w:hint="eastAsia"/>
                <w:b/>
                <w:sz w:val="24"/>
              </w:rPr>
              <w:t>*</w:t>
            </w:r>
          </w:p>
        </w:tc>
      </w:tr>
      <w:tr w:rsidR="00194E2D" w:rsidTr="00052551">
        <w:trPr>
          <w:trHeight w:val="371"/>
        </w:trPr>
        <w:tc>
          <w:tcPr>
            <w:tcW w:w="5946" w:type="dxa"/>
            <w:tcBorders>
              <w:top w:val="single" w:sz="8" w:space="0" w:color="auto"/>
            </w:tcBorders>
          </w:tcPr>
          <w:p w:rsidR="00194E2D" w:rsidRPr="007E1134" w:rsidRDefault="00194E2D" w:rsidP="00052551">
            <w:pPr>
              <w:spacing w:line="360" w:lineRule="auto"/>
              <w:rPr>
                <w:rFonts w:ascii="Arial" w:hAnsi="Arial" w:cs="Arial"/>
                <w:b/>
                <w:sz w:val="24"/>
              </w:rPr>
            </w:pPr>
            <w:r w:rsidRPr="007E1134">
              <w:rPr>
                <w:rFonts w:ascii="Arial" w:hAnsi="Arial" w:cs="Arial"/>
                <w:b/>
                <w:sz w:val="24"/>
              </w:rPr>
              <w:t>Unadjusted</w:t>
            </w:r>
          </w:p>
        </w:tc>
        <w:tc>
          <w:tcPr>
            <w:tcW w:w="2201" w:type="dxa"/>
            <w:tcBorders>
              <w:top w:val="single" w:sz="8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167" w:type="dxa"/>
            <w:tcBorders>
              <w:top w:val="single" w:sz="8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102" w:type="dxa"/>
            <w:tcBorders>
              <w:top w:val="single" w:sz="8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112" w:type="dxa"/>
            <w:tcBorders>
              <w:top w:val="single" w:sz="8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94E2D" w:rsidTr="00052551">
        <w:trPr>
          <w:trHeight w:val="330"/>
        </w:trPr>
        <w:tc>
          <w:tcPr>
            <w:tcW w:w="5946" w:type="dxa"/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Total person-yr in follow-up</w:t>
            </w:r>
          </w:p>
        </w:tc>
        <w:tc>
          <w:tcPr>
            <w:tcW w:w="2201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68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475</w:t>
            </w:r>
          </w:p>
        </w:tc>
        <w:tc>
          <w:tcPr>
            <w:tcW w:w="2167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228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766</w:t>
            </w:r>
          </w:p>
        </w:tc>
        <w:tc>
          <w:tcPr>
            <w:tcW w:w="210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258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37</w:t>
            </w:r>
            <w:r>
              <w:rPr>
                <w:rFonts w:ascii="Arial" w:hAnsi="Arial" w:cs="Arial" w:hint="eastAsia"/>
                <w:sz w:val="24"/>
              </w:rPr>
              <w:t>1</w:t>
            </w:r>
          </w:p>
        </w:tc>
        <w:tc>
          <w:tcPr>
            <w:tcW w:w="111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94E2D" w:rsidTr="00052551">
        <w:trPr>
          <w:trHeight w:val="371"/>
        </w:trPr>
        <w:tc>
          <w:tcPr>
            <w:tcW w:w="5946" w:type="dxa"/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No. of death due to prostate cancer</w:t>
            </w:r>
          </w:p>
        </w:tc>
        <w:tc>
          <w:tcPr>
            <w:tcW w:w="2201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52</w:t>
            </w:r>
          </w:p>
        </w:tc>
        <w:tc>
          <w:tcPr>
            <w:tcW w:w="2167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447</w:t>
            </w:r>
          </w:p>
        </w:tc>
        <w:tc>
          <w:tcPr>
            <w:tcW w:w="210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159</w:t>
            </w:r>
          </w:p>
        </w:tc>
        <w:tc>
          <w:tcPr>
            <w:tcW w:w="111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94E2D" w:rsidTr="00052551">
        <w:trPr>
          <w:trHeight w:val="360"/>
        </w:trPr>
        <w:tc>
          <w:tcPr>
            <w:tcW w:w="5946" w:type="dxa"/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Prostate cancer deaths per 1000 person-yr (95% CI)</w:t>
            </w:r>
          </w:p>
        </w:tc>
        <w:tc>
          <w:tcPr>
            <w:tcW w:w="2201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0.8 (0.6 – 1.0)</w:t>
            </w:r>
          </w:p>
        </w:tc>
        <w:tc>
          <w:tcPr>
            <w:tcW w:w="2167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2.0 (1.8 – 2.1)</w:t>
            </w:r>
          </w:p>
        </w:tc>
        <w:tc>
          <w:tcPr>
            <w:tcW w:w="210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0.6 (0.5 – 0.7)</w:t>
            </w:r>
          </w:p>
        </w:tc>
        <w:tc>
          <w:tcPr>
            <w:tcW w:w="111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&lt;.001</w:t>
            </w:r>
          </w:p>
        </w:tc>
      </w:tr>
      <w:tr w:rsidR="00194E2D" w:rsidTr="00052551">
        <w:trPr>
          <w:trHeight w:val="371"/>
        </w:trPr>
        <w:tc>
          <w:tcPr>
            <w:tcW w:w="5946" w:type="dxa"/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No. of deaths due to any cause</w:t>
            </w:r>
          </w:p>
        </w:tc>
        <w:tc>
          <w:tcPr>
            <w:tcW w:w="2201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851</w:t>
            </w:r>
          </w:p>
        </w:tc>
        <w:tc>
          <w:tcPr>
            <w:tcW w:w="2167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3995</w:t>
            </w:r>
          </w:p>
        </w:tc>
        <w:tc>
          <w:tcPr>
            <w:tcW w:w="210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1680</w:t>
            </w:r>
          </w:p>
        </w:tc>
        <w:tc>
          <w:tcPr>
            <w:tcW w:w="111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94E2D" w:rsidTr="00052551">
        <w:trPr>
          <w:trHeight w:val="360"/>
        </w:trPr>
        <w:tc>
          <w:tcPr>
            <w:tcW w:w="5946" w:type="dxa"/>
            <w:tcBorders>
              <w:bottom w:val="single" w:sz="4" w:space="0" w:color="auto"/>
            </w:tcBorders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All</w:t>
            </w:r>
            <w:r>
              <w:rPr>
                <w:rFonts w:ascii="Arial" w:hAnsi="Arial" w:cs="Arial" w:hint="eastAsia"/>
                <w:sz w:val="24"/>
              </w:rPr>
              <w:t>-</w:t>
            </w:r>
            <w:r w:rsidRPr="00524832">
              <w:rPr>
                <w:rFonts w:ascii="Arial" w:hAnsi="Arial" w:cs="Arial"/>
                <w:sz w:val="24"/>
              </w:rPr>
              <w:t>cause deaths per 1000 person-yr (95% CI)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12.4 (11.6</w:t>
            </w:r>
            <w:r>
              <w:rPr>
                <w:rFonts w:ascii="Arial" w:hAnsi="Arial" w:cs="Arial" w:hint="eastAsia"/>
                <w:sz w:val="24"/>
              </w:rPr>
              <w:t xml:space="preserve"> </w:t>
            </w:r>
            <w:r w:rsidRPr="002C2DBB">
              <w:rPr>
                <w:rFonts w:ascii="Arial" w:hAnsi="Arial" w:cs="Arial"/>
                <w:sz w:val="24"/>
              </w:rPr>
              <w:t>–</w:t>
            </w:r>
            <w:r>
              <w:rPr>
                <w:rFonts w:ascii="Arial" w:hAnsi="Arial" w:cs="Arial" w:hint="eastAsia"/>
                <w:sz w:val="24"/>
              </w:rPr>
              <w:t xml:space="preserve"> </w:t>
            </w:r>
            <w:r w:rsidRPr="002C2DBB">
              <w:rPr>
                <w:rFonts w:ascii="Arial" w:hAnsi="Arial" w:cs="Arial"/>
                <w:sz w:val="24"/>
              </w:rPr>
              <w:t>13.3)</w:t>
            </w:r>
          </w:p>
        </w:tc>
        <w:tc>
          <w:tcPr>
            <w:tcW w:w="2167" w:type="dxa"/>
            <w:tcBorders>
              <w:bottom w:val="single" w:sz="4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17.5 (16.9</w:t>
            </w:r>
            <w:r>
              <w:rPr>
                <w:rFonts w:ascii="Arial" w:hAnsi="Arial" w:cs="Arial" w:hint="eastAsia"/>
                <w:sz w:val="24"/>
              </w:rPr>
              <w:t xml:space="preserve"> </w:t>
            </w:r>
            <w:r w:rsidRPr="002C2DBB">
              <w:rPr>
                <w:rFonts w:ascii="Arial" w:hAnsi="Arial" w:cs="Arial"/>
                <w:sz w:val="24"/>
              </w:rPr>
              <w:t>–</w:t>
            </w:r>
            <w:r>
              <w:rPr>
                <w:rFonts w:ascii="Arial" w:hAnsi="Arial" w:cs="Arial" w:hint="eastAsia"/>
                <w:sz w:val="24"/>
              </w:rPr>
              <w:t xml:space="preserve"> </w:t>
            </w:r>
            <w:r w:rsidRPr="002C2DBB">
              <w:rPr>
                <w:rFonts w:ascii="Arial" w:hAnsi="Arial" w:cs="Arial"/>
                <w:sz w:val="24"/>
              </w:rPr>
              <w:t>18.0)</w:t>
            </w:r>
          </w:p>
        </w:tc>
        <w:tc>
          <w:tcPr>
            <w:tcW w:w="2102" w:type="dxa"/>
            <w:tcBorders>
              <w:bottom w:val="single" w:sz="4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6.5 (6.2</w:t>
            </w:r>
            <w:r>
              <w:rPr>
                <w:rFonts w:ascii="Arial" w:hAnsi="Arial" w:cs="Arial" w:hint="eastAsia"/>
                <w:sz w:val="24"/>
              </w:rPr>
              <w:t xml:space="preserve"> </w:t>
            </w:r>
            <w:r w:rsidRPr="002C2DBB">
              <w:rPr>
                <w:rFonts w:ascii="Arial" w:hAnsi="Arial" w:cs="Arial"/>
                <w:sz w:val="24"/>
              </w:rPr>
              <w:t>–</w:t>
            </w:r>
            <w:r>
              <w:rPr>
                <w:rFonts w:ascii="Arial" w:hAnsi="Arial" w:cs="Arial" w:hint="eastAsia"/>
                <w:sz w:val="24"/>
              </w:rPr>
              <w:t xml:space="preserve"> </w:t>
            </w:r>
            <w:r w:rsidRPr="002C2DBB">
              <w:rPr>
                <w:rFonts w:ascii="Arial" w:hAnsi="Arial" w:cs="Arial"/>
                <w:sz w:val="24"/>
              </w:rPr>
              <w:t>6.8)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&lt;.001</w:t>
            </w:r>
          </w:p>
        </w:tc>
      </w:tr>
      <w:tr w:rsidR="00194E2D" w:rsidTr="00052551">
        <w:trPr>
          <w:trHeight w:val="360"/>
        </w:trPr>
        <w:tc>
          <w:tcPr>
            <w:tcW w:w="5946" w:type="dxa"/>
            <w:tcBorders>
              <w:top w:val="single" w:sz="4" w:space="0" w:color="auto"/>
              <w:bottom w:val="nil"/>
            </w:tcBorders>
          </w:tcPr>
          <w:p w:rsidR="00194E2D" w:rsidRPr="007E1134" w:rsidRDefault="00194E2D" w:rsidP="00052551">
            <w:pPr>
              <w:spacing w:line="360" w:lineRule="auto"/>
              <w:rPr>
                <w:rFonts w:ascii="Arial" w:hAnsi="Arial" w:cs="Arial"/>
                <w:b/>
                <w:sz w:val="24"/>
              </w:rPr>
            </w:pPr>
            <w:r w:rsidRPr="007E1134">
              <w:rPr>
                <w:rFonts w:ascii="Arial" w:hAnsi="Arial" w:cs="Arial" w:hint="eastAsia"/>
                <w:b/>
                <w:sz w:val="24"/>
              </w:rPr>
              <w:t>IPTW-</w:t>
            </w:r>
            <w:r w:rsidRPr="007E1134">
              <w:rPr>
                <w:rFonts w:ascii="Arial" w:hAnsi="Arial" w:cs="Arial"/>
                <w:b/>
                <w:sz w:val="24"/>
              </w:rPr>
              <w:t>adjusted</w:t>
            </w:r>
          </w:p>
        </w:tc>
        <w:tc>
          <w:tcPr>
            <w:tcW w:w="2201" w:type="dxa"/>
            <w:tcBorders>
              <w:top w:val="single" w:sz="4" w:space="0" w:color="auto"/>
              <w:bottom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167" w:type="dxa"/>
            <w:tcBorders>
              <w:top w:val="single" w:sz="4" w:space="0" w:color="auto"/>
              <w:bottom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bottom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auto"/>
              <w:bottom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94E2D" w:rsidTr="00052551">
        <w:trPr>
          <w:trHeight w:val="360"/>
        </w:trPr>
        <w:tc>
          <w:tcPr>
            <w:tcW w:w="5946" w:type="dxa"/>
            <w:tcBorders>
              <w:top w:val="nil"/>
            </w:tcBorders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Total person-yr in follow-up</w:t>
            </w:r>
          </w:p>
        </w:tc>
        <w:tc>
          <w:tcPr>
            <w:tcW w:w="2201" w:type="dxa"/>
            <w:tcBorders>
              <w:top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466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169</w:t>
            </w:r>
          </w:p>
        </w:tc>
        <w:tc>
          <w:tcPr>
            <w:tcW w:w="2167" w:type="dxa"/>
            <w:tcBorders>
              <w:top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690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541</w:t>
            </w:r>
          </w:p>
        </w:tc>
        <w:tc>
          <w:tcPr>
            <w:tcW w:w="2102" w:type="dxa"/>
            <w:tcBorders>
              <w:top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674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838</w:t>
            </w:r>
          </w:p>
        </w:tc>
        <w:tc>
          <w:tcPr>
            <w:tcW w:w="1112" w:type="dxa"/>
            <w:tcBorders>
              <w:top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94E2D" w:rsidTr="00052551">
        <w:trPr>
          <w:trHeight w:val="360"/>
        </w:trPr>
        <w:tc>
          <w:tcPr>
            <w:tcW w:w="5946" w:type="dxa"/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No. of death due to prostate cancer</w:t>
            </w:r>
          </w:p>
        </w:tc>
        <w:tc>
          <w:tcPr>
            <w:tcW w:w="2201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998</w:t>
            </w:r>
          </w:p>
        </w:tc>
        <w:tc>
          <w:tcPr>
            <w:tcW w:w="2167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3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161</w:t>
            </w:r>
          </w:p>
        </w:tc>
        <w:tc>
          <w:tcPr>
            <w:tcW w:w="210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 w:hint="eastAsia"/>
                <w:sz w:val="24"/>
              </w:rPr>
              <w:t>1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 w:hint="eastAsia"/>
                <w:sz w:val="24"/>
              </w:rPr>
              <w:t>098</w:t>
            </w:r>
          </w:p>
        </w:tc>
        <w:tc>
          <w:tcPr>
            <w:tcW w:w="111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94E2D" w:rsidTr="00052551">
        <w:trPr>
          <w:trHeight w:val="360"/>
        </w:trPr>
        <w:tc>
          <w:tcPr>
            <w:tcW w:w="5946" w:type="dxa"/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Prostate cancer deaths per 1000 person-yr (95% CI)</w:t>
            </w:r>
          </w:p>
        </w:tc>
        <w:tc>
          <w:tcPr>
            <w:tcW w:w="2201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0.7 (0.6 – 0.7)</w:t>
            </w:r>
          </w:p>
        </w:tc>
        <w:tc>
          <w:tcPr>
            <w:tcW w:w="2167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1.9 (1.</w:t>
            </w:r>
            <w:r w:rsidRPr="002C2DBB">
              <w:rPr>
                <w:rFonts w:ascii="Arial" w:hAnsi="Arial" w:cs="Arial" w:hint="eastAsia"/>
                <w:sz w:val="24"/>
              </w:rPr>
              <w:t>8</w:t>
            </w:r>
            <w:r w:rsidRPr="002C2DBB">
              <w:rPr>
                <w:rFonts w:ascii="Arial" w:hAnsi="Arial" w:cs="Arial"/>
                <w:sz w:val="24"/>
              </w:rPr>
              <w:t xml:space="preserve"> – 1.9)</w:t>
            </w:r>
          </w:p>
        </w:tc>
        <w:tc>
          <w:tcPr>
            <w:tcW w:w="210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0.7 (0.6 – 0.</w:t>
            </w:r>
            <w:r w:rsidRPr="002C2DBB">
              <w:rPr>
                <w:rFonts w:ascii="Arial" w:hAnsi="Arial" w:cs="Arial" w:hint="eastAsia"/>
                <w:sz w:val="24"/>
              </w:rPr>
              <w:t>7</w:t>
            </w:r>
            <w:r w:rsidRPr="002C2DBB">
              <w:rPr>
                <w:rFonts w:ascii="Arial" w:hAnsi="Arial" w:cs="Arial"/>
                <w:sz w:val="24"/>
              </w:rPr>
              <w:t>)</w:t>
            </w:r>
          </w:p>
        </w:tc>
        <w:tc>
          <w:tcPr>
            <w:tcW w:w="1112" w:type="dxa"/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&lt;.001</w:t>
            </w:r>
          </w:p>
        </w:tc>
      </w:tr>
      <w:tr w:rsidR="00194E2D" w:rsidTr="00052551">
        <w:trPr>
          <w:trHeight w:val="360"/>
        </w:trPr>
        <w:tc>
          <w:tcPr>
            <w:tcW w:w="5946" w:type="dxa"/>
            <w:tcBorders>
              <w:bottom w:val="nil"/>
            </w:tcBorders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No. of deaths due to any cause</w:t>
            </w:r>
          </w:p>
        </w:tc>
        <w:tc>
          <w:tcPr>
            <w:tcW w:w="2201" w:type="dxa"/>
            <w:tcBorders>
              <w:bottom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18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177</w:t>
            </w:r>
          </w:p>
        </w:tc>
        <w:tc>
          <w:tcPr>
            <w:tcW w:w="2167" w:type="dxa"/>
            <w:tcBorders>
              <w:bottom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29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772</w:t>
            </w:r>
          </w:p>
        </w:tc>
        <w:tc>
          <w:tcPr>
            <w:tcW w:w="2102" w:type="dxa"/>
            <w:tcBorders>
              <w:bottom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10</w:t>
            </w:r>
            <w:r>
              <w:rPr>
                <w:rFonts w:ascii="Arial" w:hAnsi="Arial" w:cs="Arial" w:hint="eastAsia"/>
                <w:sz w:val="24"/>
              </w:rPr>
              <w:t>,</w:t>
            </w:r>
            <w:r w:rsidRPr="002C2DBB">
              <w:rPr>
                <w:rFonts w:ascii="Arial" w:hAnsi="Arial" w:cs="Arial"/>
                <w:sz w:val="24"/>
              </w:rPr>
              <w:t>663</w:t>
            </w:r>
          </w:p>
        </w:tc>
        <w:tc>
          <w:tcPr>
            <w:tcW w:w="1112" w:type="dxa"/>
            <w:tcBorders>
              <w:bottom w:val="nil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94E2D" w:rsidTr="00052551">
        <w:trPr>
          <w:trHeight w:val="360"/>
        </w:trPr>
        <w:tc>
          <w:tcPr>
            <w:tcW w:w="5946" w:type="dxa"/>
            <w:tcBorders>
              <w:top w:val="nil"/>
              <w:bottom w:val="single" w:sz="8" w:space="0" w:color="auto"/>
            </w:tcBorders>
          </w:tcPr>
          <w:p w:rsidR="00194E2D" w:rsidRPr="00524832" w:rsidRDefault="00194E2D" w:rsidP="00052551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</w:rPr>
            </w:pPr>
            <w:r w:rsidRPr="00524832">
              <w:rPr>
                <w:rFonts w:ascii="Arial" w:hAnsi="Arial" w:cs="Arial"/>
                <w:sz w:val="24"/>
              </w:rPr>
              <w:t>All</w:t>
            </w:r>
            <w:r>
              <w:rPr>
                <w:rFonts w:ascii="Arial" w:hAnsi="Arial" w:cs="Arial" w:hint="eastAsia"/>
                <w:sz w:val="24"/>
              </w:rPr>
              <w:t>-</w:t>
            </w:r>
            <w:r w:rsidRPr="00524832">
              <w:rPr>
                <w:rFonts w:ascii="Arial" w:hAnsi="Arial" w:cs="Arial"/>
                <w:sz w:val="24"/>
              </w:rPr>
              <w:t>cause deaths per 1000 person-yr (95% CI)</w:t>
            </w:r>
          </w:p>
        </w:tc>
        <w:tc>
          <w:tcPr>
            <w:tcW w:w="2201" w:type="dxa"/>
            <w:tcBorders>
              <w:top w:val="nil"/>
              <w:bottom w:val="single" w:sz="8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12.4 (12.2 – 12.6)</w:t>
            </w:r>
          </w:p>
        </w:tc>
        <w:tc>
          <w:tcPr>
            <w:tcW w:w="2167" w:type="dxa"/>
            <w:tcBorders>
              <w:top w:val="nil"/>
              <w:bottom w:val="single" w:sz="8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17.6 (17.4 – 17</w:t>
            </w:r>
            <w:r w:rsidRPr="002C2DBB">
              <w:rPr>
                <w:rFonts w:ascii="Arial" w:hAnsi="Arial" w:cs="Arial" w:hint="eastAsia"/>
                <w:sz w:val="24"/>
              </w:rPr>
              <w:t>.</w:t>
            </w:r>
            <w:r w:rsidRPr="002C2DBB">
              <w:rPr>
                <w:rFonts w:ascii="Arial" w:hAnsi="Arial" w:cs="Arial"/>
                <w:sz w:val="24"/>
              </w:rPr>
              <w:t>8)</w:t>
            </w:r>
          </w:p>
        </w:tc>
        <w:tc>
          <w:tcPr>
            <w:tcW w:w="2102" w:type="dxa"/>
            <w:tcBorders>
              <w:top w:val="nil"/>
              <w:bottom w:val="single" w:sz="8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2C2DBB">
              <w:rPr>
                <w:rFonts w:ascii="Arial" w:hAnsi="Arial" w:cs="Arial"/>
                <w:sz w:val="24"/>
              </w:rPr>
              <w:t>6.4 (6.</w:t>
            </w:r>
            <w:r w:rsidRPr="002C2DBB">
              <w:rPr>
                <w:rFonts w:ascii="Arial" w:hAnsi="Arial" w:cs="Arial" w:hint="eastAsia"/>
                <w:sz w:val="24"/>
              </w:rPr>
              <w:t>2</w:t>
            </w:r>
            <w:r w:rsidRPr="002C2DBB">
              <w:rPr>
                <w:rFonts w:ascii="Arial" w:hAnsi="Arial" w:cs="Arial"/>
                <w:sz w:val="24"/>
              </w:rPr>
              <w:t xml:space="preserve"> – </w:t>
            </w:r>
            <w:r w:rsidRPr="002C2DBB">
              <w:rPr>
                <w:rFonts w:ascii="Arial" w:hAnsi="Arial" w:cs="Arial" w:hint="eastAsia"/>
                <w:sz w:val="24"/>
              </w:rPr>
              <w:t>6.</w:t>
            </w:r>
            <w:r w:rsidRPr="002C2DBB">
              <w:rPr>
                <w:rFonts w:ascii="Arial" w:hAnsi="Arial" w:cs="Arial"/>
                <w:sz w:val="24"/>
              </w:rPr>
              <w:t>5)</w:t>
            </w:r>
          </w:p>
        </w:tc>
        <w:tc>
          <w:tcPr>
            <w:tcW w:w="1112" w:type="dxa"/>
            <w:tcBorders>
              <w:top w:val="nil"/>
              <w:bottom w:val="single" w:sz="8" w:space="0" w:color="auto"/>
            </w:tcBorders>
            <w:vAlign w:val="center"/>
          </w:tcPr>
          <w:p w:rsidR="00194E2D" w:rsidRPr="00524832" w:rsidRDefault="00194E2D" w:rsidP="00052551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&lt;.001</w:t>
            </w:r>
          </w:p>
        </w:tc>
      </w:tr>
    </w:tbl>
    <w:p w:rsidR="00835983" w:rsidRDefault="00835983" w:rsidP="00194E2D">
      <w:pPr>
        <w:spacing w:line="480" w:lineRule="auto"/>
        <w:rPr>
          <w:rFonts w:ascii="Arial" w:hAnsi="Arial" w:cs="Arial"/>
          <w:sz w:val="24"/>
          <w:szCs w:val="24"/>
        </w:rPr>
      </w:pPr>
    </w:p>
    <w:p w:rsidR="00194E2D" w:rsidRDefault="00194E2D" w:rsidP="00194E2D">
      <w:pPr>
        <w:spacing w:line="480" w:lineRule="auto"/>
        <w:rPr>
          <w:rFonts w:ascii="Arial" w:hAnsi="Arial" w:cs="Arial" w:hint="eastAsia"/>
          <w:sz w:val="24"/>
          <w:szCs w:val="24"/>
        </w:rPr>
        <w:sectPr w:rsidR="00194E2D" w:rsidSect="003F7F53">
          <w:pgSz w:w="15840" w:h="12240" w:orient="landscape"/>
          <w:pgMar w:top="1440" w:right="1440" w:bottom="1440" w:left="1440" w:header="851" w:footer="992" w:gutter="0"/>
          <w:cols w:space="425"/>
          <w:docGrid w:linePitch="360"/>
        </w:sectPr>
      </w:pPr>
      <w:bookmarkStart w:id="0" w:name="_GoBack"/>
      <w:bookmarkEnd w:id="0"/>
      <w:r>
        <w:rPr>
          <w:rFonts w:ascii="Arial" w:hAnsi="Arial" w:cs="Arial" w:hint="eastAsia"/>
          <w:sz w:val="24"/>
          <w:szCs w:val="24"/>
        </w:rPr>
        <w:t xml:space="preserve">* </w:t>
      </w:r>
      <w:r w:rsidRPr="007E1134">
        <w:rPr>
          <w:rFonts w:ascii="Arial" w:hAnsi="Arial" w:cs="Arial" w:hint="eastAsia"/>
          <w:i/>
          <w:sz w:val="24"/>
          <w:szCs w:val="24"/>
        </w:rPr>
        <w:t>P</w:t>
      </w:r>
      <w:r>
        <w:rPr>
          <w:rFonts w:ascii="Arial" w:hAnsi="Arial" w:cs="Arial" w:hint="eastAsia"/>
          <w:sz w:val="24"/>
          <w:szCs w:val="24"/>
        </w:rPr>
        <w:t xml:space="preserve"> values were calculated using log-rank tests across the three treatments.</w:t>
      </w:r>
    </w:p>
    <w:p w:rsidR="00536AE1" w:rsidRPr="00194E2D" w:rsidRDefault="00835983">
      <w:pPr>
        <w:rPr>
          <w:rFonts w:hint="eastAsia"/>
        </w:rPr>
      </w:pPr>
    </w:p>
    <w:sectPr w:rsidR="00536AE1" w:rsidRPr="00194E2D" w:rsidSect="00194E2D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E2D"/>
    <w:rsid w:val="00194E2D"/>
    <w:rsid w:val="005463D1"/>
    <w:rsid w:val="00835983"/>
    <w:rsid w:val="00ED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23AD00-ACAB-497D-B9D7-2EA46DE18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E2D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맑은 고딕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E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2</cp:revision>
  <dcterms:created xsi:type="dcterms:W3CDTF">2022-05-30T13:25:00Z</dcterms:created>
  <dcterms:modified xsi:type="dcterms:W3CDTF">2022-05-30T13:26:00Z</dcterms:modified>
</cp:coreProperties>
</file>