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B06" w:rsidRPr="00036BEA" w:rsidRDefault="00186B06" w:rsidP="00186B06">
      <w:pPr>
        <w:widowControl/>
        <w:wordWrap/>
        <w:autoSpaceDE/>
        <w:autoSpaceDN/>
        <w:spacing w:after="200" w:line="480" w:lineRule="auto"/>
        <w:rPr>
          <w:rFonts w:ascii="Cambria" w:hAnsi="Cambria"/>
          <w:kern w:val="0"/>
          <w:sz w:val="24"/>
          <w:szCs w:val="24"/>
        </w:rPr>
      </w:pPr>
      <w:r>
        <w:rPr>
          <w:rFonts w:ascii="Arial" w:hAnsi="Arial" w:cs="Arial"/>
          <w:sz w:val="24"/>
        </w:rPr>
        <w:t xml:space="preserve">Supplementary </w:t>
      </w:r>
      <w:r w:rsidRPr="00036BEA">
        <w:rPr>
          <w:rFonts w:ascii="Arial" w:hAnsi="Arial" w:cs="Arial" w:hint="eastAsia"/>
          <w:sz w:val="24"/>
        </w:rPr>
        <w:t xml:space="preserve">Table 1. Patient characteristics according to initial </w:t>
      </w:r>
      <w:r w:rsidRPr="00036BEA">
        <w:rPr>
          <w:rFonts w:ascii="Arial" w:hAnsi="Arial" w:cs="Arial"/>
          <w:sz w:val="24"/>
        </w:rPr>
        <w:t>treatments in</w:t>
      </w:r>
      <w:r w:rsidRPr="00036BEA">
        <w:rPr>
          <w:rFonts w:ascii="Arial" w:hAnsi="Arial" w:cs="Arial" w:hint="eastAsia"/>
          <w:sz w:val="24"/>
        </w:rPr>
        <w:t xml:space="preserve"> unweighted cohort (N=176,456)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446"/>
        <w:gridCol w:w="1544"/>
        <w:gridCol w:w="1796"/>
        <w:gridCol w:w="1620"/>
        <w:gridCol w:w="913"/>
      </w:tblGrid>
      <w:tr w:rsidR="00186B06" w:rsidRPr="00036BEA" w:rsidTr="00052551">
        <w:trPr>
          <w:cantSplit/>
          <w:trHeight w:val="391"/>
          <w:tblHeader/>
          <w:jc w:val="center"/>
        </w:trPr>
        <w:tc>
          <w:tcPr>
            <w:tcW w:w="3446" w:type="dxa"/>
            <w:tcBorders>
              <w:top w:val="single" w:sz="16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</w:t>
            </w:r>
          </w:p>
        </w:tc>
        <w:tc>
          <w:tcPr>
            <w:tcW w:w="1544" w:type="dxa"/>
            <w:tcBorders>
              <w:top w:val="single" w:sz="16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spacing w:line="276" w:lineRule="auto"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Observation</w:t>
            </w:r>
          </w:p>
          <w:p w:rsidR="00186B06" w:rsidRPr="00036BEA" w:rsidRDefault="00186B06" w:rsidP="00052551">
            <w:pPr>
              <w:widowControl/>
              <w:wordWrap/>
              <w:autoSpaceDE/>
              <w:autoSpaceDN/>
              <w:spacing w:line="276" w:lineRule="auto"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(N=24,330)</w:t>
            </w:r>
          </w:p>
        </w:tc>
        <w:tc>
          <w:tcPr>
            <w:tcW w:w="1796" w:type="dxa"/>
            <w:tcBorders>
              <w:top w:val="single" w:sz="16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spacing w:line="276" w:lineRule="auto"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Radio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therapy</w:t>
            </w:r>
          </w:p>
          <w:p w:rsidR="00186B06" w:rsidRPr="00036BEA" w:rsidRDefault="00186B06" w:rsidP="00052551">
            <w:pPr>
              <w:widowControl/>
              <w:wordWrap/>
              <w:autoSpaceDE/>
              <w:autoSpaceDN/>
              <w:spacing w:line="276" w:lineRule="auto"/>
              <w:ind w:left="40" w:right="40"/>
              <w:jc w:val="center"/>
              <w:rPr>
                <w:rFonts w:ascii="Cambria" w:hAnsi="Cambria"/>
                <w:kern w:val="0"/>
                <w:sz w:val="24"/>
                <w:szCs w:val="24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(N=71,269)</w:t>
            </w:r>
          </w:p>
        </w:tc>
        <w:tc>
          <w:tcPr>
            <w:tcW w:w="1620" w:type="dxa"/>
            <w:tcBorders>
              <w:top w:val="single" w:sz="16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spacing w:line="276" w:lineRule="auto"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Radical </w:t>
            </w:r>
            <w:r w:rsidRPr="00FD4A57">
              <w:rPr>
                <w:rFonts w:ascii="Arial" w:eastAsia="바탕체" w:hAnsi="Arial" w:cs="Arial"/>
                <w:color w:val="000000"/>
                <w:kern w:val="0"/>
              </w:rPr>
              <w:t>prostatectomy</w:t>
            </w:r>
          </w:p>
          <w:p w:rsidR="00186B06" w:rsidRPr="00036BEA" w:rsidRDefault="00186B06" w:rsidP="00052551">
            <w:pPr>
              <w:widowControl/>
              <w:wordWrap/>
              <w:autoSpaceDE/>
              <w:autoSpaceDN/>
              <w:spacing w:line="276" w:lineRule="auto"/>
              <w:ind w:left="40" w:right="40"/>
              <w:jc w:val="center"/>
              <w:rPr>
                <w:rFonts w:ascii="Cambria" w:hAnsi="Cambria"/>
                <w:kern w:val="0"/>
                <w:sz w:val="24"/>
                <w:szCs w:val="24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(N=80,857)</w:t>
            </w:r>
          </w:p>
        </w:tc>
        <w:tc>
          <w:tcPr>
            <w:tcW w:w="913" w:type="dxa"/>
            <w:tcBorders>
              <w:top w:val="single" w:sz="16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i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i/>
                <w:color w:val="000000"/>
                <w:kern w:val="0"/>
                <w:lang w:eastAsia="en-US"/>
              </w:rPr>
              <w:t>p</w:t>
            </w:r>
          </w:p>
        </w:tc>
      </w:tr>
      <w:tr w:rsidR="00186B06" w:rsidRPr="00036BEA" w:rsidTr="00052551">
        <w:trPr>
          <w:cantSplit/>
          <w:trHeight w:val="391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Age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 years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hAnsi="Cambria"/>
                <w:kern w:val="0"/>
                <w:sz w:val="24"/>
                <w:szCs w:val="24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65.1 ± 6.8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, 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65.0 [60.0;70.0]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hAnsi="Cambria"/>
                <w:kern w:val="0"/>
                <w:sz w:val="24"/>
                <w:szCs w:val="24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67.0 ± 6.8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, 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67.0 [62.0;72.0]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hAnsi="Cambria"/>
                <w:kern w:val="0"/>
                <w:sz w:val="24"/>
                <w:szCs w:val="24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62.2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± 6.3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, 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62.0 [57.0;6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7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.0]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Age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 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group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 years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50-59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5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399 (22.2%)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11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053 (15.5%)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28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690 (35.5%)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60-69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12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327 (50.7%)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32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452 (45.5%)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41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978 (51.9%)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   70-79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6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604 (27.1%)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27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764 (39.0%)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10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189 (12.6%)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Race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White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18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963 (77.9%)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52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791 (74.1%)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65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703 (81.3%)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Black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3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253 (13.4%)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13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464 (18.9%)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10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179 (12.6%)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Others/Unknown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2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114 (8.7%)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5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014 (7.0%)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4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975 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(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6.2%)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Health i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nsurance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Insured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23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007 (94.6%)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65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816 (92.3%)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76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537 (94.7%)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Medicaid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913 (3.8%)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295 (6.0%)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220 (4.0%)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Uninsured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410 (1.7%)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158 (1.6%)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 xml:space="preserve">100 </w:t>
            </w:r>
            <w:r w:rsidRPr="00036BEA">
              <w:rPr>
                <w:rFonts w:ascii="Arial" w:hAnsi="Arial" w:cs="Arial" w:hint="eastAsia"/>
                <w:kern w:val="0"/>
              </w:rPr>
              <w:t>(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1.4%)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Marital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 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status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Married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17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619 (72.4%)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071 (73.1%)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776 (80.1%)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Unmarried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711 (27.6%)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19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198 (26.9%)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16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081 (19.9%)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>SEER registry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Alaska Natives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 (0.0%)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22 (0.0%)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22 (0.0%)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Atlanta (Metropolitan)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790 (3.2%)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3826 (5.4%)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2455 (3.0%)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California excluding SF/SJM/LA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387 (22.1%)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953 (18.2%)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18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010 (22.3%)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Connecticut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389 (5.7%)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253 (4.6%)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122 (5.1%)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Detroit (Metropolitan)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357 (5.6%)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516 (6.3%)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053 (6.2%)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Greater Georgia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994 (4.1%)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231 (10.1%)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434 (6.7%)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Hawaii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112 (0.5%)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865 (1.2%)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043 (1.3%)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Iowa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768 (3.2%)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313 (3.2%)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203 (5.2%)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Kentucky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808 (3.3%)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253 (4.6%)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326 (5.4%)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Los Angeles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049 (8.4%)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258 (4.6%)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8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674 (10.7%)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Louisiana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499 (6.2%)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381 (6.1%)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464 (6.8%)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New Jersey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334 (9.6%)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800 (</w:t>
            </w:r>
            <w:r w:rsidRPr="00036BEA">
              <w:rPr>
                <w:rFonts w:ascii="Arial" w:hAnsi="Arial" w:cs="Arial" w:hint="eastAsia"/>
                <w:kern w:val="0"/>
              </w:rPr>
              <w:t>1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6.6%)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8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923 (11.0%)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lastRenderedPageBreak/>
              <w:t xml:space="preserve">   New Mexico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192 (0.8%)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106 (1.6%)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492 (1.8%)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Rural Georgia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17 (0.1%)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300 (0.4%)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88 (0.1%)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San Francisco-Oakland SMSA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657 (0.9%)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065 (5.7%)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926 (3.6%)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San Jose-Monterey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188 (4.9%)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504 (3.5%)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665 (2.1%)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Seattle (Puget Sound)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938 (8.0%)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728 (5.2%)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738 (5.9%)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hAnsi="Arial" w:cs="Arial" w:hint="eastAsia"/>
                <w:kern w:val="0"/>
              </w:rPr>
              <w:t xml:space="preserve">   Utah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848 (3.5%)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895 (2.7%)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219 (2.7%)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PSA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 ng/ml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hAnsi="Cambria"/>
                <w:kern w:val="0"/>
                <w:sz w:val="24"/>
                <w:szCs w:val="24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6.9 ± 4.4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 xml:space="preserve"> 5.8 [4.6; 7.9]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hAnsi="Cambria"/>
                <w:kern w:val="0"/>
                <w:sz w:val="24"/>
                <w:szCs w:val="24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8.9 ± 6.9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, 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6.7 [5.0;10.0]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hAnsi="Cambria"/>
                <w:kern w:val="0"/>
                <w:sz w:val="24"/>
                <w:szCs w:val="24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7.4 ± 5.3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, 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5.9 [4.5; 8.4]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PSA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, ng/ml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   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≤</w:t>
            </w:r>
            <w:r w:rsidRPr="00036BEA">
              <w:rPr>
                <w:rFonts w:ascii="Arial" w:hAnsi="Arial" w:cs="Arial"/>
                <w:color w:val="000000"/>
                <w:kern w:val="0"/>
              </w:rPr>
              <w:t>4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3,685 (15.1%)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7,462 (10.5%)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12,518 (15.5%)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   4.1-10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17,476 (71.8%)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46,090 (64.7%)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54,682 (67.6%)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   10.1-20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2,723 (11.2%)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12,982 (18.2%)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11,024 (13.6%)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   20.1-50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446 (1.8%)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4,735 (6.6%)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color w:val="000000"/>
                <w:kern w:val="0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2,633 (3.3%)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color w:val="000000"/>
                <w:kern w:val="0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89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hAnsi="Arial" w:cs="Arial"/>
                <w:kern w:val="0"/>
              </w:rPr>
              <w:t>C</w:t>
            </w:r>
            <w:r w:rsidRPr="00036BEA">
              <w:rPr>
                <w:rFonts w:ascii="Arial" w:hAnsi="Arial" w:cs="Arial" w:hint="eastAsia"/>
                <w:kern w:val="0"/>
              </w:rPr>
              <w:t xml:space="preserve">linical 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T</w:t>
            </w:r>
            <w:r w:rsidRPr="00036BEA">
              <w:rPr>
                <w:rFonts w:ascii="Arial" w:hAnsi="Arial" w:cs="Arial" w:hint="eastAsia"/>
                <w:kern w:val="0"/>
              </w:rPr>
              <w:t xml:space="preserve"> stage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 xml:space="preserve">  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 xml:space="preserve">   T1c 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19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199 (78.9%)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50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908 (71.4%)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734 (67.7%)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 xml:space="preserve">   T2a 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508 (14.4%)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10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073 (14.1%)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191 (13.8%)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 xml:space="preserve">   T2b-c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623 (6.7%)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10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288 (14.4%)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932 (18.5%)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58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Biopsy grade group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 xml:space="preserve">   1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20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600 (84.7%)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912 (35.0%)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555 (40.3%)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 xml:space="preserve">   </w:t>
            </w:r>
            <w:r w:rsidRPr="00036BEA">
              <w:rPr>
                <w:rFonts w:ascii="Arial" w:eastAsia="MS Mincho" w:hAnsi="Arial" w:cs="Arial" w:hint="eastAsia"/>
                <w:kern w:val="0"/>
                <w:lang w:eastAsia="en-US"/>
              </w:rPr>
              <w:t>2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 xml:space="preserve"> 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787 (11.5%)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22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414 (31.4%)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27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048 (33.5%)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58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 w:hint="eastAsia"/>
                <w:kern w:val="0"/>
                <w:lang w:eastAsia="en-US"/>
              </w:rPr>
              <w:t xml:space="preserve">   3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682 (2.8%)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038 (15.5%)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113 (13.7%)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color w:val="00B050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58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 w:hint="eastAsia"/>
                <w:kern w:val="0"/>
                <w:lang w:eastAsia="en-US"/>
              </w:rPr>
              <w:t xml:space="preserve">   4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191 (0.8%)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8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053 (11.3%)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050 (8.7%)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color w:val="00B050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1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right="40" w:firstLineChars="100" w:firstLine="200"/>
              <w:jc w:val="left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 w:hint="eastAsia"/>
                <w:kern w:val="0"/>
                <w:lang w:eastAsia="en-US"/>
              </w:rPr>
              <w:t>5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70 (0.3%)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852 (6.8%)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091 (3.8%)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color w:val="00B050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1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D</w:t>
            </w:r>
            <w:r w:rsidRPr="00036BEA">
              <w:rPr>
                <w:rFonts w:ascii="Arial" w:hAnsi="Arial" w:cs="Arial"/>
                <w:color w:val="000000"/>
                <w:kern w:val="0"/>
              </w:rPr>
              <w:t>’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Amico risk group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Low risk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17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017 (69.9%)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19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225 (27.0%)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24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091 (29.8%)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Intermediate risk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949 (24.5%)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33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304 (46.7%)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37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460 (46.3%)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High risk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364 (5.6%)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18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740 (26.3%)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19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306 (23.9%)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58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Follow-up duration, m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33.8 ± 20.4</w:t>
            </w:r>
            <w:r w:rsidRPr="00036BEA">
              <w:rPr>
                <w:rFonts w:ascii="Arial" w:hAnsi="Arial" w:cs="Arial" w:hint="eastAsia"/>
                <w:kern w:val="0"/>
              </w:rPr>
              <w:t xml:space="preserve">, 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32.0 [16.0;51.0]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38.5 ± 20.4</w:t>
            </w:r>
            <w:r w:rsidRPr="00036BEA">
              <w:rPr>
                <w:rFonts w:ascii="Arial" w:hAnsi="Arial" w:cs="Arial" w:hint="eastAsia"/>
                <w:kern w:val="0"/>
              </w:rPr>
              <w:t xml:space="preserve">, 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40.0 [22.0;56.0]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hAnsi="Arial" w:cs="Arial"/>
                <w:kern w:val="0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38.3 ± 20.4</w:t>
            </w:r>
            <w:r w:rsidRPr="00036BEA">
              <w:rPr>
                <w:rFonts w:ascii="Arial" w:hAnsi="Arial" w:cs="Arial" w:hint="eastAsia"/>
                <w:kern w:val="0"/>
              </w:rPr>
              <w:t xml:space="preserve">, 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40.0 [21.0;56.0]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91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hAnsi="Arial" w:cs="Arial" w:hint="eastAsia"/>
                <w:color w:val="000000"/>
                <w:kern w:val="0"/>
              </w:rPr>
              <w:t>Survival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>&lt;.001</w:t>
            </w: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 xml:space="preserve"> Alive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23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479 (96.5%)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67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274 (94.4%)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79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177 (97.9%)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Other cause death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      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799 (3.3%)</w:t>
            </w:r>
          </w:p>
        </w:tc>
        <w:tc>
          <w:tcPr>
            <w:tcW w:w="1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3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548 (5.0%)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</w:t>
            </w:r>
            <w:r w:rsidRPr="00036BEA">
              <w:rPr>
                <w:rFonts w:ascii="Arial" w:hAnsi="Arial" w:cs="Arial" w:hint="eastAsia"/>
                <w:kern w:val="0"/>
              </w:rPr>
              <w:t>,</w:t>
            </w: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521 (1.9%)</w:t>
            </w:r>
          </w:p>
        </w:tc>
        <w:tc>
          <w:tcPr>
            <w:tcW w:w="9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  <w:tr w:rsidR="00186B06" w:rsidRPr="00036BEA" w:rsidTr="00052551">
        <w:trPr>
          <w:cantSplit/>
          <w:trHeight w:val="393"/>
          <w:jc w:val="center"/>
        </w:trPr>
        <w:tc>
          <w:tcPr>
            <w:tcW w:w="3446" w:type="dxa"/>
            <w:tcBorders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left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</w:t>
            </w:r>
            <w:r w:rsidRPr="00036BEA">
              <w:rPr>
                <w:rFonts w:ascii="Arial" w:hAnsi="Arial" w:cs="Arial" w:hint="eastAsia"/>
                <w:color w:val="000000"/>
                <w:kern w:val="0"/>
              </w:rPr>
              <w:t>Disease specific death</w:t>
            </w:r>
            <w:r w:rsidRPr="00036BEA">
              <w:rPr>
                <w:rFonts w:ascii="Arial" w:eastAsia="MS Mincho" w:hAnsi="Arial" w:cs="Arial"/>
                <w:color w:val="000000"/>
                <w:kern w:val="0"/>
                <w:lang w:eastAsia="en-US"/>
              </w:rPr>
              <w:t xml:space="preserve">                   </w:t>
            </w:r>
          </w:p>
        </w:tc>
        <w:tc>
          <w:tcPr>
            <w:tcW w:w="1544" w:type="dxa"/>
            <w:tcBorders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52 (0.2%)</w:t>
            </w:r>
          </w:p>
        </w:tc>
        <w:tc>
          <w:tcPr>
            <w:tcW w:w="1796" w:type="dxa"/>
            <w:tcBorders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447 (0.6%)</w:t>
            </w:r>
          </w:p>
        </w:tc>
        <w:tc>
          <w:tcPr>
            <w:tcW w:w="1620" w:type="dxa"/>
            <w:tcBorders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Arial" w:eastAsia="MS Mincho" w:hAnsi="Arial" w:cs="Arial"/>
                <w:kern w:val="0"/>
                <w:lang w:eastAsia="en-US"/>
              </w:rPr>
            </w:pPr>
            <w:r w:rsidRPr="00036BEA">
              <w:rPr>
                <w:rFonts w:ascii="Arial" w:eastAsia="MS Mincho" w:hAnsi="Arial" w:cs="Arial"/>
                <w:kern w:val="0"/>
                <w:lang w:eastAsia="en-US"/>
              </w:rPr>
              <w:t>159 (0.2%)</w:t>
            </w:r>
          </w:p>
        </w:tc>
        <w:tc>
          <w:tcPr>
            <w:tcW w:w="913" w:type="dxa"/>
            <w:tcBorders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6B06" w:rsidRPr="00036BEA" w:rsidRDefault="00186B06" w:rsidP="00052551">
            <w:pPr>
              <w:widowControl/>
              <w:wordWrap/>
              <w:autoSpaceDE/>
              <w:autoSpaceDN/>
              <w:ind w:left="40" w:right="40"/>
              <w:jc w:val="center"/>
              <w:rPr>
                <w:rFonts w:ascii="Cambria" w:eastAsia="MS Mincho" w:hAnsi="Cambria"/>
                <w:kern w:val="0"/>
                <w:sz w:val="24"/>
                <w:szCs w:val="24"/>
                <w:lang w:eastAsia="en-US"/>
              </w:rPr>
            </w:pPr>
          </w:p>
        </w:tc>
      </w:tr>
    </w:tbl>
    <w:p w:rsidR="00186B06" w:rsidRPr="00036BEA" w:rsidRDefault="00186B06" w:rsidP="00186B06">
      <w:pPr>
        <w:widowControl/>
        <w:wordWrap/>
        <w:autoSpaceDE/>
        <w:autoSpaceDN/>
        <w:spacing w:line="480" w:lineRule="auto"/>
        <w:rPr>
          <w:rFonts w:ascii="Arial" w:hAnsi="Arial" w:cs="Arial"/>
          <w:kern w:val="0"/>
          <w:sz w:val="24"/>
          <w:szCs w:val="24"/>
        </w:rPr>
      </w:pPr>
      <w:r w:rsidRPr="00036BEA">
        <w:rPr>
          <w:rFonts w:ascii="Arial" w:hAnsi="Arial" w:cs="Arial"/>
          <w:kern w:val="0"/>
          <w:sz w:val="24"/>
          <w:szCs w:val="24"/>
        </w:rPr>
        <w:lastRenderedPageBreak/>
        <w:t>Continuous variables were expressed as mean ± standard deviation</w:t>
      </w:r>
      <w:r w:rsidRPr="00036BEA">
        <w:rPr>
          <w:rFonts w:ascii="Arial" w:hAnsi="Arial" w:cs="Arial" w:hint="eastAsia"/>
          <w:kern w:val="0"/>
          <w:sz w:val="24"/>
          <w:szCs w:val="24"/>
        </w:rPr>
        <w:t>, median</w:t>
      </w:r>
      <w:r w:rsidRPr="00036BEA">
        <w:rPr>
          <w:rFonts w:ascii="Arial" w:hAnsi="Arial" w:cs="Arial"/>
          <w:kern w:val="0"/>
          <w:sz w:val="24"/>
          <w:szCs w:val="24"/>
        </w:rPr>
        <w:t xml:space="preserve"> [interquartile range] and categorical variables were expressed as frequency (percentage).</w:t>
      </w:r>
    </w:p>
    <w:p w:rsidR="00186B06" w:rsidRPr="00036BEA" w:rsidRDefault="00186B06" w:rsidP="00186B06">
      <w:pPr>
        <w:widowControl/>
        <w:wordWrap/>
        <w:autoSpaceDE/>
        <w:autoSpaceDN/>
        <w:spacing w:line="480" w:lineRule="auto"/>
        <w:rPr>
          <w:rFonts w:ascii="Arial" w:hAnsi="Arial" w:cs="Arial"/>
          <w:kern w:val="0"/>
          <w:sz w:val="24"/>
          <w:szCs w:val="24"/>
        </w:rPr>
      </w:pPr>
      <w:r w:rsidRPr="00036BEA">
        <w:rPr>
          <w:rFonts w:ascii="Arial" w:hAnsi="Arial" w:cs="Arial" w:hint="eastAsia"/>
          <w:kern w:val="0"/>
          <w:sz w:val="24"/>
          <w:szCs w:val="24"/>
        </w:rPr>
        <w:t>PSA: prostate</w:t>
      </w:r>
      <w:r>
        <w:rPr>
          <w:rFonts w:ascii="Arial" w:hAnsi="Arial" w:cs="Arial"/>
          <w:kern w:val="0"/>
          <w:sz w:val="24"/>
          <w:szCs w:val="24"/>
        </w:rPr>
        <w:t>-</w:t>
      </w:r>
      <w:r w:rsidRPr="00036BEA">
        <w:rPr>
          <w:rFonts w:ascii="Arial" w:hAnsi="Arial" w:cs="Arial" w:hint="eastAsia"/>
          <w:kern w:val="0"/>
          <w:sz w:val="24"/>
          <w:szCs w:val="24"/>
        </w:rPr>
        <w:t>specific antigen</w:t>
      </w:r>
    </w:p>
    <w:p w:rsidR="00536AE1" w:rsidRDefault="00186B06">
      <w:bookmarkStart w:id="0" w:name="_GoBack"/>
      <w:bookmarkEnd w:id="0"/>
    </w:p>
    <w:sectPr w:rsidR="00536AE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B06"/>
    <w:rsid w:val="00186B06"/>
    <w:rsid w:val="005463D1"/>
    <w:rsid w:val="00ED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50D16F-FF26-44F4-AAC0-942FDEEB2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6B0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맑은 고딕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599</Words>
  <Characters>3419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1</cp:revision>
  <dcterms:created xsi:type="dcterms:W3CDTF">2022-05-30T13:25:00Z</dcterms:created>
  <dcterms:modified xsi:type="dcterms:W3CDTF">2022-05-30T13:25:00Z</dcterms:modified>
</cp:coreProperties>
</file>