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7F1F" w14:textId="77777777" w:rsidR="00CD3D9D" w:rsidRPr="000058B3" w:rsidRDefault="00CD3D9D" w:rsidP="00CD3D9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058B3">
        <w:rPr>
          <w:rFonts w:ascii="Calibri" w:hAnsi="Calibri" w:cs="Calibri"/>
          <w:b/>
          <w:sz w:val="24"/>
          <w:szCs w:val="24"/>
        </w:rPr>
        <w:t xml:space="preserve">Exploiting Synergistic Effect of Controlled Co-Delivery Medicine for Soft Tissue </w:t>
      </w:r>
    </w:p>
    <w:p w14:paraId="13ADC445" w14:textId="77777777" w:rsidR="00CD3D9D" w:rsidRPr="000058B3" w:rsidRDefault="00CD3D9D" w:rsidP="00CD3D9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058B3">
        <w:rPr>
          <w:rFonts w:ascii="Calibri" w:hAnsi="Calibri" w:cs="Calibri"/>
          <w:b/>
          <w:sz w:val="24"/>
          <w:szCs w:val="24"/>
        </w:rPr>
        <w:t xml:space="preserve">Transplantation using Double System of Bio-Multifunctional Hydrogel </w:t>
      </w:r>
    </w:p>
    <w:p w14:paraId="0C4F5639" w14:textId="77777777" w:rsidR="00CD3D9D" w:rsidRPr="000058B3" w:rsidRDefault="00CD3D9D" w:rsidP="00CD3D9D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760FB588" w14:textId="5C9A23C8" w:rsidR="00E245DF" w:rsidRDefault="00CD3D9D">
      <w:r w:rsidRPr="000058B3">
        <w:rPr>
          <w:rFonts w:ascii="Calibri" w:hAnsi="Calibri" w:cs="Calibri"/>
          <w:noProof/>
        </w:rPr>
        <w:drawing>
          <wp:inline distT="0" distB="0" distL="0" distR="0" wp14:anchorId="205B91A1" wp14:editId="73EE80BD">
            <wp:extent cx="5012055" cy="4556760"/>
            <wp:effectExtent l="0" t="0" r="0" b="0"/>
            <wp:docPr id="7" name="图片 7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 picture containing text,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662" cy="45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9D"/>
    <w:rsid w:val="00CD3D9D"/>
    <w:rsid w:val="00E2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9F0B"/>
  <w15:chartTrackingRefBased/>
  <w15:docId w15:val="{24400524-7314-42C0-9109-96C55E6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D9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2022-06-01T18:16:00Z</dcterms:created>
  <dcterms:modified xsi:type="dcterms:W3CDTF">2022-06-01T18:16:00Z</dcterms:modified>
</cp:coreProperties>
</file>