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32B9" w:rsidRPr="006D5A46" w:rsidRDefault="00D932B9" w:rsidP="00D932B9">
      <w:pPr>
        <w:spacing w:line="480" w:lineRule="auto"/>
        <w:rPr>
          <w:rFonts w:ascii="Times New Roman" w:hAnsi="Times New Roman" w:cs="Times New Roman"/>
          <w:highlight w:val="yellow"/>
        </w:rPr>
      </w:pPr>
      <w:r w:rsidRPr="006D5A46">
        <w:rPr>
          <w:rFonts w:ascii="Times New Roman" w:hAnsi="Times New Roman" w:cs="Times New Roman"/>
          <w:noProof/>
          <w:highlight w:val="yellow"/>
          <w:lang w:eastAsia="fr-CA"/>
        </w:rPr>
        <w:drawing>
          <wp:inline distT="0" distB="0" distL="0" distR="0" wp14:anchorId="30B452E4" wp14:editId="10DCBA4A">
            <wp:extent cx="5753100" cy="26289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2B9" w:rsidRPr="001E7E53" w:rsidRDefault="00D932B9" w:rsidP="00D932B9">
      <w:pPr>
        <w:spacing w:line="480" w:lineRule="auto"/>
        <w:rPr>
          <w:rFonts w:ascii="Arial" w:hAnsi="Arial" w:cs="Arial"/>
          <w:lang w:val="en-US"/>
        </w:rPr>
      </w:pPr>
      <w:bookmarkStart w:id="0" w:name="_GoBack"/>
      <w:r w:rsidRPr="001E7E53">
        <w:rPr>
          <w:rFonts w:ascii="Arial" w:hAnsi="Arial" w:cs="Arial"/>
          <w:b/>
          <w:lang w:val="en-US"/>
        </w:rPr>
        <w:t xml:space="preserve">Supplemental figure. </w:t>
      </w:r>
      <w:r w:rsidRPr="001E7E53">
        <w:rPr>
          <w:rFonts w:ascii="Arial" w:hAnsi="Arial" w:cs="Arial"/>
          <w:lang w:val="en-US"/>
        </w:rPr>
        <w:t xml:space="preserve">Receiver operating characteristic (ROC) curves for </w:t>
      </w:r>
      <w:proofErr w:type="spellStart"/>
      <w:r w:rsidRPr="001E7E53">
        <w:rPr>
          <w:rFonts w:ascii="Arial" w:hAnsi="Arial" w:cs="Arial"/>
          <w:lang w:val="en-US"/>
        </w:rPr>
        <w:t>TBR</w:t>
      </w:r>
      <w:r w:rsidRPr="001E7E53">
        <w:rPr>
          <w:rFonts w:ascii="Arial" w:hAnsi="Arial" w:cs="Arial"/>
          <w:vertAlign w:val="subscript"/>
          <w:lang w:val="en-US"/>
        </w:rPr>
        <w:t>max</w:t>
      </w:r>
      <w:proofErr w:type="spellEnd"/>
      <w:r w:rsidRPr="001E7E53">
        <w:rPr>
          <w:rFonts w:ascii="Arial" w:hAnsi="Arial" w:cs="Arial"/>
          <w:lang w:val="en-US"/>
        </w:rPr>
        <w:t xml:space="preserve">, </w:t>
      </w:r>
      <w:proofErr w:type="spellStart"/>
      <w:r w:rsidRPr="001E7E53">
        <w:rPr>
          <w:rFonts w:ascii="Arial" w:hAnsi="Arial" w:cs="Arial"/>
          <w:lang w:val="en-US"/>
        </w:rPr>
        <w:t>TBR</w:t>
      </w:r>
      <w:r w:rsidRPr="001E7E53">
        <w:rPr>
          <w:rFonts w:ascii="Arial" w:hAnsi="Arial" w:cs="Arial"/>
          <w:vertAlign w:val="subscript"/>
          <w:lang w:val="en-US"/>
        </w:rPr>
        <w:t>mean</w:t>
      </w:r>
      <w:proofErr w:type="spellEnd"/>
      <w:r w:rsidRPr="001E7E53">
        <w:rPr>
          <w:rFonts w:ascii="Arial" w:hAnsi="Arial" w:cs="Arial"/>
          <w:lang w:val="en-US"/>
        </w:rPr>
        <w:t xml:space="preserve">, </w:t>
      </w:r>
      <w:proofErr w:type="spellStart"/>
      <w:r w:rsidRPr="001E7E53">
        <w:rPr>
          <w:rFonts w:ascii="Arial" w:hAnsi="Arial" w:cs="Arial"/>
          <w:lang w:val="en-US"/>
        </w:rPr>
        <w:t>TSR</w:t>
      </w:r>
      <w:r w:rsidRPr="001E7E53">
        <w:rPr>
          <w:rFonts w:ascii="Arial" w:hAnsi="Arial" w:cs="Arial"/>
          <w:vertAlign w:val="subscript"/>
          <w:lang w:val="en-US"/>
        </w:rPr>
        <w:t>max</w:t>
      </w:r>
      <w:proofErr w:type="spellEnd"/>
      <w:r w:rsidRPr="001E7E53">
        <w:rPr>
          <w:rFonts w:ascii="Arial" w:hAnsi="Arial" w:cs="Arial"/>
          <w:lang w:val="en-US"/>
        </w:rPr>
        <w:t xml:space="preserve">, </w:t>
      </w:r>
      <w:proofErr w:type="spellStart"/>
      <w:r w:rsidRPr="001E7E53">
        <w:rPr>
          <w:rFonts w:ascii="Arial" w:hAnsi="Arial" w:cs="Arial"/>
          <w:lang w:val="en-US"/>
        </w:rPr>
        <w:t>TSR</w:t>
      </w:r>
      <w:r w:rsidRPr="001E7E53">
        <w:rPr>
          <w:rFonts w:ascii="Arial" w:hAnsi="Arial" w:cs="Arial"/>
          <w:vertAlign w:val="subscript"/>
          <w:lang w:val="en-US"/>
        </w:rPr>
        <w:t>mean</w:t>
      </w:r>
      <w:proofErr w:type="spellEnd"/>
      <w:r w:rsidRPr="001E7E53">
        <w:rPr>
          <w:rFonts w:ascii="Arial" w:hAnsi="Arial" w:cs="Arial"/>
          <w:lang w:val="en-US"/>
        </w:rPr>
        <w:t>, MTV and slope parameters for distinguishing between recurrent or progressive gliomas and treatment-related changes in low-grade gliomas (n=18, left panel) and in high-grade gliomas (n=33, right panel). Significant ROC curves are represented in full lines.</w:t>
      </w:r>
    </w:p>
    <w:bookmarkEnd w:id="0"/>
    <w:p w:rsidR="00F82C6D" w:rsidRPr="003913CE" w:rsidRDefault="00000C36" w:rsidP="00D932B9">
      <w:pPr>
        <w:rPr>
          <w:lang w:val="en-US"/>
        </w:rPr>
      </w:pPr>
    </w:p>
    <w:sectPr w:rsidR="00F82C6D" w:rsidRPr="003913CE" w:rsidSect="005E03BF">
      <w:headerReference w:type="default" r:id="rId7"/>
      <w:footerReference w:type="default" r:id="rId8"/>
      <w:footerReference w:type="first" r:id="rId9"/>
      <w:pgSz w:w="11900" w:h="16840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C36" w:rsidRDefault="00000C36">
      <w:r>
        <w:separator/>
      </w:r>
    </w:p>
  </w:endnote>
  <w:endnote w:type="continuationSeparator" w:id="0">
    <w:p w:rsidR="00000C36" w:rsidRDefault="00000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1195323"/>
      <w:docPartObj>
        <w:docPartGallery w:val="Page Numbers (Bottom of Page)"/>
        <w:docPartUnique/>
      </w:docPartObj>
    </w:sdtPr>
    <w:sdtEndPr/>
    <w:sdtContent>
      <w:p w:rsidR="007E37DC" w:rsidRDefault="00354F92" w:rsidP="004B7EF6">
        <w:pPr>
          <w:pStyle w:val="Pieddepage"/>
          <w:jc w:val="right"/>
        </w:pPr>
        <w:r>
          <w:rPr>
            <w:noProof/>
          </w:rPr>
          <w:fldChar w:fldCharType="begin"/>
        </w:r>
        <w:r w:rsidR="00FC791B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7A0DC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E37DC" w:rsidRDefault="00000C3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31006090"/>
      <w:docPartObj>
        <w:docPartGallery w:val="Page Numbers (Bottom of Page)"/>
        <w:docPartUnique/>
      </w:docPartObj>
    </w:sdtPr>
    <w:sdtEndPr/>
    <w:sdtContent>
      <w:p w:rsidR="007E37DC" w:rsidRDefault="00354F92">
        <w:pPr>
          <w:pStyle w:val="Pieddepage"/>
          <w:jc w:val="right"/>
        </w:pPr>
        <w:r>
          <w:fldChar w:fldCharType="begin"/>
        </w:r>
        <w:r w:rsidR="00FC791B">
          <w:instrText>PAGE   \* MERGEFORMAT</w:instrText>
        </w:r>
        <w:r>
          <w:fldChar w:fldCharType="separate"/>
        </w:r>
        <w:r w:rsidR="007A0DCB">
          <w:rPr>
            <w:noProof/>
          </w:rPr>
          <w:t>1</w:t>
        </w:r>
        <w:r>
          <w:fldChar w:fldCharType="end"/>
        </w:r>
      </w:p>
    </w:sdtContent>
  </w:sdt>
  <w:p w:rsidR="007E37DC" w:rsidRDefault="00000C3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C36" w:rsidRDefault="00000C36">
      <w:r>
        <w:separator/>
      </w:r>
    </w:p>
  </w:footnote>
  <w:footnote w:type="continuationSeparator" w:id="0">
    <w:p w:rsidR="00000C36" w:rsidRDefault="00000C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37DC" w:rsidRDefault="00000C36">
    <w:pPr>
      <w:pStyle w:val="En-tte"/>
      <w:jc w:val="right"/>
    </w:pPr>
  </w:p>
  <w:p w:rsidR="007E37DC" w:rsidRDefault="00000C3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91B"/>
    <w:rsid w:val="00000C36"/>
    <w:rsid w:val="00056858"/>
    <w:rsid w:val="000F67E5"/>
    <w:rsid w:val="001E7E53"/>
    <w:rsid w:val="0026641D"/>
    <w:rsid w:val="00354F92"/>
    <w:rsid w:val="003913CE"/>
    <w:rsid w:val="00586EEB"/>
    <w:rsid w:val="00590006"/>
    <w:rsid w:val="00635F0B"/>
    <w:rsid w:val="006907AB"/>
    <w:rsid w:val="007A0DCB"/>
    <w:rsid w:val="00861120"/>
    <w:rsid w:val="00862269"/>
    <w:rsid w:val="00AA1A4F"/>
    <w:rsid w:val="00B9564C"/>
    <w:rsid w:val="00D932B9"/>
    <w:rsid w:val="00F5126E"/>
    <w:rsid w:val="00FC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F9C78F-34B4-4C6F-94FC-8C1C1722B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791B"/>
    <w:pPr>
      <w:spacing w:after="0" w:line="240" w:lineRule="auto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C791B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791B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FC791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FC791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FC791B"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FC791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C791B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FC791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C791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Stage Clinique</dc:creator>
  <cp:lastModifiedBy>Timothée ZARAGORI</cp:lastModifiedBy>
  <cp:revision>5</cp:revision>
  <dcterms:created xsi:type="dcterms:W3CDTF">2019-09-23T08:04:00Z</dcterms:created>
  <dcterms:modified xsi:type="dcterms:W3CDTF">2019-09-29T11:41:00Z</dcterms:modified>
</cp:coreProperties>
</file>