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178E" w:rsidRPr="00B415E6" w:rsidRDefault="00DA178E" w:rsidP="00DA178E">
      <w:pPr>
        <w:spacing w:line="240" w:lineRule="auto"/>
        <w:rPr>
          <w:b/>
          <w:sz w:val="22"/>
          <w:szCs w:val="21"/>
          <w:lang w:val="en-US"/>
        </w:rPr>
      </w:pPr>
      <w:bookmarkStart w:id="0" w:name="_GoBack"/>
      <w:bookmarkEnd w:id="0"/>
      <w:r w:rsidRPr="00B415E6">
        <w:rPr>
          <w:b/>
          <w:noProof/>
          <w:sz w:val="28"/>
          <w:szCs w:val="21"/>
          <w:lang w:eastAsia="fr-FR"/>
        </w:rPr>
        <w:drawing>
          <wp:inline distT="0" distB="0" distL="0" distR="0" wp14:anchorId="7651AB9E" wp14:editId="3F36CA22">
            <wp:extent cx="5692462" cy="6952641"/>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5702516" cy="6964920"/>
                    </a:xfrm>
                    <a:prstGeom prst="rect">
                      <a:avLst/>
                    </a:prstGeom>
                  </pic:spPr>
                </pic:pic>
              </a:graphicData>
            </a:graphic>
          </wp:inline>
        </w:drawing>
      </w:r>
    </w:p>
    <w:p w:rsidR="00DA178E" w:rsidRPr="00B415E6" w:rsidRDefault="00DA178E" w:rsidP="00DA178E">
      <w:pPr>
        <w:spacing w:line="240" w:lineRule="auto"/>
        <w:rPr>
          <w:b/>
          <w:sz w:val="22"/>
          <w:szCs w:val="21"/>
          <w:lang w:val="en-US"/>
        </w:rPr>
      </w:pPr>
    </w:p>
    <w:p w:rsidR="00DA178E" w:rsidRPr="00B415E6" w:rsidRDefault="00DA178E" w:rsidP="00DA178E">
      <w:pPr>
        <w:spacing w:line="240" w:lineRule="auto"/>
        <w:rPr>
          <w:sz w:val="22"/>
          <w:szCs w:val="21"/>
          <w:lang w:val="en-US"/>
        </w:rPr>
      </w:pPr>
      <w:r w:rsidRPr="00B415E6">
        <w:rPr>
          <w:b/>
          <w:sz w:val="22"/>
          <w:szCs w:val="21"/>
          <w:lang w:val="en-US"/>
        </w:rPr>
        <w:t xml:space="preserve">Supplemental Fig 1 Mice </w:t>
      </w:r>
      <w:r w:rsidRPr="00B415E6">
        <w:rPr>
          <w:b/>
          <w:i/>
          <w:sz w:val="22"/>
          <w:szCs w:val="21"/>
          <w:lang w:val="en-US"/>
        </w:rPr>
        <w:t>tumor and non-tumor colorectal cell lines resveratrol sensitivity is related to metabolization capacity and expression of UGT1A enzymes genes.</w:t>
      </w:r>
      <w:r w:rsidRPr="00B415E6">
        <w:rPr>
          <w:sz w:val="22"/>
          <w:szCs w:val="21"/>
          <w:lang w:val="en-US"/>
        </w:rPr>
        <w:t xml:space="preserve"> Dose-response experiments were carried out by treatment of mice colorectal cancer cell line CT26 (red triangles) with increasing doses of resveratrol (a) and resveratrol-4’-O-glucuronide (b). Transformed MICC12 mice intestinal cell line (green squares) was used as healthy non-tumor cells. Resveratrol (red) and its glucuronide derivate resveratrol-4’-O-glucuronide (dashed orange) were quantified in cell culture media after 0, 3, 6, 12 and 24 h incubation with the different cell lines (c). Expression of </w:t>
      </w:r>
      <w:r w:rsidRPr="00B415E6">
        <w:rPr>
          <w:i/>
          <w:sz w:val="22"/>
          <w:szCs w:val="21"/>
          <w:lang w:val="en-US"/>
        </w:rPr>
        <w:t>UGT1A1</w:t>
      </w:r>
      <w:r w:rsidRPr="00B415E6">
        <w:rPr>
          <w:sz w:val="22"/>
          <w:szCs w:val="21"/>
          <w:lang w:val="en-US"/>
        </w:rPr>
        <w:t xml:space="preserve">, </w:t>
      </w:r>
      <w:r w:rsidRPr="00B415E6">
        <w:rPr>
          <w:i/>
          <w:sz w:val="22"/>
          <w:szCs w:val="21"/>
          <w:lang w:val="en-US"/>
        </w:rPr>
        <w:t>UGT1A6,</w:t>
      </w:r>
      <w:r w:rsidRPr="00B415E6">
        <w:rPr>
          <w:sz w:val="22"/>
          <w:szCs w:val="21"/>
          <w:lang w:val="en-US"/>
        </w:rPr>
        <w:t xml:space="preserve"> </w:t>
      </w:r>
      <w:r w:rsidRPr="00B415E6">
        <w:rPr>
          <w:i/>
          <w:sz w:val="22"/>
          <w:szCs w:val="21"/>
          <w:lang w:val="en-US"/>
        </w:rPr>
        <w:t>UGT1A10</w:t>
      </w:r>
      <w:r w:rsidRPr="00B415E6">
        <w:rPr>
          <w:sz w:val="22"/>
          <w:szCs w:val="21"/>
          <w:lang w:val="en-US"/>
        </w:rPr>
        <w:t xml:space="preserve"> and </w:t>
      </w:r>
      <w:r w:rsidRPr="00B415E6">
        <w:rPr>
          <w:i/>
          <w:sz w:val="22"/>
          <w:szCs w:val="21"/>
          <w:lang w:val="en-US"/>
        </w:rPr>
        <w:t>GUSB</w:t>
      </w:r>
      <w:r w:rsidRPr="00B415E6">
        <w:rPr>
          <w:sz w:val="22"/>
          <w:szCs w:val="21"/>
          <w:lang w:val="en-US"/>
        </w:rPr>
        <w:t xml:space="preserve"> genes were assessed in the different cell lines (CT26: dashed red, MICC12: green) by RT-qPCR, using </w:t>
      </w:r>
      <w:r w:rsidRPr="00B415E6">
        <w:rPr>
          <w:i/>
          <w:sz w:val="22"/>
          <w:szCs w:val="21"/>
          <w:lang w:val="en-US"/>
        </w:rPr>
        <w:t>GAPDH</w:t>
      </w:r>
      <w:r w:rsidRPr="00B415E6">
        <w:rPr>
          <w:sz w:val="22"/>
          <w:szCs w:val="21"/>
          <w:lang w:val="en-US"/>
        </w:rPr>
        <w:t xml:space="preserve"> gene as a reference for normalization (d). Results are expressed with mean +/- SD. *</w:t>
      </w:r>
      <w:proofErr w:type="gramStart"/>
      <w:r w:rsidRPr="00B415E6">
        <w:rPr>
          <w:sz w:val="22"/>
          <w:szCs w:val="21"/>
          <w:lang w:val="en-US"/>
        </w:rPr>
        <w:t>* :</w:t>
      </w:r>
      <w:proofErr w:type="gramEnd"/>
      <w:r w:rsidRPr="00B415E6">
        <w:rPr>
          <w:sz w:val="22"/>
          <w:szCs w:val="21"/>
          <w:lang w:val="en-US"/>
        </w:rPr>
        <w:t xml:space="preserve"> p&lt;0.01 ; ns : non-significant ; NDE: Non-detectable expression</w:t>
      </w:r>
    </w:p>
    <w:p w:rsidR="00DA178E" w:rsidRPr="00B415E6" w:rsidRDefault="00DA178E" w:rsidP="00DA178E">
      <w:pPr>
        <w:spacing w:line="240" w:lineRule="auto"/>
        <w:rPr>
          <w:b/>
          <w:sz w:val="28"/>
          <w:szCs w:val="21"/>
          <w:lang w:val="en-US"/>
        </w:rPr>
      </w:pPr>
    </w:p>
    <w:p w:rsidR="00DA178E" w:rsidRPr="00B415E6" w:rsidRDefault="00DA178E" w:rsidP="00DA178E">
      <w:pPr>
        <w:spacing w:line="240" w:lineRule="auto"/>
        <w:rPr>
          <w:b/>
          <w:sz w:val="28"/>
          <w:szCs w:val="21"/>
          <w:lang w:val="en-US"/>
        </w:rPr>
      </w:pPr>
      <w:r w:rsidRPr="00B415E6">
        <w:rPr>
          <w:b/>
          <w:noProof/>
          <w:sz w:val="28"/>
          <w:szCs w:val="21"/>
          <w:lang w:eastAsia="fr-FR"/>
        </w:rPr>
        <w:drawing>
          <wp:inline distT="0" distB="0" distL="0" distR="0" wp14:anchorId="6608E15E" wp14:editId="3960FA1C">
            <wp:extent cx="5756910" cy="310007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5756910" cy="3100070"/>
                    </a:xfrm>
                    <a:prstGeom prst="rect">
                      <a:avLst/>
                    </a:prstGeom>
                  </pic:spPr>
                </pic:pic>
              </a:graphicData>
            </a:graphic>
          </wp:inline>
        </w:drawing>
      </w:r>
    </w:p>
    <w:p w:rsidR="00DA178E" w:rsidRPr="00B415E6" w:rsidRDefault="00DA178E" w:rsidP="00DA178E">
      <w:pPr>
        <w:spacing w:line="240" w:lineRule="auto"/>
        <w:rPr>
          <w:b/>
          <w:sz w:val="28"/>
          <w:szCs w:val="21"/>
          <w:lang w:val="en-US"/>
        </w:rPr>
      </w:pPr>
    </w:p>
    <w:p w:rsidR="00DA178E" w:rsidRPr="00B415E6" w:rsidRDefault="00DA178E" w:rsidP="00DA178E">
      <w:pPr>
        <w:spacing w:line="240" w:lineRule="auto"/>
        <w:rPr>
          <w:b/>
          <w:sz w:val="28"/>
          <w:szCs w:val="21"/>
          <w:lang w:val="en-US"/>
        </w:rPr>
      </w:pPr>
    </w:p>
    <w:p w:rsidR="00DA178E" w:rsidRPr="00B415E6" w:rsidRDefault="00DA178E" w:rsidP="00DA178E">
      <w:pPr>
        <w:spacing w:line="240" w:lineRule="auto"/>
        <w:rPr>
          <w:sz w:val="22"/>
          <w:szCs w:val="21"/>
          <w:lang w:val="en-US"/>
        </w:rPr>
      </w:pPr>
      <w:r w:rsidRPr="00B415E6">
        <w:rPr>
          <w:b/>
          <w:sz w:val="22"/>
          <w:szCs w:val="21"/>
          <w:lang w:val="en-US"/>
        </w:rPr>
        <w:t>Supplemental Fig 2</w:t>
      </w:r>
      <w:r w:rsidRPr="00B415E6">
        <w:rPr>
          <w:sz w:val="22"/>
          <w:szCs w:val="21"/>
          <w:lang w:val="en-US"/>
        </w:rPr>
        <w:t xml:space="preserve"> Pearson correlation analysis between </w:t>
      </w:r>
      <w:r w:rsidRPr="00B415E6">
        <w:rPr>
          <w:i/>
          <w:sz w:val="22"/>
          <w:szCs w:val="21"/>
          <w:lang w:val="en-US"/>
        </w:rPr>
        <w:t>UGT1A1</w:t>
      </w:r>
      <w:r w:rsidRPr="00B415E6">
        <w:rPr>
          <w:sz w:val="22"/>
          <w:szCs w:val="21"/>
          <w:lang w:val="en-US"/>
        </w:rPr>
        <w:t xml:space="preserve"> and </w:t>
      </w:r>
      <w:r w:rsidRPr="00B415E6">
        <w:rPr>
          <w:i/>
          <w:sz w:val="22"/>
          <w:szCs w:val="21"/>
          <w:lang w:val="en-US"/>
        </w:rPr>
        <w:t>UGT1A8</w:t>
      </w:r>
      <w:r w:rsidRPr="00B415E6">
        <w:rPr>
          <w:sz w:val="22"/>
          <w:szCs w:val="21"/>
          <w:lang w:val="en-US"/>
        </w:rPr>
        <w:t xml:space="preserve"> (a) or </w:t>
      </w:r>
      <w:r w:rsidRPr="00B415E6">
        <w:rPr>
          <w:i/>
          <w:sz w:val="22"/>
          <w:szCs w:val="21"/>
          <w:lang w:val="en-US"/>
        </w:rPr>
        <w:t>UGT1A10</w:t>
      </w:r>
      <w:r w:rsidRPr="00B415E6">
        <w:rPr>
          <w:sz w:val="22"/>
          <w:szCs w:val="21"/>
          <w:lang w:val="en-US"/>
        </w:rPr>
        <w:t xml:space="preserve"> (b) expressions in healthy colorectal tissues. Pearson correlation analysis between </w:t>
      </w:r>
      <w:r w:rsidRPr="00B415E6">
        <w:rPr>
          <w:i/>
          <w:sz w:val="22"/>
          <w:szCs w:val="21"/>
          <w:lang w:val="en-US"/>
        </w:rPr>
        <w:t>UGT1A1</w:t>
      </w:r>
      <w:r w:rsidRPr="00B415E6">
        <w:rPr>
          <w:sz w:val="22"/>
          <w:szCs w:val="21"/>
          <w:lang w:val="en-US"/>
        </w:rPr>
        <w:t xml:space="preserve"> and </w:t>
      </w:r>
      <w:r w:rsidRPr="00B415E6">
        <w:rPr>
          <w:i/>
          <w:sz w:val="22"/>
          <w:szCs w:val="21"/>
          <w:lang w:val="en-US"/>
        </w:rPr>
        <w:t>UGT1A8</w:t>
      </w:r>
      <w:r w:rsidRPr="00B415E6">
        <w:rPr>
          <w:sz w:val="22"/>
          <w:szCs w:val="21"/>
          <w:lang w:val="en-US"/>
        </w:rPr>
        <w:t xml:space="preserve"> (c) or </w:t>
      </w:r>
      <w:r w:rsidRPr="00B415E6">
        <w:rPr>
          <w:i/>
          <w:sz w:val="22"/>
          <w:szCs w:val="21"/>
          <w:lang w:val="en-US"/>
        </w:rPr>
        <w:t>UGT1A10</w:t>
      </w:r>
      <w:r w:rsidRPr="00B415E6">
        <w:rPr>
          <w:sz w:val="22"/>
          <w:szCs w:val="21"/>
          <w:lang w:val="en-US"/>
        </w:rPr>
        <w:t xml:space="preserve"> (d) expressions in colorectal cancers. Pearson correlation analysis between </w:t>
      </w:r>
      <w:r w:rsidRPr="00B415E6">
        <w:rPr>
          <w:i/>
          <w:sz w:val="22"/>
          <w:szCs w:val="21"/>
          <w:lang w:val="en-US"/>
        </w:rPr>
        <w:t>UGT1A7</w:t>
      </w:r>
      <w:r w:rsidRPr="00B415E6">
        <w:rPr>
          <w:sz w:val="22"/>
          <w:szCs w:val="21"/>
          <w:lang w:val="en-US"/>
        </w:rPr>
        <w:t xml:space="preserve"> and </w:t>
      </w:r>
      <w:r w:rsidRPr="00B415E6">
        <w:rPr>
          <w:i/>
          <w:sz w:val="22"/>
          <w:szCs w:val="21"/>
          <w:lang w:val="en-US"/>
        </w:rPr>
        <w:t>UGT1A8</w:t>
      </w:r>
      <w:r w:rsidRPr="00B415E6">
        <w:rPr>
          <w:sz w:val="22"/>
          <w:szCs w:val="21"/>
          <w:lang w:val="en-US"/>
        </w:rPr>
        <w:t xml:space="preserve"> (e) or </w:t>
      </w:r>
      <w:r w:rsidRPr="00B415E6">
        <w:rPr>
          <w:i/>
          <w:sz w:val="22"/>
          <w:szCs w:val="21"/>
          <w:lang w:val="en-US"/>
        </w:rPr>
        <w:t>UGT1A10</w:t>
      </w:r>
      <w:r w:rsidRPr="00B415E6">
        <w:rPr>
          <w:sz w:val="22"/>
          <w:szCs w:val="21"/>
          <w:lang w:val="en-US"/>
        </w:rPr>
        <w:t xml:space="preserve"> (f) expressions in healthy colorectal tissues. Pearson correlation analysis between </w:t>
      </w:r>
      <w:r w:rsidRPr="00B415E6">
        <w:rPr>
          <w:i/>
          <w:sz w:val="22"/>
          <w:szCs w:val="21"/>
          <w:lang w:val="en-US"/>
        </w:rPr>
        <w:t>UGT1A7</w:t>
      </w:r>
      <w:r w:rsidRPr="00B415E6">
        <w:rPr>
          <w:sz w:val="22"/>
          <w:szCs w:val="21"/>
          <w:lang w:val="en-US"/>
        </w:rPr>
        <w:t xml:space="preserve"> and </w:t>
      </w:r>
      <w:r w:rsidRPr="00B415E6">
        <w:rPr>
          <w:i/>
          <w:sz w:val="22"/>
          <w:szCs w:val="21"/>
          <w:lang w:val="en-US"/>
        </w:rPr>
        <w:t>UGT1A8</w:t>
      </w:r>
      <w:r w:rsidRPr="00B415E6">
        <w:rPr>
          <w:sz w:val="22"/>
          <w:szCs w:val="21"/>
          <w:lang w:val="en-US"/>
        </w:rPr>
        <w:t xml:space="preserve"> (g) or </w:t>
      </w:r>
      <w:r w:rsidRPr="00B415E6">
        <w:rPr>
          <w:i/>
          <w:sz w:val="22"/>
          <w:szCs w:val="21"/>
          <w:lang w:val="en-US"/>
        </w:rPr>
        <w:t>UGT1A10</w:t>
      </w:r>
      <w:r w:rsidRPr="00B415E6">
        <w:rPr>
          <w:sz w:val="22"/>
          <w:szCs w:val="21"/>
          <w:lang w:val="en-US"/>
        </w:rPr>
        <w:t xml:space="preserve"> (h) expressions in colorectal cancers</w:t>
      </w:r>
    </w:p>
    <w:p w:rsidR="00DA178E" w:rsidRPr="00B415E6" w:rsidRDefault="00DA178E" w:rsidP="00DA178E">
      <w:pPr>
        <w:spacing w:line="240" w:lineRule="auto"/>
        <w:rPr>
          <w:sz w:val="28"/>
          <w:szCs w:val="21"/>
          <w:lang w:val="en-US"/>
        </w:rPr>
      </w:pPr>
    </w:p>
    <w:p w:rsidR="00DA178E" w:rsidRPr="00B415E6" w:rsidRDefault="00DA178E">
      <w:pPr>
        <w:spacing w:line="240" w:lineRule="auto"/>
        <w:jc w:val="left"/>
        <w:rPr>
          <w:b/>
          <w:sz w:val="28"/>
          <w:szCs w:val="21"/>
          <w:lang w:val="en-US"/>
        </w:rPr>
      </w:pPr>
      <w:r w:rsidRPr="00B415E6">
        <w:rPr>
          <w:b/>
          <w:sz w:val="28"/>
          <w:szCs w:val="21"/>
          <w:lang w:val="en-US"/>
        </w:rPr>
        <w:br w:type="page"/>
      </w:r>
    </w:p>
    <w:p w:rsidR="00DA178E" w:rsidRPr="00B415E6" w:rsidRDefault="008809F2" w:rsidP="00DA178E">
      <w:pPr>
        <w:spacing w:line="240" w:lineRule="auto"/>
        <w:rPr>
          <w:b/>
          <w:sz w:val="22"/>
          <w:szCs w:val="21"/>
          <w:lang w:val="en-US"/>
        </w:rPr>
      </w:pPr>
      <w:r>
        <w:rPr>
          <w:b/>
          <w:noProof/>
          <w:sz w:val="22"/>
          <w:szCs w:val="21"/>
          <w:lang w:eastAsia="fr-FR"/>
        </w:rPr>
        <w:lastRenderedPageBreak/>
        <w:drawing>
          <wp:inline distT="0" distB="0" distL="0" distR="0">
            <wp:extent cx="5756910" cy="524764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3.jpg"/>
                    <pic:cNvPicPr/>
                  </pic:nvPicPr>
                  <pic:blipFill>
                    <a:blip r:embed="rId6" cstate="hqprint">
                      <a:extLst>
                        <a:ext uri="{28A0092B-C50C-407E-A947-70E740481C1C}">
                          <a14:useLocalDpi xmlns:a14="http://schemas.microsoft.com/office/drawing/2010/main" val="0"/>
                        </a:ext>
                      </a:extLst>
                    </a:blip>
                    <a:stretch>
                      <a:fillRect/>
                    </a:stretch>
                  </pic:blipFill>
                  <pic:spPr>
                    <a:xfrm>
                      <a:off x="0" y="0"/>
                      <a:ext cx="5756910" cy="5247640"/>
                    </a:xfrm>
                    <a:prstGeom prst="rect">
                      <a:avLst/>
                    </a:prstGeom>
                  </pic:spPr>
                </pic:pic>
              </a:graphicData>
            </a:graphic>
          </wp:inline>
        </w:drawing>
      </w:r>
    </w:p>
    <w:p w:rsidR="00DA178E" w:rsidRPr="00B415E6" w:rsidRDefault="00DA178E" w:rsidP="00DA178E">
      <w:pPr>
        <w:spacing w:line="240" w:lineRule="auto"/>
        <w:rPr>
          <w:b/>
          <w:sz w:val="22"/>
          <w:szCs w:val="21"/>
          <w:lang w:val="en-US"/>
        </w:rPr>
      </w:pPr>
    </w:p>
    <w:p w:rsidR="00DA178E" w:rsidRPr="00B415E6" w:rsidRDefault="00DA178E" w:rsidP="00DA178E">
      <w:pPr>
        <w:spacing w:line="240" w:lineRule="auto"/>
        <w:rPr>
          <w:b/>
          <w:sz w:val="22"/>
          <w:szCs w:val="21"/>
          <w:lang w:val="en-US"/>
        </w:rPr>
      </w:pPr>
    </w:p>
    <w:p w:rsidR="00DA178E" w:rsidRPr="00B415E6" w:rsidRDefault="00DA178E" w:rsidP="00DA178E">
      <w:pPr>
        <w:spacing w:line="240" w:lineRule="auto"/>
        <w:rPr>
          <w:sz w:val="22"/>
          <w:szCs w:val="21"/>
          <w:lang w:val="en-US"/>
        </w:rPr>
      </w:pPr>
      <w:r w:rsidRPr="00B415E6">
        <w:rPr>
          <w:b/>
          <w:sz w:val="22"/>
          <w:szCs w:val="21"/>
          <w:lang w:val="en-US"/>
        </w:rPr>
        <w:t>Supplemental Fig 3</w:t>
      </w:r>
      <w:r w:rsidRPr="00B415E6">
        <w:rPr>
          <w:sz w:val="22"/>
          <w:szCs w:val="21"/>
          <w:lang w:val="en-US"/>
        </w:rPr>
        <w:t xml:space="preserve"> Expression of </w:t>
      </w:r>
      <w:r w:rsidRPr="00B415E6">
        <w:rPr>
          <w:i/>
          <w:sz w:val="22"/>
          <w:szCs w:val="21"/>
          <w:lang w:val="en-US"/>
        </w:rPr>
        <w:t>UGT1A10</w:t>
      </w:r>
      <w:r w:rsidRPr="00B415E6">
        <w:rPr>
          <w:sz w:val="22"/>
          <w:szCs w:val="21"/>
          <w:lang w:val="en-US"/>
        </w:rPr>
        <w:t xml:space="preserve"> gene was assessed in </w:t>
      </w:r>
      <w:proofErr w:type="spellStart"/>
      <w:r w:rsidRPr="00B415E6">
        <w:rPr>
          <w:sz w:val="22"/>
          <w:szCs w:val="21"/>
          <w:lang w:val="en-US"/>
        </w:rPr>
        <w:t>sh</w:t>
      </w:r>
      <w:proofErr w:type="spellEnd"/>
      <w:r w:rsidRPr="00B415E6">
        <w:rPr>
          <w:sz w:val="22"/>
          <w:szCs w:val="21"/>
          <w:lang w:val="en-US"/>
        </w:rPr>
        <w:t xml:space="preserve"> scramble (blue) and </w:t>
      </w:r>
      <w:proofErr w:type="spellStart"/>
      <w:r w:rsidRPr="00B415E6">
        <w:rPr>
          <w:sz w:val="22"/>
          <w:szCs w:val="21"/>
          <w:lang w:val="en-US"/>
        </w:rPr>
        <w:t>sh</w:t>
      </w:r>
      <w:proofErr w:type="spellEnd"/>
      <w:r w:rsidRPr="00B415E6">
        <w:rPr>
          <w:sz w:val="22"/>
          <w:szCs w:val="21"/>
          <w:lang w:val="en-US"/>
        </w:rPr>
        <w:t xml:space="preserve"> </w:t>
      </w:r>
      <w:r w:rsidRPr="00B415E6">
        <w:rPr>
          <w:i/>
          <w:sz w:val="22"/>
          <w:szCs w:val="21"/>
          <w:lang w:val="en-US"/>
        </w:rPr>
        <w:t>UGT1A10</w:t>
      </w:r>
      <w:r w:rsidRPr="00B415E6">
        <w:rPr>
          <w:sz w:val="22"/>
          <w:szCs w:val="21"/>
          <w:lang w:val="en-US"/>
        </w:rPr>
        <w:t xml:space="preserve"> (orange) transduced NCM460 cells by RT-qPCR, using </w:t>
      </w:r>
      <w:r w:rsidRPr="00B415E6">
        <w:rPr>
          <w:i/>
          <w:sz w:val="22"/>
          <w:szCs w:val="21"/>
          <w:lang w:val="en-US"/>
        </w:rPr>
        <w:t xml:space="preserve">GAPDH </w:t>
      </w:r>
      <w:r w:rsidRPr="00B415E6">
        <w:rPr>
          <w:sz w:val="22"/>
          <w:szCs w:val="21"/>
          <w:lang w:val="en-US"/>
        </w:rPr>
        <w:t xml:space="preserve">gene as a reference for normalization (a). Dose-response experiments were carried out for resveratrol by treatment </w:t>
      </w:r>
      <w:proofErr w:type="spellStart"/>
      <w:r w:rsidRPr="00B415E6">
        <w:rPr>
          <w:sz w:val="22"/>
          <w:szCs w:val="21"/>
          <w:lang w:val="en-US"/>
        </w:rPr>
        <w:t>sh</w:t>
      </w:r>
      <w:proofErr w:type="spellEnd"/>
      <w:r w:rsidRPr="00B415E6">
        <w:rPr>
          <w:sz w:val="22"/>
          <w:szCs w:val="21"/>
          <w:lang w:val="en-US"/>
        </w:rPr>
        <w:t xml:space="preserve"> scramble (blue dots) and </w:t>
      </w:r>
      <w:proofErr w:type="spellStart"/>
      <w:r w:rsidRPr="00B415E6">
        <w:rPr>
          <w:sz w:val="22"/>
          <w:szCs w:val="21"/>
          <w:lang w:val="en-US"/>
        </w:rPr>
        <w:t>sh</w:t>
      </w:r>
      <w:proofErr w:type="spellEnd"/>
      <w:r w:rsidRPr="00B415E6">
        <w:rPr>
          <w:sz w:val="22"/>
          <w:szCs w:val="21"/>
          <w:lang w:val="en-US"/>
        </w:rPr>
        <w:t xml:space="preserve"> </w:t>
      </w:r>
      <w:r w:rsidRPr="00B415E6">
        <w:rPr>
          <w:i/>
          <w:sz w:val="22"/>
          <w:szCs w:val="21"/>
          <w:lang w:val="en-US"/>
        </w:rPr>
        <w:t>UGT1A10</w:t>
      </w:r>
      <w:r w:rsidRPr="00B415E6">
        <w:rPr>
          <w:sz w:val="22"/>
          <w:szCs w:val="21"/>
          <w:lang w:val="en-US"/>
        </w:rPr>
        <w:t xml:space="preserve"> (orange squares) transduced NCM460 cells (b). Scatter plot of Pearson’s coefficient analysis between cell lines resveratrol IC</w:t>
      </w:r>
      <w:r w:rsidRPr="00B415E6">
        <w:rPr>
          <w:sz w:val="22"/>
          <w:szCs w:val="21"/>
          <w:vertAlign w:val="subscript"/>
          <w:lang w:val="en-US"/>
        </w:rPr>
        <w:t>50</w:t>
      </w:r>
      <w:r w:rsidRPr="00B415E6">
        <w:rPr>
          <w:sz w:val="22"/>
          <w:szCs w:val="21"/>
          <w:lang w:val="en-US"/>
        </w:rPr>
        <w:t xml:space="preserve"> and their percentage of resveratrol metabolization at 24 h (c, corresponding numerical values are presented in the associated table). Results are expressed with mean +/- SD. </w:t>
      </w:r>
      <w:proofErr w:type="gramStart"/>
      <w:r w:rsidRPr="00B415E6">
        <w:rPr>
          <w:sz w:val="22"/>
          <w:szCs w:val="21"/>
          <w:lang w:val="en-US"/>
        </w:rPr>
        <w:t>* :</w:t>
      </w:r>
      <w:proofErr w:type="gramEnd"/>
      <w:r w:rsidRPr="00B415E6">
        <w:rPr>
          <w:sz w:val="22"/>
          <w:szCs w:val="21"/>
          <w:lang w:val="en-US"/>
        </w:rPr>
        <w:t xml:space="preserve"> p&lt;0.05 ;** ;  p&lt;0.01 ; *** : p&lt;0.001</w:t>
      </w:r>
    </w:p>
    <w:p w:rsidR="00DA178E" w:rsidRPr="00B415E6" w:rsidRDefault="00DA178E" w:rsidP="00DA178E">
      <w:pPr>
        <w:spacing w:line="240" w:lineRule="auto"/>
        <w:rPr>
          <w:sz w:val="22"/>
          <w:szCs w:val="21"/>
          <w:lang w:val="en-US"/>
        </w:rPr>
      </w:pPr>
    </w:p>
    <w:p w:rsidR="00DA178E" w:rsidRPr="00B415E6" w:rsidRDefault="00DA178E">
      <w:pPr>
        <w:spacing w:line="240" w:lineRule="auto"/>
        <w:jc w:val="left"/>
        <w:rPr>
          <w:b/>
          <w:sz w:val="22"/>
          <w:szCs w:val="21"/>
          <w:lang w:val="en-US"/>
        </w:rPr>
      </w:pPr>
      <w:r w:rsidRPr="00B415E6">
        <w:rPr>
          <w:b/>
          <w:sz w:val="22"/>
          <w:szCs w:val="21"/>
          <w:lang w:val="en-US"/>
        </w:rPr>
        <w:br w:type="page"/>
      </w:r>
    </w:p>
    <w:p w:rsidR="00DA178E" w:rsidRPr="00B415E6" w:rsidRDefault="008809F2" w:rsidP="00DA178E">
      <w:pPr>
        <w:spacing w:line="240" w:lineRule="auto"/>
        <w:rPr>
          <w:sz w:val="22"/>
          <w:szCs w:val="21"/>
          <w:lang w:val="en-US"/>
        </w:rPr>
      </w:pPr>
      <w:r>
        <w:rPr>
          <w:b/>
          <w:noProof/>
          <w:sz w:val="22"/>
          <w:szCs w:val="21"/>
          <w:lang w:eastAsia="fr-FR"/>
        </w:rPr>
        <w:lastRenderedPageBreak/>
        <w:drawing>
          <wp:inline distT="0" distB="0" distL="0" distR="0">
            <wp:extent cx="5451475" cy="889381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4.jpg"/>
                    <pic:cNvPicPr/>
                  </pic:nvPicPr>
                  <pic:blipFill>
                    <a:blip r:embed="rId7" cstate="hqprint">
                      <a:extLst>
                        <a:ext uri="{28A0092B-C50C-407E-A947-70E740481C1C}">
                          <a14:useLocalDpi xmlns:a14="http://schemas.microsoft.com/office/drawing/2010/main" val="0"/>
                        </a:ext>
                      </a:extLst>
                    </a:blip>
                    <a:stretch>
                      <a:fillRect/>
                    </a:stretch>
                  </pic:blipFill>
                  <pic:spPr>
                    <a:xfrm>
                      <a:off x="0" y="0"/>
                      <a:ext cx="5451475" cy="8893810"/>
                    </a:xfrm>
                    <a:prstGeom prst="rect">
                      <a:avLst/>
                    </a:prstGeom>
                  </pic:spPr>
                </pic:pic>
              </a:graphicData>
            </a:graphic>
          </wp:inline>
        </w:drawing>
      </w:r>
      <w:r w:rsidR="00DA178E" w:rsidRPr="00B415E6">
        <w:rPr>
          <w:b/>
          <w:sz w:val="22"/>
          <w:szCs w:val="21"/>
          <w:lang w:val="en-US"/>
        </w:rPr>
        <w:lastRenderedPageBreak/>
        <w:t xml:space="preserve">Supplemental Fig 4 </w:t>
      </w:r>
      <w:r w:rsidR="00DA178E" w:rsidRPr="00B415E6">
        <w:rPr>
          <w:sz w:val="22"/>
          <w:szCs w:val="21"/>
          <w:lang w:val="en-US"/>
        </w:rPr>
        <w:t xml:space="preserve">Optical microscopic observations of HCT116 cells treated (b) or not (a) with 50 </w:t>
      </w:r>
      <w:r w:rsidR="00DA178E" w:rsidRPr="00B415E6">
        <w:rPr>
          <w:rStyle w:val="Accentuation"/>
          <w:sz w:val="22"/>
          <w:szCs w:val="21"/>
          <w:lang w:val="en-US"/>
        </w:rPr>
        <w:t>µM</w:t>
      </w:r>
      <w:r w:rsidR="00DA178E" w:rsidRPr="00B415E6">
        <w:rPr>
          <w:i/>
          <w:sz w:val="22"/>
          <w:szCs w:val="21"/>
          <w:lang w:val="en-US"/>
        </w:rPr>
        <w:t xml:space="preserve"> </w:t>
      </w:r>
      <w:r w:rsidR="00DA178E" w:rsidRPr="00B415E6">
        <w:rPr>
          <w:sz w:val="22"/>
          <w:szCs w:val="21"/>
          <w:lang w:val="en-US"/>
        </w:rPr>
        <w:t xml:space="preserve">resveratrol for 24 h. Survival experiments for HCT116 (red and dashed red), SW480 (orange and dashed orange), HT29 (blue and dashed blue) and NCM460 (green and dashed green) cells after 24 h of 50 </w:t>
      </w:r>
      <w:r w:rsidR="00DA178E" w:rsidRPr="00B415E6">
        <w:rPr>
          <w:rStyle w:val="Accentuation"/>
          <w:sz w:val="22"/>
          <w:szCs w:val="21"/>
          <w:lang w:val="en-US"/>
        </w:rPr>
        <w:t>µM</w:t>
      </w:r>
      <w:r w:rsidR="00DA178E" w:rsidRPr="00B415E6">
        <w:rPr>
          <w:sz w:val="22"/>
          <w:szCs w:val="21"/>
          <w:lang w:val="en-US"/>
        </w:rPr>
        <w:t xml:space="preserve"> resveratrol treatment (c). Relative peak area (untreated NCM460 value was used as the reference) for ATP (d), ADP (e), AMP (f), GTP (</w:t>
      </w:r>
      <w:proofErr w:type="spellStart"/>
      <w:r w:rsidR="00DA178E" w:rsidRPr="00B415E6">
        <w:rPr>
          <w:sz w:val="22"/>
          <w:szCs w:val="21"/>
          <w:lang w:val="en-US"/>
        </w:rPr>
        <w:t>i</w:t>
      </w:r>
      <w:proofErr w:type="spellEnd"/>
      <w:r w:rsidR="00DA178E" w:rsidRPr="00B415E6">
        <w:rPr>
          <w:sz w:val="22"/>
          <w:szCs w:val="21"/>
          <w:lang w:val="en-US"/>
        </w:rPr>
        <w:t xml:space="preserve">), GDP (j), CTP (k), CDP (l) nucleotides levels and relative AXP content (g) in HCT116 and NCM460 cells after 24 h 50 µM resveratrol exposure. Adenylic charge of HCT116 and NCM460 cells after 24 h 50 µM resveratrol exposure (h). Histograms showing translation rates of HCT116 (m) and NCM460 (n) cells after 24h (simple), 48h (dashed) and 72h (checkerboard) 50µM resveratrol exposure was assessed by total-protein puromycine incorporation revealed by western-blot. Results are expressed with mean +/- SD. </w:t>
      </w:r>
      <w:proofErr w:type="gramStart"/>
      <w:r w:rsidR="00DA178E" w:rsidRPr="00B415E6">
        <w:rPr>
          <w:sz w:val="22"/>
          <w:szCs w:val="21"/>
          <w:lang w:val="en-US"/>
        </w:rPr>
        <w:t>* :</w:t>
      </w:r>
      <w:proofErr w:type="gramEnd"/>
      <w:r w:rsidR="00DA178E" w:rsidRPr="00B415E6">
        <w:rPr>
          <w:sz w:val="22"/>
          <w:szCs w:val="21"/>
          <w:lang w:val="en-US"/>
        </w:rPr>
        <w:t xml:space="preserve"> p&lt;0.05 ; ** : p&lt;0.01 ; *** : p&lt;0.001 ; ns : non-significant</w:t>
      </w:r>
    </w:p>
    <w:p w:rsidR="00DA178E" w:rsidRPr="00B415E6" w:rsidRDefault="00DA178E" w:rsidP="00DA178E">
      <w:pPr>
        <w:spacing w:line="240" w:lineRule="auto"/>
        <w:rPr>
          <w:sz w:val="22"/>
          <w:szCs w:val="21"/>
          <w:lang w:val="en-US"/>
        </w:rPr>
      </w:pPr>
    </w:p>
    <w:p w:rsidR="00DA178E" w:rsidRPr="00B415E6" w:rsidRDefault="00DA178E" w:rsidP="00DA178E">
      <w:pPr>
        <w:spacing w:line="240" w:lineRule="auto"/>
        <w:jc w:val="left"/>
        <w:rPr>
          <w:b/>
          <w:sz w:val="28"/>
          <w:szCs w:val="21"/>
          <w:lang w:val="en-US"/>
        </w:rPr>
      </w:pPr>
    </w:p>
    <w:p w:rsidR="002F0031" w:rsidRPr="00B415E6" w:rsidRDefault="006F27F1">
      <w:pPr>
        <w:rPr>
          <w:sz w:val="32"/>
          <w:lang w:val="en-US"/>
        </w:rPr>
      </w:pPr>
    </w:p>
    <w:sectPr w:rsidR="002F0031" w:rsidRPr="00B415E6" w:rsidSect="007220DB">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78E"/>
    <w:rsid w:val="000017E9"/>
    <w:rsid w:val="000C52BC"/>
    <w:rsid w:val="001B27A7"/>
    <w:rsid w:val="00200131"/>
    <w:rsid w:val="006938C7"/>
    <w:rsid w:val="006F27F1"/>
    <w:rsid w:val="007220DB"/>
    <w:rsid w:val="008809F2"/>
    <w:rsid w:val="008C021E"/>
    <w:rsid w:val="008D018D"/>
    <w:rsid w:val="0091569D"/>
    <w:rsid w:val="0098250B"/>
    <w:rsid w:val="00A50B29"/>
    <w:rsid w:val="00A6099B"/>
    <w:rsid w:val="00AC4399"/>
    <w:rsid w:val="00B415E6"/>
    <w:rsid w:val="00B5500F"/>
    <w:rsid w:val="00D36066"/>
    <w:rsid w:val="00DA178E"/>
    <w:rsid w:val="00E5501A"/>
    <w:rsid w:val="00E8641F"/>
    <w:rsid w:val="00F448AB"/>
    <w:rsid w:val="00FC153A"/>
    <w:rsid w:val="00FE49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A810B108-5A63-DD45-A124-4B7FA7FF3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78E"/>
    <w:pPr>
      <w:spacing w:line="360" w:lineRule="auto"/>
      <w:jc w:val="both"/>
    </w:pPr>
  </w:style>
  <w:style w:type="paragraph" w:styleId="Titre1">
    <w:name w:val="heading 1"/>
    <w:basedOn w:val="Normal"/>
    <w:next w:val="Normal"/>
    <w:link w:val="Titre1Car"/>
    <w:autoRedefine/>
    <w:uiPriority w:val="9"/>
    <w:qFormat/>
    <w:rsid w:val="00B5500F"/>
    <w:pPr>
      <w:keepNext/>
      <w:keepLines/>
      <w:spacing w:before="240" w:line="240" w:lineRule="auto"/>
      <w:outlineLvl w:val="0"/>
    </w:pPr>
    <w:rPr>
      <w:rFonts w:asciiTheme="majorHAnsi" w:eastAsiaTheme="majorEastAsia" w:hAnsiTheme="majorHAnsi" w:cstheme="majorBidi"/>
      <w:color w:val="1F3864" w:themeColor="accent1" w:themeShade="80"/>
      <w:sz w:val="36"/>
      <w:szCs w:val="32"/>
    </w:rPr>
  </w:style>
  <w:style w:type="paragraph" w:styleId="Titre2">
    <w:name w:val="heading 2"/>
    <w:basedOn w:val="Normal"/>
    <w:next w:val="Normal"/>
    <w:link w:val="Titre2Car"/>
    <w:autoRedefine/>
    <w:uiPriority w:val="9"/>
    <w:unhideWhenUsed/>
    <w:qFormat/>
    <w:rsid w:val="00B5500F"/>
    <w:pPr>
      <w:keepNext/>
      <w:keepLines/>
      <w:spacing w:before="40" w:line="240" w:lineRule="auto"/>
      <w:outlineLvl w:val="1"/>
    </w:pPr>
    <w:rPr>
      <w:rFonts w:asciiTheme="majorHAnsi" w:eastAsiaTheme="majorEastAsia" w:hAnsiTheme="majorHAnsi" w:cstheme="majorBidi"/>
      <w:color w:val="2E74B5" w:themeColor="accent5" w:themeShade="BF"/>
      <w:sz w:val="32"/>
      <w:szCs w:val="26"/>
    </w:rPr>
  </w:style>
  <w:style w:type="paragraph" w:styleId="Titre3">
    <w:name w:val="heading 3"/>
    <w:basedOn w:val="Normal"/>
    <w:next w:val="Normal"/>
    <w:link w:val="Titre3Car"/>
    <w:autoRedefine/>
    <w:uiPriority w:val="9"/>
    <w:unhideWhenUsed/>
    <w:qFormat/>
    <w:rsid w:val="00B5500F"/>
    <w:pPr>
      <w:keepNext/>
      <w:keepLines/>
      <w:spacing w:before="40" w:line="240" w:lineRule="auto"/>
      <w:outlineLvl w:val="2"/>
    </w:pPr>
    <w:rPr>
      <w:rFonts w:asciiTheme="majorHAnsi" w:eastAsiaTheme="majorEastAsia" w:hAnsiTheme="majorHAnsi" w:cstheme="majorBidi"/>
      <w:color w:val="00B0F0"/>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B5500F"/>
    <w:rPr>
      <w:rFonts w:asciiTheme="majorHAnsi" w:eastAsiaTheme="majorEastAsia" w:hAnsiTheme="majorHAnsi" w:cstheme="majorBidi"/>
      <w:color w:val="00B0F0"/>
      <w:sz w:val="28"/>
    </w:rPr>
  </w:style>
  <w:style w:type="character" w:customStyle="1" w:styleId="Titre2Car">
    <w:name w:val="Titre 2 Car"/>
    <w:basedOn w:val="Policepardfaut"/>
    <w:link w:val="Titre2"/>
    <w:uiPriority w:val="9"/>
    <w:rsid w:val="00B5500F"/>
    <w:rPr>
      <w:rFonts w:asciiTheme="majorHAnsi" w:eastAsiaTheme="majorEastAsia" w:hAnsiTheme="majorHAnsi" w:cstheme="majorBidi"/>
      <w:color w:val="2E74B5" w:themeColor="accent5" w:themeShade="BF"/>
      <w:sz w:val="32"/>
      <w:szCs w:val="26"/>
    </w:rPr>
  </w:style>
  <w:style w:type="character" w:customStyle="1" w:styleId="Titre1Car">
    <w:name w:val="Titre 1 Car"/>
    <w:basedOn w:val="Policepardfaut"/>
    <w:link w:val="Titre1"/>
    <w:uiPriority w:val="9"/>
    <w:rsid w:val="00B5500F"/>
    <w:rPr>
      <w:rFonts w:asciiTheme="majorHAnsi" w:eastAsiaTheme="majorEastAsia" w:hAnsiTheme="majorHAnsi" w:cstheme="majorBidi"/>
      <w:color w:val="1F3864" w:themeColor="accent1" w:themeShade="80"/>
      <w:sz w:val="36"/>
      <w:szCs w:val="32"/>
      <w:lang w:val="en-US"/>
    </w:rPr>
  </w:style>
  <w:style w:type="character" w:styleId="Accentuation">
    <w:name w:val="Emphasis"/>
    <w:basedOn w:val="Policepardfaut"/>
    <w:uiPriority w:val="20"/>
    <w:qFormat/>
    <w:rsid w:val="00DA178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478</Words>
  <Characters>2633</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Amintas</dc:creator>
  <cp:keywords/>
  <dc:description/>
  <cp:lastModifiedBy>SANDRINE</cp:lastModifiedBy>
  <cp:revision>2</cp:revision>
  <dcterms:created xsi:type="dcterms:W3CDTF">2022-05-30T11:10:00Z</dcterms:created>
  <dcterms:modified xsi:type="dcterms:W3CDTF">2022-05-30T11:10:00Z</dcterms:modified>
</cp:coreProperties>
</file>