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jc w:val="cente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8296"/>
      </w:tblGrid>
      <w:tr w:rsidR="00CC2532" w:rsidRPr="008A212C" w:rsidTr="006A53BC">
        <w:trPr>
          <w:jc w:val="center"/>
        </w:trPr>
        <w:tc>
          <w:tcPr>
            <w:tcW w:w="8296" w:type="dxa"/>
            <w:vAlign w:val="center"/>
          </w:tcPr>
          <w:p w:rsidR="00CC2532" w:rsidRDefault="00CC2532" w:rsidP="00E33C43">
            <w:pPr>
              <w:jc w:val="center"/>
              <w:rPr>
                <w:lang w:val="en-GB"/>
              </w:rPr>
            </w:pPr>
            <w:r>
              <w:rPr>
                <w:noProof/>
                <w:lang w:val="en-US"/>
              </w:rPr>
              <w:drawing>
                <wp:inline distT="0" distB="0" distL="0" distR="0">
                  <wp:extent cx="5038725" cy="7962900"/>
                  <wp:effectExtent l="0" t="0" r="9525" b="0"/>
                  <wp:docPr id="2" name="Picture 2" descr="tree_wslag2017_min2048rea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ee_wslag2017_min2048reads"/>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038725" cy="7962900"/>
                          </a:xfrm>
                          <a:prstGeom prst="rect">
                            <a:avLst/>
                          </a:prstGeom>
                          <a:noFill/>
                          <a:ln>
                            <a:noFill/>
                          </a:ln>
                        </pic:spPr>
                      </pic:pic>
                    </a:graphicData>
                  </a:graphic>
                </wp:inline>
              </w:drawing>
            </w:r>
          </w:p>
        </w:tc>
      </w:tr>
      <w:tr w:rsidR="00CC2532" w:rsidRPr="006A53BC" w:rsidTr="006A53BC">
        <w:trPr>
          <w:jc w:val="center"/>
        </w:trPr>
        <w:tc>
          <w:tcPr>
            <w:tcW w:w="8296" w:type="dxa"/>
          </w:tcPr>
          <w:p w:rsidR="00CC2532" w:rsidRDefault="005C19D8" w:rsidP="005C19D8">
            <w:pPr>
              <w:pStyle w:val="Caption"/>
              <w:jc w:val="both"/>
              <w:rPr>
                <w:lang w:val="en-GB"/>
              </w:rPr>
            </w:pPr>
            <w:bookmarkStart w:id="0" w:name="_Ref20741864"/>
            <w:r>
              <w:rPr>
                <w:b/>
                <w:color w:val="000000" w:themeColor="text1"/>
                <w:lang w:val="en-US"/>
              </w:rPr>
              <w:t xml:space="preserve">AF </w:t>
            </w:r>
            <w:r w:rsidR="00CC2532" w:rsidRPr="00C365AC">
              <w:rPr>
                <w:b/>
                <w:color w:val="000000" w:themeColor="text1"/>
                <w:lang w:val="en-US"/>
              </w:rPr>
              <w:t xml:space="preserve">Figure </w:t>
            </w:r>
            <w:bookmarkEnd w:id="0"/>
            <w:r w:rsidRPr="005C19D8">
              <w:rPr>
                <w:b/>
                <w:color w:val="000000" w:themeColor="text1"/>
                <w:lang w:val="en-US"/>
              </w:rPr>
              <w:t>1</w:t>
            </w:r>
            <w:r w:rsidR="00CC2532">
              <w:rPr>
                <w:color w:val="000000" w:themeColor="text1"/>
                <w:lang w:val="en-US"/>
              </w:rPr>
              <w:t xml:space="preserve"> A subset of the data set from sample 2, every node is supported with minimally 2048 reads. The red node indicates the most abundant species over all three datasets, together with dark blue nodes it comprises the top-5 most abundant species in this dataset. Particularly underrepresented is species </w:t>
            </w:r>
            <w:r w:rsidR="00CC2532" w:rsidRPr="00740697">
              <w:rPr>
                <w:i w:val="0"/>
                <w:iCs w:val="0"/>
                <w:color w:val="000000" w:themeColor="text1"/>
                <w:lang w:val="en-US"/>
              </w:rPr>
              <w:t>Candidatus</w:t>
            </w:r>
            <w:r w:rsidR="00CC2532" w:rsidRPr="00E90C92">
              <w:rPr>
                <w:color w:val="000000" w:themeColor="text1"/>
                <w:lang w:val="en-US"/>
              </w:rPr>
              <w:t xml:space="preserve"> </w:t>
            </w:r>
            <w:r w:rsidR="00CC2532">
              <w:rPr>
                <w:color w:val="000000" w:themeColor="text1"/>
                <w:lang w:val="en-US"/>
              </w:rPr>
              <w:t>P</w:t>
            </w:r>
            <w:r w:rsidR="00CC2532" w:rsidRPr="00E90C92">
              <w:rPr>
                <w:color w:val="000000" w:themeColor="text1"/>
                <w:lang w:val="en-US"/>
              </w:rPr>
              <w:t>elagibacter</w:t>
            </w:r>
            <w:r w:rsidR="00CC2532">
              <w:rPr>
                <w:color w:val="000000" w:themeColor="text1"/>
                <w:lang w:val="en-US"/>
              </w:rPr>
              <w:t xml:space="preserve"> (grey node) compared to sample 1 and 3.</w:t>
            </w:r>
          </w:p>
        </w:tc>
      </w:tr>
    </w:tbl>
    <w:p w:rsidR="00CC2532" w:rsidRDefault="00CC2532" w:rsidP="00CC2532">
      <w:pPr>
        <w:rPr>
          <w:lang w:val="en-GB"/>
        </w:rPr>
      </w:pPr>
      <w:r>
        <w:rPr>
          <w:lang w:val="en-GB"/>
        </w:rPr>
        <w:br w:type="page"/>
      </w:r>
    </w:p>
    <w:tbl>
      <w:tblPr>
        <w:tblStyle w:val="TableGrid"/>
        <w:tblW w:w="0" w:type="auto"/>
        <w:jc w:val="cente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8296"/>
      </w:tblGrid>
      <w:tr w:rsidR="00CC2532" w:rsidRPr="008A212C" w:rsidTr="006A53BC">
        <w:trPr>
          <w:jc w:val="center"/>
        </w:trPr>
        <w:tc>
          <w:tcPr>
            <w:tcW w:w="8296" w:type="dxa"/>
            <w:vAlign w:val="center"/>
          </w:tcPr>
          <w:p w:rsidR="00CC2532" w:rsidRDefault="00CC2532" w:rsidP="00E33C43">
            <w:pPr>
              <w:jc w:val="center"/>
              <w:rPr>
                <w:lang w:val="en-GB"/>
              </w:rPr>
            </w:pPr>
            <w:r>
              <w:rPr>
                <w:noProof/>
                <w:lang w:val="en-US"/>
              </w:rPr>
              <w:lastRenderedPageBreak/>
              <w:drawing>
                <wp:inline distT="0" distB="0" distL="0" distR="0">
                  <wp:extent cx="5038725" cy="6981825"/>
                  <wp:effectExtent l="0" t="0" r="9525" b="9525"/>
                  <wp:docPr id="1" name="Picture 1" descr="tree_wslag2018_min588rea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ree_wslag2018_min588read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38725" cy="6981825"/>
                          </a:xfrm>
                          <a:prstGeom prst="rect">
                            <a:avLst/>
                          </a:prstGeom>
                          <a:noFill/>
                          <a:ln>
                            <a:noFill/>
                          </a:ln>
                        </pic:spPr>
                      </pic:pic>
                    </a:graphicData>
                  </a:graphic>
                </wp:inline>
              </w:drawing>
            </w:r>
          </w:p>
        </w:tc>
      </w:tr>
      <w:tr w:rsidR="00CC2532" w:rsidRPr="006A53BC" w:rsidTr="006A53BC">
        <w:trPr>
          <w:jc w:val="center"/>
        </w:trPr>
        <w:tc>
          <w:tcPr>
            <w:tcW w:w="8296" w:type="dxa"/>
          </w:tcPr>
          <w:p w:rsidR="00CC2532" w:rsidRDefault="005C19D8" w:rsidP="005C19D8">
            <w:pPr>
              <w:pStyle w:val="Caption"/>
              <w:jc w:val="both"/>
              <w:rPr>
                <w:lang w:val="en-GB"/>
              </w:rPr>
            </w:pPr>
            <w:bookmarkStart w:id="1" w:name="_Ref20741889"/>
            <w:r>
              <w:rPr>
                <w:b/>
                <w:color w:val="000000" w:themeColor="text1"/>
                <w:lang w:val="en-US"/>
              </w:rPr>
              <w:t xml:space="preserve">AF </w:t>
            </w:r>
            <w:r w:rsidR="00CC2532" w:rsidRPr="00C365AC">
              <w:rPr>
                <w:b/>
                <w:color w:val="000000" w:themeColor="text1"/>
                <w:lang w:val="en-US"/>
              </w:rPr>
              <w:t xml:space="preserve">Figure </w:t>
            </w:r>
            <w:bookmarkEnd w:id="1"/>
            <w:r w:rsidRPr="00D00A66">
              <w:rPr>
                <w:b/>
                <w:color w:val="000000" w:themeColor="text1"/>
                <w:lang w:val="en-US"/>
              </w:rPr>
              <w:t>2</w:t>
            </w:r>
            <w:r w:rsidR="00CC2532">
              <w:rPr>
                <w:color w:val="000000" w:themeColor="text1"/>
                <w:lang w:val="en-US"/>
              </w:rPr>
              <w:t xml:space="preserve"> Taxonomic tree on a subset of sequencing data from sample 3, every node is supported with at least 588 reads. Again the red node indicates the overall most abundant species, and together with dark blues nodes they form the top-5 most abundant species for this dataset. Compared to the year before </w:t>
            </w:r>
            <w:r w:rsidR="00CC2532" w:rsidRPr="0071545A">
              <w:rPr>
                <w:i w:val="0"/>
                <w:iCs w:val="0"/>
                <w:color w:val="000000" w:themeColor="text1"/>
                <w:lang w:val="en-US"/>
              </w:rPr>
              <w:t>Flavobacteriales</w:t>
            </w:r>
            <w:r w:rsidR="00CC2532" w:rsidRPr="00765C76">
              <w:rPr>
                <w:color w:val="000000" w:themeColor="text1"/>
                <w:lang w:val="en-US"/>
              </w:rPr>
              <w:t xml:space="preserve"> bacterium</w:t>
            </w:r>
            <w:r w:rsidR="00CC2532">
              <w:rPr>
                <w:color w:val="000000" w:themeColor="text1"/>
                <w:lang w:val="en-US"/>
              </w:rPr>
              <w:t xml:space="preserve"> is underrepresented (green node).</w:t>
            </w:r>
          </w:p>
        </w:tc>
      </w:tr>
    </w:tbl>
    <w:p w:rsidR="00CC2532" w:rsidRDefault="00CC2532">
      <w:pPr>
        <w:rPr>
          <w:lang w:val="en-GB"/>
        </w:rPr>
      </w:pPr>
      <w:r>
        <w:rPr>
          <w:lang w:val="en-GB"/>
        </w:rPr>
        <w:br w:type="page"/>
      </w:r>
    </w:p>
    <w:p w:rsidR="00FA5736" w:rsidRDefault="00FA5736" w:rsidP="00CC2532">
      <w:pPr>
        <w:jc w:val="both"/>
        <w:rPr>
          <w:lang w:val="en-US"/>
        </w:rPr>
      </w:pPr>
      <w:r>
        <w:rPr>
          <w:lang w:val="en-GB"/>
        </w:rPr>
        <w:lastRenderedPageBreak/>
        <w:t xml:space="preserve">The top-5 most abundant species in sample 1 are: </w:t>
      </w:r>
      <w:r w:rsidRPr="000D4E59">
        <w:rPr>
          <w:i/>
          <w:iCs/>
          <w:lang w:val="en-GB"/>
        </w:rPr>
        <w:t>Candidatus</w:t>
      </w:r>
      <w:r w:rsidRPr="002D72DA">
        <w:rPr>
          <w:lang w:val="en-GB"/>
        </w:rPr>
        <w:t xml:space="preserve"> Pelagibacter ubique</w:t>
      </w:r>
      <w:r>
        <w:rPr>
          <w:lang w:val="en-GB"/>
        </w:rPr>
        <w:t xml:space="preserve"> (9.31% of Proteobacteria), </w:t>
      </w:r>
      <w:r w:rsidRPr="002D72DA">
        <w:rPr>
          <w:lang w:val="en-GB"/>
        </w:rPr>
        <w:t>bacterium TMED221</w:t>
      </w:r>
      <w:r>
        <w:rPr>
          <w:lang w:val="en-GB"/>
        </w:rPr>
        <w:t xml:space="preserve"> (8.61% of unclassified bacteria), </w:t>
      </w:r>
      <w:r w:rsidRPr="002D72DA">
        <w:rPr>
          <w:lang w:val="en-GB"/>
        </w:rPr>
        <w:t>Flavobacteriaceae bacterium TMED238</w:t>
      </w:r>
      <w:r>
        <w:rPr>
          <w:lang w:val="en-GB"/>
        </w:rPr>
        <w:t xml:space="preserve"> (4.48% of the FCB group), </w:t>
      </w:r>
      <w:r w:rsidRPr="000D4E59">
        <w:rPr>
          <w:i/>
          <w:iCs/>
          <w:lang w:val="en-GB"/>
        </w:rPr>
        <w:t>Planktomarina temperata</w:t>
      </w:r>
      <w:r>
        <w:rPr>
          <w:lang w:val="en-GB"/>
        </w:rPr>
        <w:t xml:space="preserve"> (4.46% of Proteobacteria) and </w:t>
      </w:r>
      <w:r w:rsidRPr="00D84353">
        <w:rPr>
          <w:lang w:val="en-GB"/>
        </w:rPr>
        <w:t>Cryomorphaceae bacterium MED-G11</w:t>
      </w:r>
      <w:r>
        <w:rPr>
          <w:lang w:val="en-GB"/>
        </w:rPr>
        <w:t xml:space="preserve"> (4.16% of the FCB group) (</w:t>
      </w:r>
      <w:r w:rsidRPr="00FA5736">
        <w:rPr>
          <w:b/>
          <w:lang w:val="en-GB"/>
        </w:rPr>
        <w:t>Figure 1 B</w:t>
      </w:r>
      <w:r>
        <w:rPr>
          <w:lang w:val="en-GB"/>
        </w:rPr>
        <w:t xml:space="preserve">, red and dark blue nodes). </w:t>
      </w:r>
      <w:r>
        <w:rPr>
          <w:lang w:val="en-US"/>
        </w:rPr>
        <w:t>Approximately 2% of classified reads belong to species</w:t>
      </w:r>
      <w:r w:rsidRPr="00A157EC">
        <w:rPr>
          <w:lang w:val="en-US"/>
        </w:rPr>
        <w:t xml:space="preserve"> </w:t>
      </w:r>
      <w:r w:rsidRPr="000D4E59">
        <w:rPr>
          <w:i/>
          <w:iCs/>
          <w:lang w:val="en-US"/>
        </w:rPr>
        <w:t>Nereida ignava</w:t>
      </w:r>
      <w:r>
        <w:rPr>
          <w:lang w:val="en-US"/>
        </w:rPr>
        <w:t xml:space="preserve">, compared to less than 0.04% from sample 2 and 3 it </w:t>
      </w:r>
      <w:r w:rsidRPr="00A157EC">
        <w:rPr>
          <w:lang w:val="en-US"/>
        </w:rPr>
        <w:t xml:space="preserve">is the most prominent difference </w:t>
      </w:r>
      <w:r>
        <w:rPr>
          <w:lang w:val="en-US"/>
        </w:rPr>
        <w:t>between the two locations (</w:t>
      </w:r>
      <w:r>
        <w:rPr>
          <w:b/>
          <w:lang w:val="en-US"/>
        </w:rPr>
        <w:t>Figure 1 B</w:t>
      </w:r>
      <w:r w:rsidRPr="00750C5F">
        <w:rPr>
          <w:lang w:val="en-US"/>
        </w:rPr>
        <w:t>,</w:t>
      </w:r>
      <w:r>
        <w:rPr>
          <w:lang w:val="en-US"/>
        </w:rPr>
        <w:t xml:space="preserve"> yellow node).</w:t>
      </w:r>
    </w:p>
    <w:p w:rsidR="00FA5736" w:rsidRDefault="00FA5736" w:rsidP="00CC2532">
      <w:pPr>
        <w:jc w:val="both"/>
        <w:rPr>
          <w:lang w:val="en-US"/>
        </w:rPr>
      </w:pPr>
      <w:r>
        <w:rPr>
          <w:lang w:val="en-US"/>
        </w:rPr>
        <w:t xml:space="preserve">In the second sample four of the top-5 most abundant species belong to the same species: </w:t>
      </w:r>
      <w:r w:rsidRPr="000D4E59">
        <w:rPr>
          <w:i/>
          <w:iCs/>
          <w:lang w:val="en-US"/>
        </w:rPr>
        <w:t>Planktomarina temperat</w:t>
      </w:r>
      <w:r>
        <w:rPr>
          <w:i/>
          <w:iCs/>
          <w:lang w:val="en-US"/>
        </w:rPr>
        <w:t>a</w:t>
      </w:r>
      <w:r>
        <w:rPr>
          <w:lang w:val="en-US"/>
        </w:rPr>
        <w:t xml:space="preserve"> (15.66% of Proteobacteria), </w:t>
      </w:r>
      <w:r w:rsidRPr="00BF6166">
        <w:rPr>
          <w:lang w:val="en-US"/>
        </w:rPr>
        <w:t>Flavobacteriales bacterium UBA3446</w:t>
      </w:r>
      <w:r>
        <w:rPr>
          <w:lang w:val="en-US"/>
        </w:rPr>
        <w:t xml:space="preserve"> (5.54% of the FCB group), </w:t>
      </w:r>
      <w:r w:rsidRPr="00BF6166">
        <w:rPr>
          <w:lang w:val="en-US"/>
        </w:rPr>
        <w:t>Flavobacteriales bacterium UBA7358</w:t>
      </w:r>
      <w:r>
        <w:rPr>
          <w:lang w:val="en-US"/>
        </w:rPr>
        <w:t xml:space="preserve">  (5.30% of the FCB group), </w:t>
      </w:r>
      <w:r w:rsidRPr="00BF6166">
        <w:rPr>
          <w:lang w:val="en-US"/>
        </w:rPr>
        <w:t>Flavobacteriales bacterium UBA4585</w:t>
      </w:r>
      <w:r>
        <w:rPr>
          <w:lang w:val="en-US"/>
        </w:rPr>
        <w:t xml:space="preserve"> (5.12% of the FCB group) and </w:t>
      </w:r>
      <w:r w:rsidRPr="00BF6166">
        <w:rPr>
          <w:lang w:val="en-US"/>
        </w:rPr>
        <w:t>Flavobacteriales bacterium UBA7429</w:t>
      </w:r>
      <w:r>
        <w:rPr>
          <w:lang w:val="en-US"/>
        </w:rPr>
        <w:t xml:space="preserve"> (4.41% of the FCB group) </w:t>
      </w:r>
      <w:r>
        <w:rPr>
          <w:lang w:val="en-GB"/>
        </w:rPr>
        <w:t>(</w:t>
      </w:r>
      <w:r w:rsidR="005C19D8" w:rsidRPr="005C19D8">
        <w:rPr>
          <w:b/>
          <w:lang w:val="en-GB"/>
        </w:rPr>
        <w:t>AF Figure 1</w:t>
      </w:r>
      <w:r>
        <w:rPr>
          <w:lang w:val="en-GB"/>
        </w:rPr>
        <w:t>, red and dark blue nodes)</w:t>
      </w:r>
      <w:r>
        <w:rPr>
          <w:lang w:val="en-US"/>
        </w:rPr>
        <w:t xml:space="preserve">. Even though </w:t>
      </w:r>
      <w:r w:rsidRPr="000D4E59">
        <w:rPr>
          <w:i/>
          <w:iCs/>
          <w:lang w:val="en-GB"/>
        </w:rPr>
        <w:t>Planktomarina temperata</w:t>
      </w:r>
      <w:r>
        <w:rPr>
          <w:lang w:val="en-GB"/>
        </w:rPr>
        <w:t xml:space="preserve"> reads are </w:t>
      </w:r>
      <w:r>
        <w:rPr>
          <w:lang w:val="en-US"/>
        </w:rPr>
        <w:t>abundantly present in all three samples</w:t>
      </w:r>
      <w:r>
        <w:rPr>
          <w:lang w:val="en-GB"/>
        </w:rPr>
        <w:t xml:space="preserve"> they are particularly enriched (15.66%) in this sample compared to 7.82% from the next year</w:t>
      </w:r>
      <w:bookmarkStart w:id="2" w:name="_GoBack"/>
      <w:bookmarkEnd w:id="2"/>
      <w:r>
        <w:rPr>
          <w:lang w:val="en-GB"/>
        </w:rPr>
        <w:t xml:space="preserve"> and 4.46% from France. Additionally, the presence of </w:t>
      </w:r>
      <w:r w:rsidRPr="000D4E59">
        <w:rPr>
          <w:i/>
          <w:iCs/>
          <w:lang w:val="en-US"/>
        </w:rPr>
        <w:t>Candidatus</w:t>
      </w:r>
      <w:r>
        <w:rPr>
          <w:lang w:val="en-US"/>
        </w:rPr>
        <w:t xml:space="preserve"> Pelagibacter ubique is underrepresented in this sample, 1% of all classified reads belong to this species, compared to ~11% and 9% in sample 1 and 3, respectively (</w:t>
      </w:r>
      <w:r w:rsidR="005C19D8" w:rsidRPr="005C19D8">
        <w:rPr>
          <w:b/>
          <w:lang w:val="en-GB"/>
        </w:rPr>
        <w:t>AF Figure 1</w:t>
      </w:r>
      <w:r>
        <w:rPr>
          <w:lang w:val="en-US"/>
        </w:rPr>
        <w:t xml:space="preserve">, grey node). </w:t>
      </w:r>
    </w:p>
    <w:p w:rsidR="009C2639" w:rsidRPr="00FA5736" w:rsidRDefault="00FA5736" w:rsidP="00FA5736">
      <w:pPr>
        <w:rPr>
          <w:lang w:val="en-US"/>
        </w:rPr>
      </w:pPr>
      <w:r>
        <w:rPr>
          <w:lang w:val="en-US"/>
        </w:rPr>
        <w:t xml:space="preserve">Finally, the top-5 most abundant species from sample 3: </w:t>
      </w:r>
      <w:r w:rsidRPr="00282E64">
        <w:rPr>
          <w:i/>
          <w:iCs/>
          <w:lang w:val="en-US"/>
        </w:rPr>
        <w:t>Candidatus</w:t>
      </w:r>
      <w:r w:rsidRPr="000A4948">
        <w:rPr>
          <w:lang w:val="en-US"/>
        </w:rPr>
        <w:t xml:space="preserve"> Pelagibacter ubique</w:t>
      </w:r>
      <w:r>
        <w:rPr>
          <w:lang w:val="en-US"/>
        </w:rPr>
        <w:t xml:space="preserve"> (9.</w:t>
      </w:r>
      <w:r w:rsidRPr="000A4948">
        <w:rPr>
          <w:lang w:val="en-US"/>
        </w:rPr>
        <w:t>24%</w:t>
      </w:r>
      <w:r>
        <w:rPr>
          <w:lang w:val="en-US"/>
        </w:rPr>
        <w:t xml:space="preserve"> of Proteobacteria), </w:t>
      </w:r>
      <w:r w:rsidRPr="000A4948">
        <w:rPr>
          <w:lang w:val="en-US"/>
        </w:rPr>
        <w:t>Oceanospirillales bacterium TMED91</w:t>
      </w:r>
      <w:r>
        <w:rPr>
          <w:lang w:val="en-US"/>
        </w:rPr>
        <w:t xml:space="preserve"> (8.</w:t>
      </w:r>
      <w:r w:rsidRPr="000A4948">
        <w:rPr>
          <w:lang w:val="en-US"/>
        </w:rPr>
        <w:t>12%</w:t>
      </w:r>
      <w:r>
        <w:rPr>
          <w:lang w:val="en-US"/>
        </w:rPr>
        <w:t xml:space="preserve"> of Proteobacteria), </w:t>
      </w:r>
      <w:r w:rsidRPr="000A4948">
        <w:rPr>
          <w:lang w:val="en-US"/>
        </w:rPr>
        <w:t>gamma proteobacterium SCGC AAA168-P09 (8</w:t>
      </w:r>
      <w:r>
        <w:rPr>
          <w:lang w:val="en-US"/>
        </w:rPr>
        <w:t>.</w:t>
      </w:r>
      <w:r w:rsidRPr="000A4948">
        <w:rPr>
          <w:lang w:val="en-US"/>
        </w:rPr>
        <w:t>08%</w:t>
      </w:r>
      <w:r>
        <w:rPr>
          <w:lang w:val="en-US"/>
        </w:rPr>
        <w:t xml:space="preserve"> of Proteobacteria</w:t>
      </w:r>
      <w:r w:rsidRPr="000A4948">
        <w:rPr>
          <w:lang w:val="en-US"/>
        </w:rPr>
        <w:t xml:space="preserve">), </w:t>
      </w:r>
      <w:r w:rsidRPr="00282E64">
        <w:rPr>
          <w:i/>
          <w:iCs/>
          <w:lang w:val="en-US"/>
        </w:rPr>
        <w:t>Planktomarina temperat</w:t>
      </w:r>
      <w:r>
        <w:rPr>
          <w:i/>
          <w:iCs/>
          <w:lang w:val="en-US"/>
        </w:rPr>
        <w:t>a</w:t>
      </w:r>
      <w:r w:rsidRPr="000A4948">
        <w:rPr>
          <w:lang w:val="en-US"/>
        </w:rPr>
        <w:t xml:space="preserve"> (7,82%</w:t>
      </w:r>
      <w:r w:rsidRPr="00FB03CE">
        <w:rPr>
          <w:lang w:val="en-US"/>
        </w:rPr>
        <w:t xml:space="preserve"> </w:t>
      </w:r>
      <w:r>
        <w:rPr>
          <w:lang w:val="en-US"/>
        </w:rPr>
        <w:t>of Proteobacteria</w:t>
      </w:r>
      <w:r w:rsidRPr="000A4948">
        <w:rPr>
          <w:lang w:val="en-US"/>
        </w:rPr>
        <w:t>) and gamma proteobacterium SCGC AAA168-I18 (7</w:t>
      </w:r>
      <w:r>
        <w:rPr>
          <w:lang w:val="en-US"/>
        </w:rPr>
        <w:t>.</w:t>
      </w:r>
      <w:r w:rsidRPr="000A4948">
        <w:rPr>
          <w:lang w:val="en-US"/>
        </w:rPr>
        <w:t>25%</w:t>
      </w:r>
      <w:r w:rsidRPr="00FB03CE">
        <w:rPr>
          <w:lang w:val="en-US"/>
        </w:rPr>
        <w:t xml:space="preserve"> </w:t>
      </w:r>
      <w:r>
        <w:rPr>
          <w:lang w:val="en-US"/>
        </w:rPr>
        <w:t>of Proteobacteria</w:t>
      </w:r>
      <w:r w:rsidRPr="000A4948">
        <w:rPr>
          <w:lang w:val="en-US"/>
        </w:rPr>
        <w:t>)</w:t>
      </w:r>
      <w:r>
        <w:rPr>
          <w:lang w:val="en-US"/>
        </w:rPr>
        <w:t xml:space="preserve"> </w:t>
      </w:r>
      <w:r w:rsidRPr="00D00A66">
        <w:rPr>
          <w:lang w:val="en-GB"/>
        </w:rPr>
        <w:t>(</w:t>
      </w:r>
      <w:r w:rsidR="00D00A66" w:rsidRPr="00D00A66">
        <w:rPr>
          <w:b/>
          <w:lang w:val="en-US"/>
        </w:rPr>
        <w:t>AF Figure 2</w:t>
      </w:r>
      <w:r w:rsidRPr="00D00A66">
        <w:rPr>
          <w:b/>
          <w:lang w:val="en-GB"/>
        </w:rPr>
        <w:t>,</w:t>
      </w:r>
      <w:r>
        <w:rPr>
          <w:lang w:val="en-GB"/>
        </w:rPr>
        <w:t xml:space="preserve"> red and dark blue nodes)</w:t>
      </w:r>
      <w:r>
        <w:rPr>
          <w:lang w:val="en-US"/>
        </w:rPr>
        <w:t>. Interestingly, the species gamma proteobacterium are classified strain specific (</w:t>
      </w:r>
      <w:r w:rsidR="005E1BB1" w:rsidRPr="00D00A66">
        <w:rPr>
          <w:b/>
          <w:lang w:val="en-US"/>
        </w:rPr>
        <w:t>AF Figure 2</w:t>
      </w:r>
      <w:r>
        <w:rPr>
          <w:lang w:val="en-US"/>
        </w:rPr>
        <w:t xml:space="preserve">, dark blue nodes) as opposed to </w:t>
      </w:r>
      <w:r w:rsidRPr="00136A5C">
        <w:rPr>
          <w:lang w:val="en-US"/>
        </w:rPr>
        <w:t>Flavobacteriales bacterium</w:t>
      </w:r>
      <w:r>
        <w:rPr>
          <w:lang w:val="en-US"/>
        </w:rPr>
        <w:t xml:space="preserve"> species from sample 2 and is less abundant in this sample (1.6%) compared to the year before (5.9%) </w:t>
      </w:r>
      <w:r>
        <w:rPr>
          <w:lang w:val="en-GB"/>
        </w:rPr>
        <w:t>(</w:t>
      </w:r>
      <w:r w:rsidR="005E1BB1" w:rsidRPr="00D00A66">
        <w:rPr>
          <w:b/>
          <w:lang w:val="en-US"/>
        </w:rPr>
        <w:t>AF Figure 2</w:t>
      </w:r>
      <w:r w:rsidRPr="00BC26FD">
        <w:rPr>
          <w:b/>
          <w:color w:val="FF0000"/>
          <w:lang w:val="en-GB"/>
        </w:rPr>
        <w:fldChar w:fldCharType="begin"/>
      </w:r>
      <w:r w:rsidRPr="00BC26FD">
        <w:rPr>
          <w:b/>
          <w:lang w:val="en-GB"/>
        </w:rPr>
        <w:instrText xml:space="preserve"> REF _Ref20741889 \h </w:instrText>
      </w:r>
      <w:r>
        <w:rPr>
          <w:b/>
          <w:color w:val="FF0000"/>
          <w:lang w:val="en-GB"/>
        </w:rPr>
        <w:instrText xml:space="preserve"> \* MERGEFORMAT </w:instrText>
      </w:r>
      <w:r w:rsidRPr="00BC26FD">
        <w:rPr>
          <w:b/>
          <w:color w:val="FF0000"/>
          <w:lang w:val="en-GB"/>
        </w:rPr>
      </w:r>
      <w:r w:rsidRPr="00BC26FD">
        <w:rPr>
          <w:b/>
          <w:color w:val="FF0000"/>
          <w:lang w:val="en-GB"/>
        </w:rPr>
        <w:fldChar w:fldCharType="end"/>
      </w:r>
      <w:r>
        <w:rPr>
          <w:lang w:val="en-GB"/>
        </w:rPr>
        <w:t>, green node)</w:t>
      </w:r>
      <w:r>
        <w:rPr>
          <w:lang w:val="en-US"/>
        </w:rPr>
        <w:t>.</w:t>
      </w:r>
    </w:p>
    <w:sectPr w:rsidR="009C2639" w:rsidRPr="00FA57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736"/>
    <w:rsid w:val="00107300"/>
    <w:rsid w:val="00221E9A"/>
    <w:rsid w:val="005C19D8"/>
    <w:rsid w:val="005E1BB1"/>
    <w:rsid w:val="006A53BC"/>
    <w:rsid w:val="009C2639"/>
    <w:rsid w:val="00CC2532"/>
    <w:rsid w:val="00D00A66"/>
    <w:rsid w:val="00EE20D2"/>
    <w:rsid w:val="00FA573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6BDAEE-6595-428A-88D7-C55917E99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57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C25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CC2532"/>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434</Words>
  <Characters>2480</Characters>
  <Application>Microsoft Office Word</Application>
  <DocSecurity>0</DocSecurity>
  <Lines>20</Lines>
  <Paragraphs>5</Paragraphs>
  <ScaleCrop>false</ScaleCrop>
  <Company>ISSC</Company>
  <LinksUpToDate>false</LinksUpToDate>
  <CharactersWithSpaces>2909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Liem, M.</dc:creator>
  <cp:keywords/>
  <dc:description/>
  <cp:lastModifiedBy>Liem, M.</cp:lastModifiedBy>
  <cp:revision>6</cp:revision>
  <dcterms:created xsi:type="dcterms:W3CDTF">2020-02-07T12:01:00Z</dcterms:created>
  <dcterms:modified xsi:type="dcterms:W3CDTF">2020-02-07T14:35:00Z</dcterms:modified>
</cp:coreProperties>
</file>