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2B28A" w14:textId="2157689B" w:rsidR="00D66C2E" w:rsidRDefault="00D66C2E">
      <w:pPr>
        <w:rPr>
          <w:rFonts w:ascii="Times New Roman" w:hAnsi="Times New Roman" w:cs="Times New Roman" w:hint="eastAsia"/>
          <w:b/>
          <w:bCs/>
        </w:rPr>
      </w:pPr>
      <w:r w:rsidRPr="007A0148">
        <w:rPr>
          <w:rFonts w:ascii="Times New Roman" w:hAnsi="Times New Roman" w:cs="Times New Roman"/>
          <w:noProof/>
        </w:rPr>
        <w:drawing>
          <wp:inline distT="0" distB="0" distL="0" distR="0" wp14:anchorId="21CC09F5" wp14:editId="1BC2F5AB">
            <wp:extent cx="5274310" cy="40316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7AC1" w14:textId="45C5DB81" w:rsidR="00E73424" w:rsidRDefault="00B0456A">
      <w:r w:rsidRPr="007A0148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7A0148">
        <w:rPr>
          <w:rFonts w:ascii="Times New Roman" w:hAnsi="Times New Roman" w:cs="Times New Roman"/>
          <w:b/>
          <w:bCs/>
        </w:rPr>
        <w:t xml:space="preserve">. </w:t>
      </w:r>
      <w:r w:rsidRPr="007A0148">
        <w:rPr>
          <w:rFonts w:ascii="Times New Roman" w:hAnsi="Times New Roman" w:cs="Times New Roman"/>
        </w:rPr>
        <w:t xml:space="preserve">Enrichment analysis of </w:t>
      </w:r>
      <w:r w:rsidRPr="007A0148">
        <w:rPr>
          <w:rFonts w:ascii="Times New Roman" w:eastAsia="等线" w:hAnsi="Times New Roman" w:cs="Times New Roman"/>
          <w:color w:val="000000"/>
          <w:sz w:val="22"/>
        </w:rPr>
        <w:t xml:space="preserve">AL137803.1’s </w:t>
      </w:r>
      <w:r w:rsidRPr="007A0148">
        <w:rPr>
          <w:rFonts w:ascii="Times New Roman" w:hAnsi="Times New Roman" w:cs="Times New Roman"/>
        </w:rPr>
        <w:t xml:space="preserve">target genes. GO enrichment results were revealed as </w:t>
      </w:r>
      <w:proofErr w:type="spellStart"/>
      <w:r w:rsidRPr="007A0148">
        <w:rPr>
          <w:rFonts w:ascii="Times New Roman" w:hAnsi="Times New Roman" w:cs="Times New Roman"/>
          <w:szCs w:val="24"/>
        </w:rPr>
        <w:t>barplot</w:t>
      </w:r>
      <w:proofErr w:type="spellEnd"/>
      <w:r w:rsidRPr="007A0148">
        <w:rPr>
          <w:rFonts w:ascii="Times New Roman" w:hAnsi="Times New Roman" w:cs="Times New Roman"/>
          <w:szCs w:val="24"/>
        </w:rPr>
        <w:t xml:space="preserve"> </w:t>
      </w:r>
      <w:r w:rsidRPr="007A0148">
        <w:rPr>
          <w:rFonts w:ascii="Times New Roman" w:hAnsi="Times New Roman" w:cs="Times New Roman"/>
          <w:b/>
          <w:bCs/>
          <w:szCs w:val="24"/>
        </w:rPr>
        <w:t xml:space="preserve">(A) </w:t>
      </w:r>
      <w:r w:rsidRPr="007A0148">
        <w:rPr>
          <w:rFonts w:ascii="Times New Roman" w:hAnsi="Times New Roman" w:cs="Times New Roman"/>
          <w:szCs w:val="24"/>
        </w:rPr>
        <w:t xml:space="preserve">and bubble plot </w:t>
      </w:r>
      <w:r w:rsidRPr="007A0148">
        <w:rPr>
          <w:rFonts w:ascii="Times New Roman" w:hAnsi="Times New Roman" w:cs="Times New Roman"/>
          <w:b/>
          <w:bCs/>
          <w:szCs w:val="24"/>
        </w:rPr>
        <w:t>(B)</w:t>
      </w:r>
      <w:r w:rsidRPr="007A0148">
        <w:rPr>
          <w:rFonts w:ascii="Times New Roman" w:hAnsi="Times New Roman" w:cs="Times New Roman"/>
          <w:szCs w:val="24"/>
        </w:rPr>
        <w:t xml:space="preserve">. the ordinate represents differential GO terms, while the abscissa represented the p-value. KGEE pathway enrichment results were revealed as </w:t>
      </w:r>
      <w:proofErr w:type="spellStart"/>
      <w:r w:rsidRPr="007A0148">
        <w:rPr>
          <w:rFonts w:ascii="Times New Roman" w:hAnsi="Times New Roman" w:cs="Times New Roman"/>
          <w:szCs w:val="24"/>
        </w:rPr>
        <w:t>barplot</w:t>
      </w:r>
      <w:proofErr w:type="spellEnd"/>
      <w:r w:rsidRPr="007A0148">
        <w:rPr>
          <w:rFonts w:ascii="Times New Roman" w:hAnsi="Times New Roman" w:cs="Times New Roman"/>
          <w:szCs w:val="24"/>
        </w:rPr>
        <w:t xml:space="preserve"> </w:t>
      </w:r>
      <w:r w:rsidRPr="007A0148">
        <w:rPr>
          <w:rFonts w:ascii="Times New Roman" w:hAnsi="Times New Roman" w:cs="Times New Roman"/>
          <w:b/>
          <w:bCs/>
          <w:szCs w:val="24"/>
        </w:rPr>
        <w:t xml:space="preserve">(C) </w:t>
      </w:r>
      <w:r w:rsidRPr="007A0148">
        <w:rPr>
          <w:rFonts w:ascii="Times New Roman" w:hAnsi="Times New Roman" w:cs="Times New Roman"/>
          <w:szCs w:val="24"/>
        </w:rPr>
        <w:t xml:space="preserve">and bubble plot </w:t>
      </w:r>
      <w:r w:rsidRPr="007A0148">
        <w:rPr>
          <w:rFonts w:ascii="Times New Roman" w:hAnsi="Times New Roman" w:cs="Times New Roman"/>
          <w:b/>
          <w:bCs/>
          <w:szCs w:val="24"/>
        </w:rPr>
        <w:t>(D)</w:t>
      </w:r>
      <w:r w:rsidRPr="007A0148">
        <w:rPr>
          <w:rFonts w:ascii="Times New Roman" w:hAnsi="Times New Roman" w:cs="Times New Roman"/>
          <w:szCs w:val="24"/>
        </w:rPr>
        <w:t xml:space="preserve"> homoplastically. Each category showed top 10 GO terms. </w:t>
      </w:r>
      <w:r w:rsidRPr="007A0148">
        <w:rPr>
          <w:rFonts w:ascii="Times New Roman" w:hAnsi="Times New Roman" w:cs="Times New Roman"/>
        </w:rPr>
        <w:t xml:space="preserve">     </w:t>
      </w:r>
    </w:p>
    <w:sectPr w:rsidR="00E73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56A"/>
    <w:rsid w:val="00423561"/>
    <w:rsid w:val="008046D2"/>
    <w:rsid w:val="00B0456A"/>
    <w:rsid w:val="00D6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D1DD6"/>
  <w15:chartTrackingRefBased/>
  <w15:docId w15:val="{78D8EE9B-BF16-4A7E-919F-9AC33095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鹏</dc:creator>
  <cp:keywords/>
  <dc:description/>
  <cp:lastModifiedBy>陈 鹏</cp:lastModifiedBy>
  <cp:revision>2</cp:revision>
  <dcterms:created xsi:type="dcterms:W3CDTF">2022-05-10T12:02:00Z</dcterms:created>
  <dcterms:modified xsi:type="dcterms:W3CDTF">2022-05-10T12:03:00Z</dcterms:modified>
</cp:coreProperties>
</file>