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125BE" w14:textId="585A7E5D" w:rsidR="00E73424" w:rsidRDefault="004D4332">
      <w:r>
        <w:rPr>
          <w:noProof/>
        </w:rPr>
        <w:drawing>
          <wp:inline distT="0" distB="0" distL="0" distR="0" wp14:anchorId="7AFD6B26" wp14:editId="2EAB1A60">
            <wp:extent cx="5274310" cy="71247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EF4C5" w14:textId="4C8C0C4F" w:rsidR="004D4332" w:rsidRPr="007A0148" w:rsidRDefault="004D4332" w:rsidP="004D4332">
      <w:pPr>
        <w:rPr>
          <w:rFonts w:ascii="Times New Roman" w:hAnsi="Times New Roman" w:cs="Times New Roman"/>
        </w:rPr>
      </w:pPr>
      <w:r w:rsidRPr="007A0148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S3</w:t>
      </w:r>
      <w:r w:rsidRPr="007A0148">
        <w:rPr>
          <w:rFonts w:ascii="Times New Roman" w:hAnsi="Times New Roman" w:cs="Times New Roman"/>
          <w:b/>
          <w:bCs/>
        </w:rPr>
        <w:t>.</w:t>
      </w:r>
      <w:r w:rsidRPr="007A0148">
        <w:rPr>
          <w:rFonts w:ascii="Times New Roman" w:hAnsi="Times New Roman" w:cs="Times New Roman"/>
        </w:rPr>
        <w:t xml:space="preserve"> Risk score distribution and prognostic signatures validation process in t</w:t>
      </w:r>
      <w:r>
        <w:rPr>
          <w:rFonts w:ascii="Times New Roman" w:hAnsi="Times New Roman" w:cs="Times New Roman"/>
        </w:rPr>
        <w:t>est</w:t>
      </w:r>
      <w:r w:rsidRPr="007A0148">
        <w:rPr>
          <w:rFonts w:ascii="Times New Roman" w:hAnsi="Times New Roman" w:cs="Times New Roman"/>
        </w:rPr>
        <w:t xml:space="preserve"> set. PCA </w:t>
      </w:r>
      <w:r w:rsidRPr="007A0148">
        <w:rPr>
          <w:rFonts w:ascii="Times New Roman" w:hAnsi="Times New Roman" w:cs="Times New Roman"/>
          <w:b/>
          <w:bCs/>
        </w:rPr>
        <w:t>(A)</w:t>
      </w:r>
      <w:r w:rsidRPr="007A0148">
        <w:rPr>
          <w:rFonts w:ascii="Times New Roman" w:hAnsi="Times New Roman" w:cs="Times New Roman"/>
        </w:rPr>
        <w:t xml:space="preserve"> and t-SNE</w:t>
      </w:r>
      <w:r w:rsidRPr="007A0148">
        <w:rPr>
          <w:rFonts w:ascii="Times New Roman" w:hAnsi="Times New Roman" w:cs="Times New Roman"/>
          <w:b/>
          <w:bCs/>
        </w:rPr>
        <w:t xml:space="preserve"> (B)</w:t>
      </w:r>
      <w:r w:rsidRPr="007A0148">
        <w:rPr>
          <w:rFonts w:ascii="Times New Roman" w:hAnsi="Times New Roman" w:cs="Times New Roman"/>
        </w:rPr>
        <w:t xml:space="preserve"> analysis reflected convincing separation effect of high-risk group (red) and low-risk group (blue). All the TCGA-LIHC train set samples was divided based on the risk score ,which was calculated using the prognostic model we previous constructed, details could be seen at risk score plot </w:t>
      </w:r>
      <w:r w:rsidRPr="007A0148">
        <w:rPr>
          <w:rFonts w:ascii="Times New Roman" w:hAnsi="Times New Roman" w:cs="Times New Roman"/>
          <w:b/>
          <w:bCs/>
        </w:rPr>
        <w:t>(D)</w:t>
      </w:r>
      <w:r w:rsidRPr="007A0148">
        <w:rPr>
          <w:rFonts w:ascii="Times New Roman" w:hAnsi="Times New Roman" w:cs="Times New Roman"/>
        </w:rPr>
        <w:t xml:space="preserve">. </w:t>
      </w:r>
      <w:r w:rsidRPr="007A0148">
        <w:rPr>
          <w:rFonts w:ascii="Times New Roman" w:hAnsi="Times New Roman" w:cs="Times New Roman"/>
          <w:b/>
          <w:bCs/>
        </w:rPr>
        <w:t>(C)</w:t>
      </w:r>
      <w:r w:rsidRPr="007A0148">
        <w:rPr>
          <w:rFonts w:ascii="Times New Roman" w:hAnsi="Times New Roman" w:cs="Times New Roman"/>
        </w:rPr>
        <w:t xml:space="preserve"> Heatmap showed these four signatures’ expression levels in high-risk and low-risk group, red meant up-regulated and blue meant down-regulated.</w:t>
      </w:r>
      <w:r w:rsidRPr="007A0148">
        <w:rPr>
          <w:rFonts w:ascii="Times New Roman" w:hAnsi="Times New Roman" w:cs="Times New Roman"/>
          <w:b/>
          <w:bCs/>
        </w:rPr>
        <w:t xml:space="preserve"> (E)</w:t>
      </w:r>
      <w:r w:rsidRPr="007A0148">
        <w:rPr>
          <w:rFonts w:ascii="Times New Roman" w:hAnsi="Times New Roman" w:cs="Times New Roman"/>
        </w:rPr>
        <w:t xml:space="preserve"> Survival state plot represented all the dead (red) or alive (blue) patients’ overall survival, and increased mortality rate appeared in high-risk group . </w:t>
      </w:r>
      <w:r w:rsidRPr="007A0148">
        <w:rPr>
          <w:rFonts w:ascii="Times New Roman" w:hAnsi="Times New Roman" w:cs="Times New Roman"/>
          <w:b/>
          <w:bCs/>
        </w:rPr>
        <w:t xml:space="preserve">(F) </w:t>
      </w:r>
      <w:r w:rsidRPr="007A0148">
        <w:rPr>
          <w:rFonts w:ascii="Times New Roman" w:hAnsi="Times New Roman" w:cs="Times New Roman"/>
        </w:rPr>
        <w:t xml:space="preserve">ROC curve was utilized to validate the prognostic effect, AUC was calculated </w:t>
      </w:r>
      <w:r w:rsidRPr="007A0148">
        <w:rPr>
          <w:rFonts w:ascii="Times New Roman" w:hAnsi="Times New Roman" w:cs="Times New Roman"/>
        </w:rPr>
        <w:lastRenderedPageBreak/>
        <w:t xml:space="preserve">within 1-year, 2-year and 3-year, AUC&gt;0.65 was set as criteria. </w:t>
      </w:r>
      <w:r w:rsidRPr="007A0148">
        <w:rPr>
          <w:rFonts w:ascii="Times New Roman" w:hAnsi="Times New Roman" w:cs="Times New Roman"/>
          <w:b/>
          <w:bCs/>
        </w:rPr>
        <w:t>(G)</w:t>
      </w:r>
      <w:r w:rsidRPr="007A0148">
        <w:rPr>
          <w:rFonts w:ascii="Times New Roman" w:hAnsi="Times New Roman" w:cs="Times New Roman"/>
        </w:rPr>
        <w:t xml:space="preserve"> Overall survival evaluation was carried out when Kaplan–Meier assays were performed, high-risk (red) patients were associated with worse prognosis compared with low-risk (blue) ones, p-value &lt;0.05 was considered as statistically significant.</w:t>
      </w:r>
    </w:p>
    <w:p w14:paraId="22AEA7FA" w14:textId="77777777" w:rsidR="004D4332" w:rsidRPr="004D4332" w:rsidRDefault="004D4332">
      <w:pPr>
        <w:rPr>
          <w:rFonts w:hint="eastAsia"/>
        </w:rPr>
      </w:pPr>
    </w:p>
    <w:sectPr w:rsidR="004D4332" w:rsidRPr="004D43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332"/>
    <w:rsid w:val="00423561"/>
    <w:rsid w:val="004D4332"/>
    <w:rsid w:val="0080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37C3E"/>
  <w15:chartTrackingRefBased/>
  <w15:docId w15:val="{D94F7BA6-25BA-4854-8A6C-ED16C8E15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鹏</dc:creator>
  <cp:keywords/>
  <dc:description/>
  <cp:lastModifiedBy>陈 鹏</cp:lastModifiedBy>
  <cp:revision>1</cp:revision>
  <dcterms:created xsi:type="dcterms:W3CDTF">2022-05-10T12:37:00Z</dcterms:created>
  <dcterms:modified xsi:type="dcterms:W3CDTF">2022-05-10T12:43:00Z</dcterms:modified>
</cp:coreProperties>
</file>