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Times New Roman" w:hAnsi="Times New Roman" w:eastAsia="宋体" w:cs="Times New Roman"/>
          <w:b/>
          <w:bCs/>
          <w:sz w:val="32"/>
          <w:szCs w:val="32"/>
        </w:rPr>
      </w:pPr>
      <w:r>
        <w:rPr>
          <w:rFonts w:ascii="Times New Roman" w:hAnsi="Times New Roman" w:eastAsia="宋体" w:cs="Times New Roman"/>
          <w:b/>
          <w:bCs/>
          <w:sz w:val="32"/>
          <w:szCs w:val="32"/>
        </w:rPr>
        <w:t>Supplementary material</w:t>
      </w:r>
      <w:r>
        <w:rPr>
          <w:rFonts w:hint="eastAsia" w:ascii="Times New Roman" w:hAnsi="Times New Roman" w:eastAsia="宋体" w:cs="Times New Roman"/>
          <w:b/>
          <w:bCs/>
          <w:sz w:val="32"/>
          <w:szCs w:val="32"/>
        </w:rPr>
        <w:t>：</w:t>
      </w:r>
    </w:p>
    <w:p>
      <w:pPr>
        <w:spacing w:line="360" w:lineRule="auto"/>
        <w:jc w:val="center"/>
        <w:rPr>
          <w:rFonts w:ascii="Times New Roman" w:hAnsi="Times New Roman" w:eastAsia="宋体" w:cs="Times New Roman"/>
          <w:b/>
          <w:bCs/>
          <w:sz w:val="32"/>
          <w:szCs w:val="32"/>
        </w:rPr>
      </w:pPr>
    </w:p>
    <w:p>
      <w:pPr>
        <w:spacing w:line="360" w:lineRule="auto"/>
        <w:jc w:val="center"/>
        <w:rPr>
          <w:rFonts w:ascii="Times New Roman" w:hAnsi="Times New Roman" w:eastAsia="宋体" w:cs="Times New Roman"/>
          <w:b/>
          <w:bCs/>
          <w:color w:val="000000" w:themeColor="text1"/>
          <w:sz w:val="28"/>
          <w:szCs w:val="28"/>
          <w14:textFill>
            <w14:solidFill>
              <w14:schemeClr w14:val="tx1"/>
            </w14:solidFill>
          </w14:textFill>
        </w:rPr>
      </w:pPr>
      <w:r>
        <w:rPr>
          <w:rFonts w:ascii="Times New Roman" w:hAnsi="Times New Roman" w:eastAsia="宋体" w:cs="Times New Roman"/>
          <w:b/>
          <w:bCs/>
          <w:color w:val="000000" w:themeColor="text1"/>
          <w:sz w:val="28"/>
          <w:szCs w:val="28"/>
          <w14:textFill>
            <w14:solidFill>
              <w14:schemeClr w14:val="tx1"/>
            </w14:solidFill>
          </w14:textFill>
        </w:rPr>
        <w:t>Heparin-modified acellular dermal matrix/chitosan-doped polydopamine nanoparticles composite sponge scaffold loaded with CGF: promoting full-thickness defect wound healing</w:t>
      </w:r>
    </w:p>
    <w:p>
      <w:pPr>
        <w:spacing w:line="360" w:lineRule="auto"/>
        <w:jc w:val="center"/>
        <w:rPr>
          <w:rFonts w:ascii="Times New Roman" w:hAnsi="Times New Roman" w:eastAsia="等线" w:cs="Times New Roman"/>
          <w:color w:val="000000" w:themeColor="text1"/>
          <w:szCs w:val="21"/>
          <w14:textFill>
            <w14:solidFill>
              <w14:schemeClr w14:val="tx1"/>
            </w14:solidFill>
          </w14:textFill>
        </w:rPr>
      </w:pPr>
      <w:r>
        <w:rPr>
          <w:rFonts w:hint="eastAsia" w:ascii="Times New Roman" w:hAnsi="Times New Roman" w:eastAsia="等线" w:cs="Times New Roman"/>
          <w:color w:val="000000" w:themeColor="text1"/>
          <w:szCs w:val="21"/>
          <w14:textFill>
            <w14:solidFill>
              <w14:schemeClr w14:val="tx1"/>
            </w14:solidFill>
          </w14:textFill>
        </w:rPr>
        <w:t>Lianglong</w:t>
      </w:r>
      <w:r>
        <w:rPr>
          <w:rFonts w:ascii="Times New Roman" w:hAnsi="Times New Roman" w:eastAsia="等线" w:cs="Times New Roman"/>
          <w:color w:val="000000" w:themeColor="text1"/>
          <w:szCs w:val="21"/>
          <w14:textFill>
            <w14:solidFill>
              <w14:schemeClr w14:val="tx1"/>
            </w14:solidFill>
          </w14:textFill>
        </w:rPr>
        <w:t xml:space="preserve"> </w:t>
      </w:r>
      <w:r>
        <w:rPr>
          <w:rFonts w:hint="eastAsia" w:ascii="Times New Roman" w:hAnsi="Times New Roman" w:eastAsia="等线" w:cs="Times New Roman"/>
          <w:color w:val="000000" w:themeColor="text1"/>
          <w:szCs w:val="21"/>
          <w14:textFill>
            <w14:solidFill>
              <w14:schemeClr w14:val="tx1"/>
            </w14:solidFill>
          </w14:textFill>
        </w:rPr>
        <w:t>Chen</w:t>
      </w:r>
      <w:r>
        <w:rPr>
          <w:rFonts w:ascii="Times New Roman" w:hAnsi="Times New Roman" w:eastAsia="等线" w:cs="Times New Roman"/>
          <w:color w:val="000000" w:themeColor="text1"/>
          <w:szCs w:val="21"/>
          <w:vertAlign w:val="superscript"/>
          <w14:textFill>
            <w14:solidFill>
              <w14:schemeClr w14:val="tx1"/>
            </w14:solidFill>
          </w14:textFill>
        </w:rPr>
        <w:t>a, 1</w:t>
      </w:r>
      <w:r>
        <w:rPr>
          <w:rFonts w:ascii="Times New Roman" w:hAnsi="Times New Roman" w:eastAsia="等线" w:cs="Times New Roman"/>
          <w:color w:val="000000" w:themeColor="text1"/>
          <w:szCs w:val="21"/>
          <w14:textFill>
            <w14:solidFill>
              <w14:schemeClr w14:val="tx1"/>
            </w14:solidFill>
          </w14:textFill>
        </w:rPr>
        <w:t xml:space="preserve">, </w:t>
      </w:r>
      <w:r>
        <w:rPr>
          <w:rFonts w:hint="eastAsia" w:ascii="Times New Roman" w:hAnsi="Times New Roman" w:eastAsia="等线" w:cs="Times New Roman"/>
          <w:color w:val="000000" w:themeColor="text1"/>
          <w:szCs w:val="21"/>
          <w14:textFill>
            <w14:solidFill>
              <w14:schemeClr w14:val="tx1"/>
            </w14:solidFill>
          </w14:textFill>
        </w:rPr>
        <w:t>Chaoyang</w:t>
      </w:r>
      <w:r>
        <w:rPr>
          <w:rFonts w:ascii="Times New Roman" w:hAnsi="Times New Roman" w:eastAsia="等线" w:cs="Times New Roman"/>
          <w:color w:val="000000" w:themeColor="text1"/>
          <w:szCs w:val="21"/>
          <w14:textFill>
            <w14:solidFill>
              <w14:schemeClr w14:val="tx1"/>
            </w14:solidFill>
          </w14:textFill>
        </w:rPr>
        <w:t xml:space="preserve"> </w:t>
      </w:r>
      <w:r>
        <w:rPr>
          <w:rFonts w:hint="eastAsia" w:ascii="Times New Roman" w:hAnsi="Times New Roman" w:eastAsia="等线" w:cs="Times New Roman"/>
          <w:color w:val="000000" w:themeColor="text1"/>
          <w:szCs w:val="21"/>
          <w14:textFill>
            <w14:solidFill>
              <w14:schemeClr w14:val="tx1"/>
            </w14:solidFill>
          </w14:textFill>
        </w:rPr>
        <w:t>Huang</w:t>
      </w:r>
      <w:r>
        <w:rPr>
          <w:rFonts w:hint="eastAsia" w:ascii="Times New Roman" w:hAnsi="Times New Roman" w:eastAsia="等线" w:cs="Times New Roman"/>
          <w:b/>
          <w:bCs/>
          <w:color w:val="000000" w:themeColor="text1"/>
          <w:szCs w:val="21"/>
          <w:vertAlign w:val="superscript"/>
          <w14:textFill>
            <w14:solidFill>
              <w14:schemeClr w14:val="tx1"/>
            </w14:solidFill>
          </w14:textFill>
        </w:rPr>
        <w:t xml:space="preserve"> </w:t>
      </w:r>
      <w:r>
        <w:rPr>
          <w:rFonts w:ascii="Times New Roman" w:hAnsi="Times New Roman" w:eastAsia="等线" w:cs="Times New Roman"/>
          <w:color w:val="000000" w:themeColor="text1"/>
          <w:szCs w:val="21"/>
          <w:vertAlign w:val="superscript"/>
          <w14:textFill>
            <w14:solidFill>
              <w14:schemeClr w14:val="tx1"/>
            </w14:solidFill>
          </w14:textFill>
        </w:rPr>
        <w:t>a, 1</w:t>
      </w:r>
      <w:r>
        <w:rPr>
          <w:rFonts w:ascii="Times New Roman" w:hAnsi="Times New Roman" w:eastAsia="等线" w:cs="Times New Roman"/>
          <w:color w:val="000000" w:themeColor="text1"/>
          <w:szCs w:val="21"/>
          <w14:textFill>
            <w14:solidFill>
              <w14:schemeClr w14:val="tx1"/>
            </w14:solidFill>
          </w14:textFill>
        </w:rPr>
        <w:t xml:space="preserve">, </w:t>
      </w:r>
      <w:r>
        <w:rPr>
          <w:rFonts w:hint="eastAsia" w:ascii="Times New Roman" w:hAnsi="Times New Roman" w:eastAsia="等线" w:cs="Times New Roman"/>
          <w:color w:val="000000" w:themeColor="text1"/>
          <w:szCs w:val="21"/>
          <w14:textFill>
            <w14:solidFill>
              <w14:schemeClr w14:val="tx1"/>
            </w14:solidFill>
          </w14:textFill>
        </w:rPr>
        <w:t>Yu Zhong</w:t>
      </w:r>
      <w:r>
        <w:rPr>
          <w:rFonts w:ascii="Times New Roman" w:hAnsi="Times New Roman" w:eastAsia="等线" w:cs="Times New Roman"/>
          <w:color w:val="000000" w:themeColor="text1"/>
          <w:szCs w:val="21"/>
          <w:vertAlign w:val="superscript"/>
          <w14:textFill>
            <w14:solidFill>
              <w14:schemeClr w14:val="tx1"/>
            </w14:solidFill>
          </w14:textFill>
        </w:rPr>
        <w:t>a, 1</w:t>
      </w:r>
      <w:r>
        <w:rPr>
          <w:rFonts w:hint="eastAsia" w:ascii="Times New Roman" w:hAnsi="Times New Roman" w:eastAsia="等线" w:cs="Times New Roman"/>
          <w:color w:val="000000" w:themeColor="text1"/>
          <w:szCs w:val="21"/>
          <w14:textFill>
            <w14:solidFill>
              <w14:schemeClr w14:val="tx1"/>
            </w14:solidFill>
          </w14:textFill>
        </w:rPr>
        <w:t>,</w:t>
      </w:r>
      <w:r>
        <w:rPr>
          <w:rFonts w:ascii="Times New Roman" w:hAnsi="Times New Roman" w:eastAsia="等线" w:cs="Times New Roman"/>
          <w:color w:val="000000" w:themeColor="text1"/>
          <w:szCs w:val="21"/>
          <w14:textFill>
            <w14:solidFill>
              <w14:schemeClr w14:val="tx1"/>
            </w14:solidFill>
          </w14:textFill>
        </w:rPr>
        <w:t xml:space="preserve"> </w:t>
      </w:r>
      <w:r>
        <w:rPr>
          <w:rFonts w:hint="eastAsia" w:ascii="Times New Roman" w:hAnsi="Times New Roman" w:eastAsia="等线" w:cs="Times New Roman"/>
          <w:color w:val="000000" w:themeColor="text1"/>
          <w:szCs w:val="21"/>
          <w14:textFill>
            <w14:solidFill>
              <w14:schemeClr w14:val="tx1"/>
            </w14:solidFill>
          </w14:textFill>
        </w:rPr>
        <w:t>Yujia Chen</w:t>
      </w:r>
      <w:r>
        <w:rPr>
          <w:rFonts w:ascii="Times New Roman" w:hAnsi="Times New Roman" w:eastAsia="等线" w:cs="Times New Roman"/>
          <w:color w:val="000000" w:themeColor="text1"/>
          <w:szCs w:val="21"/>
          <w:vertAlign w:val="superscript"/>
          <w14:textFill>
            <w14:solidFill>
              <w14:schemeClr w14:val="tx1"/>
            </w14:solidFill>
          </w14:textFill>
        </w:rPr>
        <w:t>a</w:t>
      </w:r>
      <w:r>
        <w:rPr>
          <w:rFonts w:ascii="Times New Roman" w:hAnsi="Times New Roman" w:eastAsia="等线" w:cs="Times New Roman"/>
          <w:color w:val="000000" w:themeColor="text1"/>
          <w:szCs w:val="21"/>
          <w14:textFill>
            <w14:solidFill>
              <w14:schemeClr w14:val="tx1"/>
            </w14:solidFill>
          </w14:textFill>
        </w:rPr>
        <w:t xml:space="preserve">, </w:t>
      </w:r>
      <w:r>
        <w:rPr>
          <w:rFonts w:hint="eastAsia" w:ascii="Times New Roman" w:hAnsi="Times New Roman" w:eastAsia="等线" w:cs="Times New Roman"/>
          <w:color w:val="000000" w:themeColor="text1"/>
          <w:szCs w:val="21"/>
          <w14:textFill>
            <w14:solidFill>
              <w14:schemeClr w14:val="tx1"/>
            </w14:solidFill>
          </w14:textFill>
        </w:rPr>
        <w:t>Huihui</w:t>
      </w:r>
      <w:r>
        <w:rPr>
          <w:rFonts w:ascii="Times New Roman" w:hAnsi="Times New Roman" w:eastAsia="等线" w:cs="Times New Roman"/>
          <w:color w:val="000000" w:themeColor="text1"/>
          <w:szCs w:val="21"/>
          <w14:textFill>
            <w14:solidFill>
              <w14:schemeClr w14:val="tx1"/>
            </w14:solidFill>
          </w14:textFill>
        </w:rPr>
        <w:t xml:space="preserve"> </w:t>
      </w:r>
      <w:r>
        <w:rPr>
          <w:rFonts w:hint="eastAsia" w:ascii="Times New Roman" w:hAnsi="Times New Roman" w:eastAsia="等线" w:cs="Times New Roman"/>
          <w:color w:val="000000" w:themeColor="text1"/>
          <w:szCs w:val="21"/>
          <w14:textFill>
            <w14:solidFill>
              <w14:schemeClr w14:val="tx1"/>
            </w14:solidFill>
          </w14:textFill>
        </w:rPr>
        <w:t>Zhang</w:t>
      </w:r>
      <w:r>
        <w:rPr>
          <w:rFonts w:ascii="Times New Roman" w:hAnsi="Times New Roman" w:eastAsia="等线" w:cs="Times New Roman"/>
          <w:color w:val="000000" w:themeColor="text1"/>
          <w:szCs w:val="21"/>
          <w:vertAlign w:val="superscript"/>
          <w14:textFill>
            <w14:solidFill>
              <w14:schemeClr w14:val="tx1"/>
            </w14:solidFill>
          </w14:textFill>
        </w:rPr>
        <w:t>a</w:t>
      </w:r>
      <w:r>
        <w:rPr>
          <w:rFonts w:ascii="Times New Roman" w:hAnsi="Times New Roman" w:eastAsia="等线" w:cs="Times New Roman"/>
          <w:color w:val="000000" w:themeColor="text1"/>
          <w:szCs w:val="21"/>
          <w14:textFill>
            <w14:solidFill>
              <w14:schemeClr w14:val="tx1"/>
            </w14:solidFill>
          </w14:textFill>
        </w:rPr>
        <w:t xml:space="preserve">, </w:t>
      </w:r>
      <w:r>
        <w:rPr>
          <w:rFonts w:hint="eastAsia" w:ascii="Times New Roman" w:hAnsi="Times New Roman" w:eastAsia="等线" w:cs="Times New Roman"/>
          <w:color w:val="000000" w:themeColor="text1"/>
          <w:szCs w:val="21"/>
          <w14:textFill>
            <w14:solidFill>
              <w14:schemeClr w14:val="tx1"/>
            </w14:solidFill>
          </w14:textFill>
        </w:rPr>
        <w:t>Zijun Zheng</w:t>
      </w:r>
      <w:r>
        <w:rPr>
          <w:rFonts w:ascii="Times New Roman" w:hAnsi="Times New Roman" w:eastAsia="等线" w:cs="Times New Roman"/>
          <w:color w:val="000000" w:themeColor="text1"/>
          <w:szCs w:val="21"/>
          <w:vertAlign w:val="superscript"/>
          <w14:textFill>
            <w14:solidFill>
              <w14:schemeClr w14:val="tx1"/>
            </w14:solidFill>
          </w14:textFill>
        </w:rPr>
        <w:t>a</w:t>
      </w:r>
      <w:r>
        <w:rPr>
          <w:rFonts w:ascii="Times New Roman" w:hAnsi="Times New Roman" w:eastAsia="等线" w:cs="Times New Roman"/>
          <w:color w:val="000000" w:themeColor="text1"/>
          <w:szCs w:val="21"/>
          <w14:textFill>
            <w14:solidFill>
              <w14:schemeClr w14:val="tx1"/>
            </w14:solidFill>
          </w14:textFill>
        </w:rPr>
        <w:t xml:space="preserve">, </w:t>
      </w:r>
      <w:r>
        <w:rPr>
          <w:rFonts w:hint="eastAsia" w:ascii="Times New Roman" w:hAnsi="Times New Roman" w:eastAsia="等线" w:cs="Times New Roman"/>
          <w:color w:val="000000" w:themeColor="text1"/>
          <w:szCs w:val="21"/>
          <w14:textFill>
            <w14:solidFill>
              <w14:schemeClr w14:val="tx1"/>
            </w14:solidFill>
          </w14:textFill>
        </w:rPr>
        <w:t>Ziwei Jiang</w:t>
      </w:r>
      <w:r>
        <w:rPr>
          <w:rFonts w:ascii="Times New Roman" w:hAnsi="Times New Roman" w:eastAsia="等线" w:cs="Times New Roman"/>
          <w:color w:val="000000" w:themeColor="text1"/>
          <w:szCs w:val="21"/>
          <w:vertAlign w:val="superscript"/>
          <w14:textFill>
            <w14:solidFill>
              <w14:schemeClr w14:val="tx1"/>
            </w14:solidFill>
          </w14:textFill>
        </w:rPr>
        <w:t>a</w:t>
      </w:r>
      <w:r>
        <w:rPr>
          <w:rFonts w:hint="eastAsia" w:ascii="Times New Roman" w:hAnsi="Times New Roman" w:eastAsia="等线" w:cs="Times New Roman"/>
          <w:color w:val="000000" w:themeColor="text1"/>
          <w:szCs w:val="21"/>
          <w14:textFill>
            <w14:solidFill>
              <w14:schemeClr w14:val="tx1"/>
            </w14:solidFill>
          </w14:textFill>
        </w:rPr>
        <w:t>,</w:t>
      </w:r>
      <w:r>
        <w:rPr>
          <w:rFonts w:ascii="Times New Roman" w:hAnsi="Times New Roman" w:eastAsia="等线" w:cs="Times New Roman"/>
          <w:color w:val="000000" w:themeColor="text1"/>
          <w:szCs w:val="21"/>
          <w14:textFill>
            <w14:solidFill>
              <w14:schemeClr w14:val="tx1"/>
            </w14:solidFill>
          </w14:textFill>
        </w:rPr>
        <w:t xml:space="preserve"> </w:t>
      </w:r>
      <w:r>
        <w:rPr>
          <w:rFonts w:hint="eastAsia" w:ascii="Times New Roman" w:hAnsi="Times New Roman" w:eastAsia="等线" w:cs="Times New Roman"/>
          <w:color w:val="000000" w:themeColor="text1"/>
          <w:szCs w:val="21"/>
          <w14:textFill>
            <w14:solidFill>
              <w14:schemeClr w14:val="tx1"/>
            </w14:solidFill>
          </w14:textFill>
        </w:rPr>
        <w:t>Xuerong Wei</w:t>
      </w:r>
      <w:r>
        <w:rPr>
          <w:rFonts w:ascii="Times New Roman" w:hAnsi="Times New Roman" w:eastAsia="等线" w:cs="Times New Roman"/>
          <w:color w:val="000000" w:themeColor="text1"/>
          <w:szCs w:val="21"/>
          <w:vertAlign w:val="superscript"/>
          <w14:textFill>
            <w14:solidFill>
              <w14:schemeClr w14:val="tx1"/>
            </w14:solidFill>
          </w14:textFill>
        </w:rPr>
        <w:t>a</w:t>
      </w:r>
      <w:r>
        <w:rPr>
          <w:rFonts w:hint="eastAsia" w:ascii="Times New Roman" w:hAnsi="Times New Roman" w:eastAsia="等线" w:cs="Times New Roman"/>
          <w:color w:val="000000" w:themeColor="text1"/>
          <w:szCs w:val="21"/>
          <w14:textFill>
            <w14:solidFill>
              <w14:schemeClr w14:val="tx1"/>
            </w14:solidFill>
          </w14:textFill>
        </w:rPr>
        <w:t>,</w:t>
      </w:r>
      <w:r>
        <w:rPr>
          <w:rFonts w:ascii="Times New Roman" w:hAnsi="Times New Roman" w:eastAsia="等线" w:cs="Times New Roman"/>
          <w:color w:val="000000" w:themeColor="text1"/>
          <w:szCs w:val="21"/>
          <w14:textFill>
            <w14:solidFill>
              <w14:schemeClr w14:val="tx1"/>
            </w14:solidFill>
          </w14:textFill>
        </w:rPr>
        <w:t xml:space="preserve"> </w:t>
      </w:r>
      <w:r>
        <w:rPr>
          <w:rFonts w:hint="eastAsia" w:ascii="Times New Roman" w:hAnsi="Times New Roman" w:eastAsia="等线" w:cs="Times New Roman"/>
          <w:color w:val="000000" w:themeColor="text1"/>
          <w:szCs w:val="21"/>
          <w14:textFill>
            <w14:solidFill>
              <w14:schemeClr w14:val="tx1"/>
            </w14:solidFill>
          </w14:textFill>
        </w:rPr>
        <w:t>Yujie Peng</w:t>
      </w:r>
      <w:r>
        <w:rPr>
          <w:rFonts w:ascii="Times New Roman" w:hAnsi="Times New Roman" w:eastAsia="等线" w:cs="Times New Roman"/>
          <w:color w:val="000000" w:themeColor="text1"/>
          <w:szCs w:val="21"/>
          <w:vertAlign w:val="superscript"/>
          <w14:textFill>
            <w14:solidFill>
              <w14:schemeClr w14:val="tx1"/>
            </w14:solidFill>
          </w14:textFill>
        </w:rPr>
        <w:t>a</w:t>
      </w:r>
      <w:r>
        <w:rPr>
          <w:rFonts w:hint="eastAsia" w:ascii="Times New Roman" w:hAnsi="Times New Roman" w:eastAsia="等线" w:cs="Times New Roman"/>
          <w:color w:val="000000" w:themeColor="text1"/>
          <w:szCs w:val="21"/>
          <w14:textFill>
            <w14:solidFill>
              <w14:schemeClr w14:val="tx1"/>
            </w14:solidFill>
          </w14:textFill>
        </w:rPr>
        <w:t>, Lei Huang</w:t>
      </w:r>
      <w:r>
        <w:rPr>
          <w:rFonts w:ascii="Times New Roman" w:hAnsi="Times New Roman" w:eastAsia="等线" w:cs="Times New Roman"/>
          <w:color w:val="000000" w:themeColor="text1"/>
          <w:szCs w:val="21"/>
          <w:vertAlign w:val="superscript"/>
          <w14:textFill>
            <w14:solidFill>
              <w14:schemeClr w14:val="tx1"/>
            </w14:solidFill>
          </w14:textFill>
        </w:rPr>
        <w:t>a</w:t>
      </w:r>
      <w:r>
        <w:rPr>
          <w:rFonts w:hint="eastAsia" w:ascii="Times New Roman" w:hAnsi="Times New Roman" w:eastAsia="等线" w:cs="Times New Roman"/>
          <w:color w:val="000000" w:themeColor="text1"/>
          <w:szCs w:val="21"/>
          <w14:textFill>
            <w14:solidFill>
              <w14:schemeClr w14:val="tx1"/>
            </w14:solidFill>
          </w14:textFill>
        </w:rPr>
        <w:t>, Libin Niu</w:t>
      </w:r>
      <w:r>
        <w:rPr>
          <w:rFonts w:ascii="Times New Roman" w:hAnsi="Times New Roman" w:eastAsia="等线" w:cs="Times New Roman"/>
          <w:color w:val="000000" w:themeColor="text1"/>
          <w:szCs w:val="21"/>
          <w:vertAlign w:val="superscript"/>
          <w14:textFill>
            <w14:solidFill>
              <w14:schemeClr w14:val="tx1"/>
            </w14:solidFill>
          </w14:textFill>
        </w:rPr>
        <w:t>a</w:t>
      </w:r>
      <w:r>
        <w:rPr>
          <w:rFonts w:hint="eastAsia" w:ascii="Times New Roman" w:hAnsi="Times New Roman" w:eastAsia="等线" w:cs="Times New Roman"/>
          <w:color w:val="000000" w:themeColor="text1"/>
          <w:szCs w:val="21"/>
          <w14:textFill>
            <w14:solidFill>
              <w14:schemeClr w14:val="tx1"/>
            </w14:solidFill>
          </w14:textFill>
        </w:rPr>
        <w:t>, Yanbin Gao</w:t>
      </w:r>
      <w:r>
        <w:rPr>
          <w:rFonts w:ascii="Times New Roman" w:hAnsi="Times New Roman" w:eastAsia="等线" w:cs="Times New Roman"/>
          <w:color w:val="000000" w:themeColor="text1"/>
          <w:szCs w:val="21"/>
          <w:vertAlign w:val="superscript"/>
          <w14:textFill>
            <w14:solidFill>
              <w14:schemeClr w14:val="tx1"/>
            </w14:solidFill>
          </w14:textFill>
        </w:rPr>
        <w:t xml:space="preserve">a, </w:t>
      </w:r>
      <w:r>
        <w:rPr>
          <w:rFonts w:ascii="Times New Roman" w:hAnsi="Times New Roman" w:eastAsia="等线" w:cs="Times New Roman"/>
          <w:color w:val="000000" w:themeColor="text1"/>
          <w:szCs w:val="21"/>
          <w14:textFill>
            <w14:solidFill>
              <w14:schemeClr w14:val="tx1"/>
            </w14:solidFill>
          </w14:textFill>
        </w:rPr>
        <w:t>***</w:t>
      </w:r>
      <w:r>
        <w:rPr>
          <w:rFonts w:hint="eastAsia" w:ascii="等线" w:hAnsi="等线" w:eastAsia="等线" w:cs="Times New Roman"/>
          <w:color w:val="000000" w:themeColor="text1"/>
          <w:szCs w:val="21"/>
          <w14:textFill>
            <w14:solidFill>
              <w14:schemeClr w14:val="tx1"/>
            </w14:solidFill>
          </w14:textFill>
        </w:rPr>
        <w:t xml:space="preserve">， </w:t>
      </w:r>
      <w:r>
        <w:rPr>
          <w:rFonts w:hint="eastAsia" w:ascii="Times New Roman" w:hAnsi="Times New Roman" w:eastAsia="等线" w:cs="Times New Roman"/>
          <w:color w:val="000000" w:themeColor="text1"/>
          <w:szCs w:val="21"/>
          <w14:textFill>
            <w14:solidFill>
              <w14:schemeClr w14:val="tx1"/>
            </w14:solidFill>
          </w14:textFill>
        </w:rPr>
        <w:t>Jun Ma</w:t>
      </w:r>
      <w:r>
        <w:rPr>
          <w:rFonts w:ascii="Times New Roman" w:hAnsi="Times New Roman" w:eastAsia="等线" w:cs="Times New Roman"/>
          <w:color w:val="000000" w:themeColor="text1"/>
          <w:szCs w:val="21"/>
          <w:vertAlign w:val="superscript"/>
          <w14:textFill>
            <w14:solidFill>
              <w14:schemeClr w14:val="tx1"/>
            </w14:solidFill>
          </w14:textFill>
        </w:rPr>
        <w:t xml:space="preserve">a, </w:t>
      </w:r>
      <w:r>
        <w:rPr>
          <w:rFonts w:ascii="Times New Roman" w:hAnsi="Times New Roman" w:eastAsia="等线" w:cs="Times New Roman"/>
          <w:color w:val="000000" w:themeColor="text1"/>
          <w:szCs w:val="21"/>
          <w14:textFill>
            <w14:solidFill>
              <w14:schemeClr w14:val="tx1"/>
            </w14:solidFill>
          </w14:textFill>
        </w:rPr>
        <w:t>**</w:t>
      </w:r>
      <w:r>
        <w:rPr>
          <w:rFonts w:hint="eastAsia" w:ascii="等线" w:hAnsi="等线" w:eastAsia="等线" w:cs="Times New Roman"/>
          <w:color w:val="000000" w:themeColor="text1"/>
          <w:szCs w:val="21"/>
          <w14:textFill>
            <w14:solidFill>
              <w14:schemeClr w14:val="tx1"/>
            </w14:solidFill>
          </w14:textFill>
        </w:rPr>
        <w:t xml:space="preserve">， </w:t>
      </w:r>
      <w:r>
        <w:rPr>
          <w:rFonts w:ascii="Times New Roman" w:hAnsi="Times New Roman" w:eastAsia="等线" w:cs="Times New Roman"/>
          <w:color w:val="000000" w:themeColor="text1"/>
          <w:szCs w:val="21"/>
          <w14:textFill>
            <w14:solidFill>
              <w14:schemeClr w14:val="tx1"/>
            </w14:solidFill>
          </w14:textFill>
        </w:rPr>
        <w:t>Lei Yang</w:t>
      </w:r>
      <w:r>
        <w:rPr>
          <w:rFonts w:ascii="Times New Roman" w:hAnsi="Times New Roman" w:eastAsia="等线" w:cs="Times New Roman"/>
          <w:color w:val="000000" w:themeColor="text1"/>
          <w:szCs w:val="21"/>
          <w:vertAlign w:val="superscript"/>
          <w14:textFill>
            <w14:solidFill>
              <w14:schemeClr w14:val="tx1"/>
            </w14:solidFill>
          </w14:textFill>
        </w:rPr>
        <w:t xml:space="preserve">a, </w:t>
      </w:r>
      <w:r>
        <w:rPr>
          <w:rFonts w:ascii="Times New Roman" w:hAnsi="Times New Roman" w:eastAsia="等线" w:cs="Times New Roman"/>
          <w:color w:val="000000" w:themeColor="text1"/>
          <w:szCs w:val="21"/>
          <w14:textFill>
            <w14:solidFill>
              <w14:schemeClr w14:val="tx1"/>
            </w14:solidFill>
          </w14:textFill>
        </w:rPr>
        <w:t>*</w:t>
      </w:r>
    </w:p>
    <w:p>
      <w:pPr>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 xml:space="preserve">a Department of Burns, Nanfang Hospital, Southern Medical University; Jingxi Street, Baiyun </w:t>
      </w:r>
      <w:bookmarkStart w:id="0" w:name="_MON_1713813159"/>
      <w:bookmarkEnd w:id="0"/>
    </w:p>
    <w:p>
      <w:pPr>
        <w:spacing w:line="360" w:lineRule="auto"/>
        <w:rPr>
          <w:rFonts w:ascii="Times New Roman" w:hAnsi="Times New Roman" w:eastAsia="宋体" w:cs="Times New Roman"/>
          <w:color w:val="000000" w:themeColor="text1"/>
          <w:szCs w:val="21"/>
          <w14:textFill>
            <w14:solidFill>
              <w14:schemeClr w14:val="tx1"/>
            </w14:solidFill>
          </w14:textFill>
        </w:rPr>
      </w:pPr>
    </w:p>
    <w:p>
      <w:pPr>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1 These authors contributed equally to this work.</w:t>
      </w:r>
    </w:p>
    <w:p>
      <w:pPr>
        <w:spacing w:line="360" w:lineRule="auto"/>
        <w:rPr>
          <w:rFonts w:ascii="Times New Roman" w:hAnsi="Times New Roman" w:eastAsia="宋体" w:cs="Times New Roman"/>
          <w:color w:val="000000" w:themeColor="text1"/>
          <w:szCs w:val="21"/>
          <w14:textFill>
            <w14:solidFill>
              <w14:schemeClr w14:val="tx1"/>
            </w14:solidFill>
          </w14:textFill>
        </w:rPr>
      </w:pPr>
    </w:p>
    <w:p>
      <w:pPr>
        <w:spacing w:line="360" w:lineRule="auto"/>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b/>
          <w:bCs/>
          <w:color w:val="000000" w:themeColor="text1"/>
          <w:szCs w:val="21"/>
          <w14:textFill>
            <w14:solidFill>
              <w14:schemeClr w14:val="tx1"/>
            </w14:solidFill>
          </w14:textFill>
        </w:rPr>
        <w:t xml:space="preserve"> Corresponding author: </w:t>
      </w:r>
    </w:p>
    <w:p>
      <w:pPr>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 xml:space="preserve">Professor Lei Yang (M.D. &amp; Ph.D.), Department of Burns, Nanfang Hospital, Southern Medical University; Jingxi Street, Baiyun District, Guangzhou, 510515, P.R. China. E-mail: </w:t>
      </w:r>
      <w:r>
        <w:rPr>
          <w:rFonts w:ascii="Times New Roman" w:hAnsi="Times New Roman" w:eastAsia="宋体" w:cs="Times New Roman"/>
          <w:b/>
          <w:bCs/>
          <w:color w:val="000000" w:themeColor="text1"/>
          <w:szCs w:val="21"/>
          <w14:textFill>
            <w14:solidFill>
              <w14:schemeClr w14:val="tx1"/>
            </w14:solidFill>
          </w14:textFill>
        </w:rPr>
        <w:t>yuanyang@smu.edu.cn</w:t>
      </w:r>
      <w:r>
        <w:rPr>
          <w:rFonts w:ascii="Times New Roman" w:hAnsi="Times New Roman" w:eastAsia="宋体" w:cs="Times New Roman"/>
          <w:color w:val="000000" w:themeColor="text1"/>
          <w:szCs w:val="21"/>
          <w14:textFill>
            <w14:solidFill>
              <w14:schemeClr w14:val="tx1"/>
            </w14:solidFill>
          </w14:textFill>
        </w:rPr>
        <w:t xml:space="preserve"> (L. Yang); Tel: +86 -020-6164-1841.</w:t>
      </w:r>
    </w:p>
    <w:p>
      <w:pPr>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 xml:space="preserve"> </w:t>
      </w:r>
    </w:p>
    <w:p>
      <w:pPr>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b/>
          <w:bCs/>
          <w:color w:val="000000" w:themeColor="text1"/>
          <w:szCs w:val="21"/>
          <w14:textFill>
            <w14:solidFill>
              <w14:schemeClr w14:val="tx1"/>
            </w14:solidFill>
          </w14:textFill>
        </w:rPr>
        <w:t xml:space="preserve"> Corresponding author: </w:t>
      </w:r>
      <w:r>
        <w:rPr>
          <w:rFonts w:ascii="Times New Roman" w:hAnsi="Times New Roman" w:eastAsia="宋体" w:cs="Times New Roman"/>
          <w:color w:val="000000" w:themeColor="text1"/>
          <w:szCs w:val="21"/>
          <w14:textFill>
            <w14:solidFill>
              <w14:schemeClr w14:val="tx1"/>
            </w14:solidFill>
          </w14:textFill>
        </w:rPr>
        <w:t xml:space="preserve">Professor </w:t>
      </w:r>
      <w:r>
        <w:rPr>
          <w:rFonts w:hint="eastAsia" w:ascii="Times New Roman" w:hAnsi="Times New Roman" w:eastAsia="等线" w:cs="Times New Roman"/>
          <w:color w:val="000000" w:themeColor="text1"/>
          <w:szCs w:val="21"/>
          <w14:textFill>
            <w14:solidFill>
              <w14:schemeClr w14:val="tx1"/>
            </w14:solidFill>
          </w14:textFill>
        </w:rPr>
        <w:t>Jun Ma</w:t>
      </w:r>
      <w:r>
        <w:rPr>
          <w:rFonts w:ascii="Times New Roman" w:hAnsi="Times New Roman" w:eastAsia="宋体" w:cs="Times New Roman"/>
          <w:color w:val="000000" w:themeColor="text1"/>
          <w:szCs w:val="21"/>
          <w14:textFill>
            <w14:solidFill>
              <w14:schemeClr w14:val="tx1"/>
            </w14:solidFill>
          </w14:textFill>
        </w:rPr>
        <w:t xml:space="preserve"> (M.D. &amp; Ph.D.), Department of Burns, Nanfang Hospital, Southern Medical University; Jingxi Street, Baiyun District, Guangzhou, 510515, P.R. China. E-mail: </w:t>
      </w:r>
      <w:r>
        <w:rPr>
          <w:rFonts w:ascii="Times New Roman" w:hAnsi="Times New Roman" w:eastAsia="宋体" w:cs="Times New Roman"/>
          <w:b/>
          <w:bCs/>
          <w:color w:val="000000" w:themeColor="text1"/>
          <w:szCs w:val="21"/>
          <w14:textFill>
            <w14:solidFill>
              <w14:schemeClr w14:val="tx1"/>
            </w14:solidFill>
          </w14:textFill>
        </w:rPr>
        <w:t>nfyy_majun@163.com</w:t>
      </w:r>
      <w:r>
        <w:rPr>
          <w:rFonts w:ascii="Times New Roman" w:hAnsi="Times New Roman" w:eastAsia="宋体" w:cs="Times New Roman"/>
          <w:color w:val="000000" w:themeColor="text1"/>
          <w:szCs w:val="21"/>
          <w14:textFill>
            <w14:solidFill>
              <w14:schemeClr w14:val="tx1"/>
            </w14:solidFill>
          </w14:textFill>
        </w:rPr>
        <w:t xml:space="preserve"> (</w:t>
      </w:r>
      <w:r>
        <w:rPr>
          <w:rFonts w:hint="eastAsia" w:ascii="Times New Roman" w:hAnsi="Times New Roman" w:eastAsia="宋体" w:cs="Times New Roman"/>
          <w:color w:val="000000" w:themeColor="text1"/>
          <w:szCs w:val="21"/>
          <w14:textFill>
            <w14:solidFill>
              <w14:schemeClr w14:val="tx1"/>
            </w14:solidFill>
          </w14:textFill>
        </w:rPr>
        <w:t>J</w:t>
      </w:r>
      <w:r>
        <w:rPr>
          <w:rFonts w:ascii="Times New Roman" w:hAnsi="Times New Roman" w:eastAsia="宋体" w:cs="Times New Roman"/>
          <w:color w:val="000000" w:themeColor="text1"/>
          <w:szCs w:val="21"/>
          <w14:textFill>
            <w14:solidFill>
              <w14:schemeClr w14:val="tx1"/>
            </w14:solidFill>
          </w14:textFill>
        </w:rPr>
        <w:t xml:space="preserve">. </w:t>
      </w:r>
      <w:r>
        <w:rPr>
          <w:rFonts w:hint="eastAsia" w:ascii="Times New Roman" w:hAnsi="Times New Roman" w:eastAsia="宋体" w:cs="Times New Roman"/>
          <w:color w:val="000000" w:themeColor="text1"/>
          <w:szCs w:val="21"/>
          <w14:textFill>
            <w14:solidFill>
              <w14:schemeClr w14:val="tx1"/>
            </w14:solidFill>
          </w14:textFill>
        </w:rPr>
        <w:t>Ma</w:t>
      </w:r>
      <w:r>
        <w:rPr>
          <w:rFonts w:ascii="Times New Roman" w:hAnsi="Times New Roman" w:eastAsia="宋体" w:cs="Times New Roman"/>
          <w:color w:val="000000" w:themeColor="text1"/>
          <w:szCs w:val="21"/>
          <w14:textFill>
            <w14:solidFill>
              <w14:schemeClr w14:val="tx1"/>
            </w14:solidFill>
          </w14:textFill>
        </w:rPr>
        <w:t>); Tel: +86 -020-6164-1841.</w:t>
      </w:r>
    </w:p>
    <w:p>
      <w:pPr>
        <w:spacing w:line="360" w:lineRule="auto"/>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 xml:space="preserve"> </w:t>
      </w:r>
    </w:p>
    <w:p>
      <w:pPr>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b/>
          <w:bCs/>
          <w:color w:val="000000" w:themeColor="text1"/>
          <w:szCs w:val="21"/>
          <w14:textFill>
            <w14:solidFill>
              <w14:schemeClr w14:val="tx1"/>
            </w14:solidFill>
          </w14:textFill>
        </w:rPr>
        <w:t xml:space="preserve"> Corresponding author: </w:t>
      </w:r>
      <w:r>
        <w:rPr>
          <w:rFonts w:ascii="Times New Roman" w:hAnsi="Times New Roman" w:eastAsia="宋体" w:cs="Times New Roman"/>
          <w:color w:val="000000" w:themeColor="text1"/>
          <w:szCs w:val="21"/>
          <w14:textFill>
            <w14:solidFill>
              <w14:schemeClr w14:val="tx1"/>
            </w14:solidFill>
          </w14:textFill>
        </w:rPr>
        <w:t xml:space="preserve">Professor </w:t>
      </w:r>
      <w:r>
        <w:rPr>
          <w:rFonts w:hint="eastAsia" w:ascii="Times New Roman" w:hAnsi="Times New Roman" w:eastAsia="等线" w:cs="Times New Roman"/>
          <w:color w:val="000000" w:themeColor="text1"/>
          <w:szCs w:val="21"/>
          <w14:textFill>
            <w14:solidFill>
              <w14:schemeClr w14:val="tx1"/>
            </w14:solidFill>
          </w14:textFill>
        </w:rPr>
        <w:t>Yanbin Gao</w:t>
      </w:r>
      <w:r>
        <w:rPr>
          <w:rFonts w:ascii="Times New Roman" w:hAnsi="Times New Roman" w:eastAsia="宋体" w:cs="Times New Roman"/>
          <w:color w:val="000000" w:themeColor="text1"/>
          <w:szCs w:val="21"/>
          <w14:textFill>
            <w14:solidFill>
              <w14:schemeClr w14:val="tx1"/>
            </w14:solidFill>
          </w14:textFill>
        </w:rPr>
        <w:t xml:space="preserve"> (</w:t>
      </w:r>
      <w:r>
        <w:rPr>
          <w:rFonts w:hint="eastAsia" w:ascii="Times New Roman" w:hAnsi="Times New Roman" w:eastAsia="宋体" w:cs="Times New Roman"/>
          <w:color w:val="000000" w:themeColor="text1"/>
          <w:szCs w:val="21"/>
          <w14:textFill>
            <w14:solidFill>
              <w14:schemeClr w14:val="tx1"/>
            </w14:solidFill>
          </w14:textFill>
        </w:rPr>
        <w:t>M.M.</w:t>
      </w:r>
      <w:r>
        <w:rPr>
          <w:rFonts w:ascii="Times New Roman" w:hAnsi="Times New Roman" w:eastAsia="宋体" w:cs="Times New Roman"/>
          <w:color w:val="000000" w:themeColor="text1"/>
          <w:szCs w:val="21"/>
          <w14:textFill>
            <w14:solidFill>
              <w14:schemeClr w14:val="tx1"/>
            </w14:solidFill>
          </w14:textFill>
        </w:rPr>
        <w:t xml:space="preserve">), Department of Burns, Nanfang Hospital, Southern Medical University; Jingxi Street, Baiyun District, Guangzhou, 510515, P.R. China. E-mail: </w:t>
      </w:r>
      <w:r>
        <w:rPr>
          <w:rFonts w:ascii="Times New Roman" w:hAnsi="Times New Roman" w:eastAsia="宋体" w:cs="Times New Roman"/>
          <w:b/>
          <w:bCs/>
          <w:color w:val="000000" w:themeColor="text1"/>
          <w:szCs w:val="21"/>
          <w14:textFill>
            <w14:solidFill>
              <w14:schemeClr w14:val="tx1"/>
            </w14:solidFill>
          </w14:textFill>
        </w:rPr>
        <w:t>gaoyanbin6@yeah.net</w:t>
      </w:r>
      <w:r>
        <w:rPr>
          <w:rFonts w:ascii="Times New Roman" w:hAnsi="Times New Roman" w:eastAsia="宋体" w:cs="Times New Roman"/>
          <w:color w:val="000000" w:themeColor="text1"/>
          <w:szCs w:val="21"/>
          <w14:textFill>
            <w14:solidFill>
              <w14:schemeClr w14:val="tx1"/>
            </w14:solidFill>
          </w14:textFill>
        </w:rPr>
        <w:t>; Tel: +86 -020-6164-1841.</w:t>
      </w:r>
    </w:p>
    <w:p>
      <w:pPr>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 xml:space="preserve"> </w:t>
      </w:r>
    </w:p>
    <w:p>
      <w:pPr>
        <w:rPr>
          <w:rFonts w:ascii="Times New Roman" w:hAnsi="Times New Roman" w:cs="Times New Roman"/>
          <w:b/>
          <w:bCs/>
          <w:sz w:val="28"/>
          <w:szCs w:val="32"/>
        </w:rPr>
      </w:pPr>
      <w:r>
        <w:rPr>
          <w:rFonts w:ascii="Times New Roman" w:hAnsi="Times New Roman" w:eastAsia="宋体" w:cs="Times New Roman"/>
          <w:b/>
          <w:color w:val="000000" w:themeColor="text1"/>
          <w:szCs w:val="21"/>
          <w14:textFill>
            <w14:solidFill>
              <w14:schemeClr w14:val="tx1"/>
            </w14:solidFill>
          </w14:textFill>
        </w:rPr>
        <w:t>Running title</w:t>
      </w:r>
      <w:r>
        <w:rPr>
          <w:rFonts w:ascii="Times New Roman" w:hAnsi="Times New Roman" w:eastAsia="宋体" w:cs="Times New Roman"/>
          <w:color w:val="000000" w:themeColor="text1"/>
          <w:szCs w:val="21"/>
          <w14:textFill>
            <w14:solidFill>
              <w14:schemeClr w14:val="tx1"/>
            </w14:solidFill>
          </w14:textFill>
        </w:rPr>
        <w:t xml:space="preserve">: </w:t>
      </w:r>
      <w:r>
        <w:rPr>
          <w:rFonts w:hint="eastAsia" w:ascii="Times New Roman" w:hAnsi="Times New Roman" w:eastAsia="宋体" w:cs="Times New Roman"/>
          <w:color w:val="000000" w:themeColor="text1"/>
          <w:szCs w:val="21"/>
          <w14:textFill>
            <w14:solidFill>
              <w14:schemeClr w14:val="tx1"/>
            </w14:solidFill>
          </w14:textFill>
        </w:rPr>
        <w:t xml:space="preserve">CGF supported by heparinized acellular dermal matrix chitosan/polydopamine nanocomposite sponge scaffold </w:t>
      </w:r>
      <w:r>
        <w:rPr>
          <w:rFonts w:ascii="Times New Roman" w:hAnsi="Times New Roman" w:eastAsia="宋体" w:cs="Times New Roman"/>
          <w:color w:val="000000" w:themeColor="text1"/>
          <w:szCs w:val="21"/>
          <w14:textFill>
            <w14:solidFill>
              <w14:schemeClr w14:val="tx1"/>
            </w14:solidFill>
          </w14:textFill>
        </w:rPr>
        <w:t>accelerates skin repair</w:t>
      </w:r>
      <w:r>
        <w:rPr>
          <w:rFonts w:ascii="Times New Roman" w:hAnsi="Times New Roman" w:eastAsia="宋体" w:cs="Times New Roman"/>
          <w:szCs w:val="21"/>
        </w:rPr>
        <w:br w:type="page"/>
      </w:r>
    </w:p>
    <w:p>
      <w:pPr>
        <w:rPr>
          <w:rFonts w:ascii="Times New Roman" w:hAnsi="Times New Roman" w:cs="Times New Roman"/>
          <w:b/>
          <w:bCs/>
          <w:sz w:val="28"/>
          <w:szCs w:val="32"/>
        </w:rPr>
      </w:pPr>
      <w:r>
        <w:rPr>
          <w:rFonts w:hint="eastAsia" w:ascii="Times New Roman" w:hAnsi="Times New Roman" w:cs="Times New Roman"/>
          <w:b/>
          <w:bCs/>
          <w:sz w:val="28"/>
          <w:szCs w:val="32"/>
        </w:rPr>
        <w:t xml:space="preserve"> </w:t>
      </w:r>
      <w:r>
        <w:rPr>
          <w:rFonts w:ascii="Times New Roman" w:hAnsi="Times New Roman" w:cs="Times New Roman"/>
          <w:b/>
          <w:bCs/>
          <w:sz w:val="28"/>
          <w:szCs w:val="32"/>
        </w:rPr>
        <w:t xml:space="preserve">  </w:t>
      </w:r>
      <w:bookmarkStart w:id="2" w:name="_GoBack"/>
      <w:r>
        <w:drawing>
          <wp:inline distT="0" distB="0" distL="0" distR="0">
            <wp:extent cx="5203190" cy="7391400"/>
            <wp:effectExtent l="0" t="0" r="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03190" cy="7391400"/>
                    </a:xfrm>
                    <a:prstGeom prst="rect">
                      <a:avLst/>
                    </a:prstGeom>
                    <a:noFill/>
                    <a:ln>
                      <a:noFill/>
                    </a:ln>
                  </pic:spPr>
                </pic:pic>
              </a:graphicData>
            </a:graphic>
          </wp:inline>
        </w:drawing>
      </w:r>
      <w:bookmarkEnd w:id="2"/>
    </w:p>
    <w:p>
      <w:pPr>
        <w:rPr>
          <w:rFonts w:ascii="Times New Roman" w:hAnsi="Times New Roman" w:cs="Times New Roman"/>
          <w:sz w:val="24"/>
          <w:szCs w:val="28"/>
        </w:rPr>
      </w:pPr>
      <w:r>
        <w:rPr>
          <w:rFonts w:hint="eastAsia" w:ascii="Times New Roman" w:hAnsi="Times New Roman" w:cs="Times New Roman"/>
          <w:b/>
          <w:bCs/>
          <w:sz w:val="28"/>
          <w:szCs w:val="32"/>
        </w:rPr>
        <w:t xml:space="preserve"> </w:t>
      </w:r>
      <w:bookmarkStart w:id="1" w:name="_Hlk101858201"/>
      <w:r>
        <w:rPr>
          <w:rFonts w:ascii="Times New Roman" w:hAnsi="Times New Roman" w:cs="Times New Roman"/>
          <w:b/>
          <w:bCs/>
          <w:color w:val="000000" w:themeColor="text1"/>
          <w:sz w:val="24"/>
          <w:szCs w:val="28"/>
          <w14:textFill>
            <w14:solidFill>
              <w14:schemeClr w14:val="tx1"/>
            </w14:solidFill>
          </w14:textFill>
        </w:rPr>
        <w:t>Figure</w:t>
      </w:r>
      <w:bookmarkEnd w:id="1"/>
      <w:r>
        <w:rPr>
          <w:rFonts w:ascii="Times New Roman" w:hAnsi="Times New Roman" w:cs="Times New Roman"/>
          <w:b/>
          <w:bCs/>
          <w:color w:val="000000" w:themeColor="text1"/>
          <w:sz w:val="24"/>
          <w:szCs w:val="28"/>
          <w14:textFill>
            <w14:solidFill>
              <w14:schemeClr w14:val="tx1"/>
            </w14:solidFill>
          </w14:textFill>
        </w:rPr>
        <w:t xml:space="preserve"> S1 glutaraldehyde crosslinking and heparinization of the composite sponge stent.</w:t>
      </w:r>
      <w:r>
        <w:rPr>
          <w:rFonts w:ascii="Times New Roman" w:hAnsi="Times New Roman" w:cs="Times New Roman"/>
          <w:b/>
          <w:bCs/>
          <w:color w:val="FF0000"/>
          <w:sz w:val="24"/>
          <w:szCs w:val="28"/>
        </w:rPr>
        <w:t xml:space="preserve"> </w:t>
      </w:r>
      <w:r>
        <w:rPr>
          <w:rFonts w:ascii="Times New Roman" w:hAnsi="Times New Roman" w:cs="Times New Roman"/>
          <w:sz w:val="24"/>
          <w:szCs w:val="28"/>
        </w:rPr>
        <w:t>(A) CADMS and ADM H&amp;E staining, Masson's trichromatic staining, and toluidine blue staining. (B) SEM images before and after glutaraldehyde crosslinking. (C) Fourier infrared spectra of glutaraldehyde before and after crosslinking. (D) Tensile stress curve. (E) Elastic modulus. (F) Relative cell viability before and after glutaraldehyde crosslinking. (G) Toluidine blue staining after heparinized modification. (H) OD</w:t>
      </w:r>
      <w:r>
        <w:rPr>
          <w:rFonts w:ascii="Times New Roman" w:hAnsi="Times New Roman" w:cs="Times New Roman"/>
          <w:sz w:val="24"/>
          <w:szCs w:val="28"/>
          <w:vertAlign w:val="superscript"/>
        </w:rPr>
        <w:t>600</w:t>
      </w:r>
      <w:r>
        <w:rPr>
          <w:rFonts w:ascii="Times New Roman" w:hAnsi="Times New Roman" w:cs="Times New Roman"/>
          <w:sz w:val="24"/>
          <w:szCs w:val="28"/>
        </w:rPr>
        <w:t xml:space="preserve"> determined the absorbance of toluidine blue. (I) Relative cell viability before and after heparin sodium modification. (J) Changes of CADMS-G hygroscopicity before and after heparinization; (K) Fourier infrared spectroscopy before and after heparinization.</w:t>
      </w:r>
    </w:p>
    <w:p>
      <w:pPr>
        <w:rPr>
          <w:rFonts w:ascii="Times New Roman" w:hAnsi="Times New Roman" w:cs="Times New Roman"/>
          <w:sz w:val="24"/>
          <w:szCs w:val="28"/>
        </w:rPr>
      </w:pPr>
      <w:r>
        <w:drawing>
          <wp:inline distT="0" distB="0" distL="0" distR="0">
            <wp:extent cx="5192395" cy="7101840"/>
            <wp:effectExtent l="0" t="0" r="8255"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193877" cy="7104297"/>
                    </a:xfrm>
                    <a:prstGeom prst="rect">
                      <a:avLst/>
                    </a:prstGeom>
                    <a:noFill/>
                    <a:ln>
                      <a:noFill/>
                    </a:ln>
                  </pic:spPr>
                </pic:pic>
              </a:graphicData>
            </a:graphic>
          </wp:inline>
        </w:drawing>
      </w:r>
    </w:p>
    <w:p>
      <w:pPr>
        <w:rPr>
          <w:rFonts w:ascii="Times New Roman" w:hAnsi="Times New Roman" w:cs="Times New Roman"/>
          <w:sz w:val="24"/>
          <w:szCs w:val="28"/>
        </w:rPr>
      </w:pPr>
    </w:p>
    <w:p>
      <w:pPr>
        <w:rPr>
          <w:rFonts w:ascii="Times New Roman" w:hAnsi="Times New Roman" w:cs="Times New Roman"/>
          <w:sz w:val="24"/>
          <w:szCs w:val="28"/>
        </w:rPr>
      </w:pPr>
      <w:r>
        <w:rPr>
          <w:rFonts w:ascii="Times New Roman" w:hAnsi="Times New Roman" w:cs="Times New Roman"/>
          <w:b/>
          <w:bCs/>
          <w:color w:val="000000" w:themeColor="text1"/>
          <w:sz w:val="24"/>
          <w:szCs w:val="28"/>
          <w14:textFill>
            <w14:solidFill>
              <w14:schemeClr w14:val="tx1"/>
            </w14:solidFill>
          </w14:textFill>
        </w:rPr>
        <w:t>Figure S2 Composite sponge doped with polydopamine nanospheres and construction and characterization of drug delivery system.</w:t>
      </w:r>
      <w:r>
        <w:rPr>
          <w:rFonts w:ascii="Times New Roman" w:hAnsi="Times New Roman" w:cs="Times New Roman"/>
          <w:color w:val="000000" w:themeColor="text1"/>
          <w:sz w:val="24"/>
          <w:szCs w:val="28"/>
          <w14:textFill>
            <w14:solidFill>
              <w14:schemeClr w14:val="tx1"/>
            </w14:solidFill>
          </w14:textFill>
        </w:rPr>
        <w:t xml:space="preserve"> </w:t>
      </w:r>
      <w:r>
        <w:rPr>
          <w:rFonts w:ascii="Times New Roman" w:hAnsi="Times New Roman" w:cs="Times New Roman"/>
          <w:sz w:val="24"/>
          <w:szCs w:val="28"/>
        </w:rPr>
        <w:t>(A) Photothermal images of various composite scaffolds under 808 nm NIR laser irradiation. (B) The physical picture of NIR photothermal performance of composite scaffolds. (C) A temperature change of the composite scaffold under 808 nm NIR laser irradiation. (D) The physical image of the composite scaffold collagenase degradation experiment for 24 hours in vitro. (E) Dynamic quantitative statistical chart of in vitro degradation experiments. (F) Picture of subcutaneous degradation of rats with composite scaffolds in vivo. (G) Degraded HE staining images at different time points in vivo. (H) SEM images of drug-delivered stents. (I) Fourier infrared spectroscopy. (J) Growth factor release assay of drug-delivered stents in vitro, (a) PDGF; (b) VEGF.</w:t>
      </w:r>
    </w:p>
    <w:p>
      <w:pPr>
        <w:rPr>
          <w:rFonts w:ascii="Times New Roman" w:hAnsi="Times New Roman" w:cs="Times New Roman"/>
          <w:sz w:val="24"/>
          <w:szCs w:val="28"/>
        </w:rPr>
      </w:pPr>
    </w:p>
    <w:p>
      <w:pPr>
        <w:rPr>
          <w:rFonts w:ascii="Times New Roman" w:hAnsi="Times New Roman" w:cs="Times New Roman"/>
          <w:sz w:val="24"/>
          <w:szCs w:val="28"/>
        </w:rPr>
      </w:pPr>
      <w:r>
        <w:drawing>
          <wp:inline distT="0" distB="0" distL="0" distR="0">
            <wp:extent cx="4745990" cy="4278630"/>
            <wp:effectExtent l="0" t="0" r="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747604" cy="4280051"/>
                    </a:xfrm>
                    <a:prstGeom prst="rect">
                      <a:avLst/>
                    </a:prstGeom>
                    <a:noFill/>
                    <a:ln>
                      <a:noFill/>
                    </a:ln>
                  </pic:spPr>
                </pic:pic>
              </a:graphicData>
            </a:graphic>
          </wp:inline>
        </w:drawing>
      </w:r>
    </w:p>
    <w:p>
      <w:pPr>
        <w:rPr>
          <w:rFonts w:ascii="Times New Roman" w:hAnsi="Times New Roman" w:cs="Times New Roman"/>
          <w:color w:val="000000" w:themeColor="text1"/>
          <w:sz w:val="24"/>
          <w:szCs w:val="28"/>
          <w14:textFill>
            <w14:solidFill>
              <w14:schemeClr w14:val="tx1"/>
            </w14:solidFill>
          </w14:textFill>
        </w:rPr>
      </w:pPr>
      <w:r>
        <w:rPr>
          <w:rFonts w:ascii="Times New Roman" w:hAnsi="Times New Roman" w:cs="Times New Roman"/>
          <w:b/>
          <w:bCs/>
          <w:color w:val="000000" w:themeColor="text1"/>
          <w:sz w:val="24"/>
          <w:szCs w:val="28"/>
          <w14:textFill>
            <w14:solidFill>
              <w14:schemeClr w14:val="tx1"/>
            </w14:solidFill>
          </w14:textFill>
        </w:rPr>
        <w:t xml:space="preserve">Figure S3  Preparation and characterization of concentrated growth factor (CGF). </w:t>
      </w:r>
      <w:r>
        <w:rPr>
          <w:rFonts w:ascii="Times New Roman" w:hAnsi="Times New Roman" w:cs="Times New Roman"/>
          <w:color w:val="000000" w:themeColor="text1"/>
          <w:sz w:val="24"/>
          <w:szCs w:val="28"/>
          <w14:textFill>
            <w14:solidFill>
              <w14:schemeClr w14:val="tx1"/>
            </w14:solidFill>
          </w14:textFill>
        </w:rPr>
        <w:t>(A) Variable speed centrifugation to extract liquid concentration of growth factors from venous blood. (B) Physical images after freeze-drying with different concentrations of CGF. (C) Morphology of CGF with different concentrations at 37℃. (D) Determination of cytotoxicity of CGF at different concentrations by CCK-8. (E) Microstructure images of CGF scanning at different concentrations.</w:t>
      </w:r>
    </w:p>
    <w:p>
      <w:pPr>
        <w:rPr>
          <w:rFonts w:ascii="Times New Roman" w:hAnsi="Times New Roman" w:cs="Times New Roman"/>
          <w:sz w:val="24"/>
          <w:szCs w:val="28"/>
        </w:rPr>
      </w:pPr>
      <w:r>
        <w:drawing>
          <wp:inline distT="0" distB="0" distL="0" distR="0">
            <wp:extent cx="5192395" cy="7064375"/>
            <wp:effectExtent l="0" t="0" r="8255"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194030" cy="7066708"/>
                    </a:xfrm>
                    <a:prstGeom prst="rect">
                      <a:avLst/>
                    </a:prstGeom>
                    <a:noFill/>
                    <a:ln>
                      <a:noFill/>
                    </a:ln>
                  </pic:spPr>
                </pic:pic>
              </a:graphicData>
            </a:graphic>
          </wp:inline>
        </w:drawing>
      </w:r>
    </w:p>
    <w:p>
      <w:pPr>
        <w:rPr>
          <w:rFonts w:ascii="Times New Roman" w:hAnsi="Times New Roman" w:cs="Times New Roman"/>
          <w:sz w:val="24"/>
          <w:szCs w:val="28"/>
        </w:rPr>
      </w:pPr>
      <w:r>
        <w:rPr>
          <w:rFonts w:ascii="Times New Roman" w:hAnsi="Times New Roman" w:cs="Times New Roman"/>
          <w:b/>
          <w:bCs/>
          <w:color w:val="000000" w:themeColor="text1"/>
          <w:sz w:val="24"/>
          <w:szCs w:val="28"/>
          <w14:textFill>
            <w14:solidFill>
              <w14:schemeClr w14:val="tx1"/>
            </w14:solidFill>
          </w14:textFill>
        </w:rPr>
        <w:t>Figure S4  Evaluation of CGF at the cellular level in vitro.</w:t>
      </w:r>
      <w:r>
        <w:rPr>
          <w:rFonts w:ascii="Times New Roman" w:hAnsi="Times New Roman" w:cs="Times New Roman"/>
          <w:color w:val="000000" w:themeColor="text1"/>
          <w:sz w:val="24"/>
          <w:szCs w:val="28"/>
          <w14:textFill>
            <w14:solidFill>
              <w14:schemeClr w14:val="tx1"/>
            </w14:solidFill>
          </w14:textFill>
        </w:rPr>
        <w:t xml:space="preserve"> (A) Morphology of L929 cells cultured with different concentrations of CGF. (B) Cell migration assay to evaluate the effect of different concentrations of CGF on L929 cell migration. (C) Statistical quantification of cell mobility (*P&lt;0.05, **P&lt;0.01).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FiMTQ1M2UxY2RkMTRlNDhhMzFlMzlhNmRjY2Y0OTgifQ=="/>
  </w:docVars>
  <w:rsids>
    <w:rsidRoot w:val="00A73E26"/>
    <w:rsid w:val="000475A8"/>
    <w:rsid w:val="00066B06"/>
    <w:rsid w:val="000A479C"/>
    <w:rsid w:val="000B76E6"/>
    <w:rsid w:val="000D4B2D"/>
    <w:rsid w:val="001219D3"/>
    <w:rsid w:val="001908C8"/>
    <w:rsid w:val="001B1F15"/>
    <w:rsid w:val="001D7CE0"/>
    <w:rsid w:val="00271648"/>
    <w:rsid w:val="002E1141"/>
    <w:rsid w:val="00356CE9"/>
    <w:rsid w:val="00365A7B"/>
    <w:rsid w:val="003C3290"/>
    <w:rsid w:val="003F1CE7"/>
    <w:rsid w:val="004B265E"/>
    <w:rsid w:val="004F0B43"/>
    <w:rsid w:val="005461ED"/>
    <w:rsid w:val="00550037"/>
    <w:rsid w:val="005C739D"/>
    <w:rsid w:val="005D54EB"/>
    <w:rsid w:val="005E058F"/>
    <w:rsid w:val="005E797E"/>
    <w:rsid w:val="00640743"/>
    <w:rsid w:val="0066255A"/>
    <w:rsid w:val="0067050C"/>
    <w:rsid w:val="006A7497"/>
    <w:rsid w:val="006B2F0D"/>
    <w:rsid w:val="00720127"/>
    <w:rsid w:val="007256A0"/>
    <w:rsid w:val="00782554"/>
    <w:rsid w:val="007871FF"/>
    <w:rsid w:val="007D108A"/>
    <w:rsid w:val="007F1285"/>
    <w:rsid w:val="007F56F8"/>
    <w:rsid w:val="00800B71"/>
    <w:rsid w:val="0080744F"/>
    <w:rsid w:val="008275F7"/>
    <w:rsid w:val="00854EA5"/>
    <w:rsid w:val="00866FC7"/>
    <w:rsid w:val="008932B4"/>
    <w:rsid w:val="00895688"/>
    <w:rsid w:val="009A6D53"/>
    <w:rsid w:val="009D0B73"/>
    <w:rsid w:val="00A16508"/>
    <w:rsid w:val="00A36E3A"/>
    <w:rsid w:val="00A5044F"/>
    <w:rsid w:val="00A73E26"/>
    <w:rsid w:val="00AF1289"/>
    <w:rsid w:val="00B13263"/>
    <w:rsid w:val="00B2129E"/>
    <w:rsid w:val="00B66A30"/>
    <w:rsid w:val="00B72DCA"/>
    <w:rsid w:val="00BD7D41"/>
    <w:rsid w:val="00BF23EB"/>
    <w:rsid w:val="00C1271D"/>
    <w:rsid w:val="00D83441"/>
    <w:rsid w:val="00DE321C"/>
    <w:rsid w:val="00E35C65"/>
    <w:rsid w:val="00F56AF2"/>
    <w:rsid w:val="00F5718B"/>
    <w:rsid w:val="00F812FB"/>
    <w:rsid w:val="00F9767B"/>
    <w:rsid w:val="00FF5A27"/>
    <w:rsid w:val="137C0AA0"/>
    <w:rsid w:val="1D7764B2"/>
    <w:rsid w:val="2A6315A1"/>
    <w:rsid w:val="3C0E404E"/>
    <w:rsid w:val="647064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kern w:val="2"/>
      <w:sz w:val="18"/>
      <w:szCs w:val="18"/>
    </w:rPr>
  </w:style>
  <w:style w:type="character" w:customStyle="1" w:styleId="7">
    <w:name w:val="页脚 字符"/>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1DFC-1BA0-4C59-83F0-2C3CC866A04A}">
  <ds:schemaRefs/>
</ds:datastoreItem>
</file>

<file path=docProps/app.xml><?xml version="1.0" encoding="utf-8"?>
<Properties xmlns="http://schemas.openxmlformats.org/officeDocument/2006/extended-properties" xmlns:vt="http://schemas.openxmlformats.org/officeDocument/2006/docPropsVTypes">
  <Template>Normal</Template>
  <Pages>5</Pages>
  <Words>524</Words>
  <Characters>3368</Characters>
  <Lines>150</Lines>
  <Paragraphs>42</Paragraphs>
  <TotalTime>0</TotalTime>
  <ScaleCrop>false</ScaleCrop>
  <LinksUpToDate>false</LinksUpToDate>
  <CharactersWithSpaces>3886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2022-04-26T01:38:00Z</dcterms:created>
  <dc:creator>陈 良龙</dc:creator>
  <cp:lastModifiedBy>甘草</cp:lastModifiedBy>
  <dcterms:modified xsi:type="dcterms:W3CDTF">2022-05-30T10:31:50Z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eyJoZGlkIjoiNjFiMTQ1M2UxY2RkMTRlNDhhMzFlMzlhNmRjY2Y0OTgifQ==</vt:lpwstr>
  </property>
  <property fmtid="{D5CDD505-2E9C-101B-9397-08002B2CF9AE}" pid="3" name="KSOProductBuildVer">
    <vt:lpwstr>2052-11.1.0.11744</vt:lpwstr>
  </property>
  <property fmtid="{D5CDD505-2E9C-101B-9397-08002B2CF9AE}" pid="4" name="ICV">
    <vt:lpwstr>E283EF8E140E4D2881BFDF306BB3F5C4</vt:lpwstr>
  </property>
</Properties>
</file>