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5CD" w:rsidRDefault="00F835CD" w:rsidP="00EA016F">
      <w:pPr>
        <w:bidi w:val="0"/>
      </w:pPr>
    </w:p>
    <w:p w:rsidR="00A64963" w:rsidRPr="00642C60" w:rsidRDefault="00A64963" w:rsidP="00A64963">
      <w:pPr>
        <w:pStyle w:val="Tabletitle"/>
        <w:spacing w:after="240" w:line="480" w:lineRule="auto"/>
        <w:jc w:val="center"/>
        <w:rPr>
          <w:rFonts w:asciiTheme="majorBidi" w:hAnsiTheme="majorBidi" w:cstheme="majorBidi"/>
          <w:lang w:bidi="fa-IR"/>
        </w:rPr>
      </w:pPr>
      <w:bookmarkStart w:id="0" w:name="_GoBack"/>
      <w:bookmarkEnd w:id="0"/>
    </w:p>
    <w:tbl>
      <w:tblPr>
        <w:bidiVisual/>
        <w:tblW w:w="12950" w:type="dxa"/>
        <w:tblLook w:val="04A0" w:firstRow="1" w:lastRow="0" w:firstColumn="1" w:lastColumn="0" w:noHBand="0" w:noVBand="1"/>
      </w:tblPr>
      <w:tblGrid>
        <w:gridCol w:w="557"/>
        <w:gridCol w:w="1085"/>
        <w:gridCol w:w="586"/>
        <w:gridCol w:w="777"/>
        <w:gridCol w:w="611"/>
        <w:gridCol w:w="560"/>
        <w:gridCol w:w="686"/>
        <w:gridCol w:w="700"/>
        <w:gridCol w:w="580"/>
        <w:gridCol w:w="261"/>
        <w:gridCol w:w="557"/>
        <w:gridCol w:w="1086"/>
        <w:gridCol w:w="724"/>
        <w:gridCol w:w="777"/>
        <w:gridCol w:w="709"/>
        <w:gridCol w:w="664"/>
        <w:gridCol w:w="828"/>
        <w:gridCol w:w="686"/>
        <w:gridCol w:w="516"/>
      </w:tblGrid>
      <w:tr w:rsidR="00A64963" w:rsidRPr="00EA016F" w:rsidTr="00A64963">
        <w:trPr>
          <w:trHeight w:val="300"/>
        </w:trPr>
        <w:tc>
          <w:tcPr>
            <w:tcW w:w="557"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Row</w:t>
            </w:r>
          </w:p>
        </w:tc>
        <w:tc>
          <w:tcPr>
            <w:tcW w:w="1085"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Location</w:t>
            </w:r>
          </w:p>
        </w:tc>
        <w:tc>
          <w:tcPr>
            <w:tcW w:w="586"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Zone</w:t>
            </w:r>
          </w:p>
        </w:tc>
        <w:tc>
          <w:tcPr>
            <w:tcW w:w="777"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Symbol</w:t>
            </w:r>
          </w:p>
        </w:tc>
        <w:tc>
          <w:tcPr>
            <w:tcW w:w="611"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δ</w:t>
            </w:r>
            <w:r w:rsidRPr="00EA016F">
              <w:rPr>
                <w:rFonts w:ascii="Times New Roman" w:eastAsia="Times New Roman" w:hAnsi="Times New Roman" w:cs="Times New Roman"/>
                <w:color w:val="000000"/>
                <w:sz w:val="18"/>
                <w:szCs w:val="18"/>
                <w:vertAlign w:val="superscript"/>
              </w:rPr>
              <w:t>18</w:t>
            </w:r>
            <w:r w:rsidRPr="00EA016F">
              <w:rPr>
                <w:rFonts w:ascii="Times New Roman" w:eastAsia="Times New Roman" w:hAnsi="Times New Roman" w:cs="Times New Roman"/>
                <w:color w:val="000000"/>
                <w:sz w:val="18"/>
                <w:szCs w:val="18"/>
              </w:rPr>
              <w:t>O</w:t>
            </w:r>
          </w:p>
        </w:tc>
        <w:tc>
          <w:tcPr>
            <w:tcW w:w="560"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δ</w:t>
            </w:r>
            <w:r w:rsidRPr="00EA016F">
              <w:rPr>
                <w:rFonts w:ascii="Times New Roman" w:eastAsia="Times New Roman" w:hAnsi="Times New Roman" w:cs="Times New Roman"/>
                <w:color w:val="000000"/>
                <w:sz w:val="18"/>
                <w:szCs w:val="18"/>
                <w:vertAlign w:val="superscript"/>
              </w:rPr>
              <w:t>2</w:t>
            </w:r>
            <w:r w:rsidRPr="00EA016F">
              <w:rPr>
                <w:rFonts w:ascii="Times New Roman" w:eastAsia="Times New Roman" w:hAnsi="Times New Roman" w:cs="Times New Roman"/>
                <w:color w:val="000000"/>
                <w:sz w:val="18"/>
                <w:szCs w:val="18"/>
              </w:rPr>
              <w:t>H</w:t>
            </w:r>
          </w:p>
        </w:tc>
        <w:tc>
          <w:tcPr>
            <w:tcW w:w="686"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t>
            </w:r>
            <w:r w:rsidRPr="00EA016F">
              <w:rPr>
                <w:rFonts w:ascii="Times New Roman" w:eastAsia="Times New Roman" w:hAnsi="Times New Roman" w:cs="Times New Roman"/>
                <w:color w:val="000000"/>
                <w:sz w:val="18"/>
                <w:szCs w:val="18"/>
              </w:rPr>
              <w:t>-excess</w:t>
            </w:r>
          </w:p>
        </w:tc>
        <w:tc>
          <w:tcPr>
            <w:tcW w:w="700"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lc</w:t>
            </w:r>
            <w:proofErr w:type="spellEnd"/>
            <w:r w:rsidRPr="00EA016F">
              <w:rPr>
                <w:rFonts w:ascii="Times New Roman" w:eastAsia="Times New Roman" w:hAnsi="Times New Roman" w:cs="Times New Roman"/>
                <w:color w:val="000000"/>
                <w:sz w:val="18"/>
                <w:szCs w:val="18"/>
              </w:rPr>
              <w:t>-excess</w:t>
            </w:r>
          </w:p>
        </w:tc>
        <w:tc>
          <w:tcPr>
            <w:tcW w:w="580"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Ref</w:t>
            </w:r>
          </w:p>
        </w:tc>
        <w:tc>
          <w:tcPr>
            <w:tcW w:w="261"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Row</w:t>
            </w:r>
          </w:p>
        </w:tc>
        <w:tc>
          <w:tcPr>
            <w:tcW w:w="1086"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Location</w:t>
            </w:r>
          </w:p>
        </w:tc>
        <w:tc>
          <w:tcPr>
            <w:tcW w:w="724"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Zone</w:t>
            </w:r>
          </w:p>
        </w:tc>
        <w:tc>
          <w:tcPr>
            <w:tcW w:w="777"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Symbol</w:t>
            </w:r>
          </w:p>
        </w:tc>
        <w:tc>
          <w:tcPr>
            <w:tcW w:w="709"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δ</w:t>
            </w:r>
            <w:r w:rsidRPr="00EA016F">
              <w:rPr>
                <w:rFonts w:ascii="Times New Roman" w:eastAsia="Times New Roman" w:hAnsi="Times New Roman" w:cs="Times New Roman"/>
                <w:color w:val="000000"/>
                <w:sz w:val="18"/>
                <w:szCs w:val="18"/>
                <w:vertAlign w:val="superscript"/>
              </w:rPr>
              <w:t xml:space="preserve"> 18</w:t>
            </w:r>
            <w:r w:rsidRPr="00EA016F">
              <w:rPr>
                <w:rFonts w:ascii="Times New Roman" w:eastAsia="Times New Roman" w:hAnsi="Times New Roman" w:cs="Times New Roman"/>
                <w:color w:val="000000"/>
                <w:sz w:val="18"/>
                <w:szCs w:val="18"/>
              </w:rPr>
              <w:t>O</w:t>
            </w:r>
          </w:p>
        </w:tc>
        <w:tc>
          <w:tcPr>
            <w:tcW w:w="664"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δ</w:t>
            </w:r>
            <w:r w:rsidRPr="00EA016F">
              <w:rPr>
                <w:rFonts w:ascii="Times New Roman" w:eastAsia="Times New Roman" w:hAnsi="Times New Roman" w:cs="Times New Roman"/>
                <w:color w:val="000000"/>
                <w:sz w:val="18"/>
                <w:szCs w:val="18"/>
                <w:vertAlign w:val="superscript"/>
              </w:rPr>
              <w:t xml:space="preserve"> 2</w:t>
            </w:r>
            <w:r w:rsidRPr="00EA016F">
              <w:rPr>
                <w:rFonts w:ascii="Times New Roman" w:eastAsia="Times New Roman" w:hAnsi="Times New Roman" w:cs="Times New Roman"/>
                <w:color w:val="000000"/>
                <w:sz w:val="18"/>
                <w:szCs w:val="18"/>
              </w:rPr>
              <w:t>H</w:t>
            </w:r>
          </w:p>
        </w:tc>
        <w:tc>
          <w:tcPr>
            <w:tcW w:w="828"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t>
            </w:r>
            <w:r w:rsidRPr="00EA016F">
              <w:rPr>
                <w:rFonts w:ascii="Times New Roman" w:eastAsia="Times New Roman" w:hAnsi="Times New Roman" w:cs="Times New Roman"/>
                <w:color w:val="000000"/>
                <w:sz w:val="18"/>
                <w:szCs w:val="18"/>
              </w:rPr>
              <w:t>-excess</w:t>
            </w:r>
          </w:p>
        </w:tc>
        <w:tc>
          <w:tcPr>
            <w:tcW w:w="686"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lc</w:t>
            </w:r>
            <w:proofErr w:type="spellEnd"/>
            <w:r w:rsidRPr="00EA016F">
              <w:rPr>
                <w:rFonts w:ascii="Times New Roman" w:eastAsia="Times New Roman" w:hAnsi="Times New Roman" w:cs="Times New Roman"/>
                <w:color w:val="000000"/>
                <w:sz w:val="18"/>
                <w:szCs w:val="18"/>
              </w:rPr>
              <w:t>-excess</w:t>
            </w:r>
          </w:p>
        </w:tc>
        <w:tc>
          <w:tcPr>
            <w:tcW w:w="516" w:type="dxa"/>
            <w:tcBorders>
              <w:top w:val="single" w:sz="8" w:space="0" w:color="auto"/>
              <w:left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Ref</w:t>
            </w:r>
          </w:p>
        </w:tc>
      </w:tr>
      <w:tr w:rsidR="00A64963" w:rsidRPr="00EA016F" w:rsidTr="00A64963">
        <w:trPr>
          <w:trHeight w:val="300"/>
        </w:trPr>
        <w:tc>
          <w:tcPr>
            <w:tcW w:w="557"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1085"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586"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777"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611"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Arial" w:eastAsia="Times New Roman" w:hAnsi="Arial" w:cs="Arial"/>
                <w:color w:val="000000"/>
                <w:sz w:val="18"/>
                <w:szCs w:val="18"/>
              </w:rPr>
              <w:t>‰</w:t>
            </w:r>
            <w:r>
              <w:rPr>
                <w:rFonts w:ascii="Times New Roman" w:eastAsia="Times New Roman" w:hAnsi="Times New Roman" w:cs="Times New Roman"/>
                <w:color w:val="000000"/>
                <w:sz w:val="18"/>
                <w:szCs w:val="18"/>
              </w:rPr>
              <w:t>)</w:t>
            </w:r>
          </w:p>
        </w:tc>
        <w:tc>
          <w:tcPr>
            <w:tcW w:w="560"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Arial" w:eastAsia="Times New Roman" w:hAnsi="Arial" w:cs="Arial"/>
                <w:color w:val="000000"/>
                <w:sz w:val="18"/>
                <w:szCs w:val="18"/>
              </w:rPr>
              <w:t>‰</w:t>
            </w:r>
            <w:r>
              <w:rPr>
                <w:rFonts w:ascii="Times New Roman" w:eastAsia="Times New Roman" w:hAnsi="Times New Roman" w:cs="Times New Roman"/>
                <w:color w:val="000000"/>
                <w:sz w:val="18"/>
                <w:szCs w:val="18"/>
              </w:rPr>
              <w:t>)</w:t>
            </w:r>
          </w:p>
        </w:tc>
        <w:tc>
          <w:tcPr>
            <w:tcW w:w="686"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Arial" w:eastAsia="Times New Roman" w:hAnsi="Arial" w:cs="Arial"/>
                <w:color w:val="000000"/>
                <w:sz w:val="18"/>
                <w:szCs w:val="18"/>
              </w:rPr>
              <w:t>‰</w:t>
            </w:r>
            <w:r>
              <w:rPr>
                <w:rFonts w:ascii="Times New Roman" w:eastAsia="Times New Roman" w:hAnsi="Times New Roman" w:cs="Times New Roman"/>
                <w:color w:val="000000"/>
                <w:sz w:val="18"/>
                <w:szCs w:val="18"/>
              </w:rPr>
              <w:t>)</w:t>
            </w:r>
          </w:p>
        </w:tc>
        <w:tc>
          <w:tcPr>
            <w:tcW w:w="700"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Arial" w:eastAsia="Times New Roman" w:hAnsi="Arial" w:cs="Arial"/>
                <w:color w:val="000000"/>
                <w:sz w:val="18"/>
                <w:szCs w:val="18"/>
              </w:rPr>
              <w:t>‰</w:t>
            </w:r>
            <w:r>
              <w:rPr>
                <w:rFonts w:ascii="Times New Roman" w:eastAsia="Times New Roman" w:hAnsi="Times New Roman" w:cs="Times New Roman"/>
                <w:color w:val="000000"/>
                <w:sz w:val="18"/>
                <w:szCs w:val="18"/>
              </w:rPr>
              <w:t>)</w:t>
            </w:r>
          </w:p>
        </w:tc>
        <w:tc>
          <w:tcPr>
            <w:tcW w:w="580"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261"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557"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1086"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724"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777"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c>
          <w:tcPr>
            <w:tcW w:w="709"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Arial" w:eastAsia="Times New Roman" w:hAnsi="Arial" w:cs="Arial"/>
                <w:color w:val="000000"/>
                <w:sz w:val="18"/>
                <w:szCs w:val="18"/>
              </w:rPr>
              <w:t>‰</w:t>
            </w:r>
            <w:r>
              <w:rPr>
                <w:rFonts w:ascii="Times New Roman" w:eastAsia="Times New Roman" w:hAnsi="Times New Roman" w:cs="Times New Roman"/>
                <w:color w:val="000000"/>
                <w:sz w:val="18"/>
                <w:szCs w:val="18"/>
              </w:rPr>
              <w:t>)</w:t>
            </w:r>
          </w:p>
        </w:tc>
        <w:tc>
          <w:tcPr>
            <w:tcW w:w="664"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Arial" w:eastAsia="Times New Roman" w:hAnsi="Arial" w:cs="Arial"/>
                <w:color w:val="000000"/>
                <w:sz w:val="18"/>
                <w:szCs w:val="18"/>
              </w:rPr>
              <w:t>‰</w:t>
            </w:r>
            <w:r>
              <w:rPr>
                <w:rFonts w:ascii="Times New Roman" w:eastAsia="Times New Roman" w:hAnsi="Times New Roman" w:cs="Times New Roman"/>
                <w:color w:val="000000"/>
                <w:sz w:val="18"/>
                <w:szCs w:val="18"/>
              </w:rPr>
              <w:t>)</w:t>
            </w:r>
          </w:p>
        </w:tc>
        <w:tc>
          <w:tcPr>
            <w:tcW w:w="828"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Arial" w:eastAsia="Times New Roman" w:hAnsi="Arial" w:cs="Arial"/>
                <w:color w:val="000000"/>
                <w:sz w:val="18"/>
                <w:szCs w:val="18"/>
              </w:rPr>
              <w:t>‰</w:t>
            </w:r>
            <w:r>
              <w:rPr>
                <w:rFonts w:ascii="Times New Roman" w:eastAsia="Times New Roman" w:hAnsi="Times New Roman" w:cs="Times New Roman"/>
                <w:color w:val="000000"/>
                <w:sz w:val="18"/>
                <w:szCs w:val="18"/>
              </w:rPr>
              <w:t>)</w:t>
            </w:r>
          </w:p>
        </w:tc>
        <w:tc>
          <w:tcPr>
            <w:tcW w:w="686"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Arial" w:eastAsia="Times New Roman" w:hAnsi="Arial" w:cs="Arial"/>
                <w:color w:val="000000"/>
                <w:sz w:val="18"/>
                <w:szCs w:val="18"/>
              </w:rPr>
              <w:t>‰</w:t>
            </w:r>
            <w:r>
              <w:rPr>
                <w:rFonts w:ascii="Times New Roman" w:eastAsia="Times New Roman" w:hAnsi="Times New Roman" w:cs="Times New Roman"/>
                <w:color w:val="000000"/>
                <w:sz w:val="18"/>
                <w:szCs w:val="18"/>
              </w:rPr>
              <w:t>)</w:t>
            </w:r>
          </w:p>
        </w:tc>
        <w:tc>
          <w:tcPr>
            <w:tcW w:w="516" w:type="dxa"/>
            <w:tcBorders>
              <w:left w:val="nil"/>
              <w:bottom w:val="single" w:sz="8" w:space="0" w:color="auto"/>
              <w:right w:val="nil"/>
            </w:tcBorders>
            <w:shd w:val="clear" w:color="000000" w:fill="FFFFFF"/>
            <w:noWrap/>
            <w:vAlign w:val="center"/>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Droudzan</w:t>
            </w:r>
            <w:proofErr w:type="spellEnd"/>
            <w:r w:rsidRPr="00EA016F">
              <w:rPr>
                <w:rFonts w:ascii="Times New Roman" w:eastAsia="Times New Roman" w:hAnsi="Times New Roman" w:cs="Times New Roman"/>
                <w:color w:val="000000"/>
                <w:sz w:val="18"/>
                <w:szCs w:val="18"/>
              </w:rPr>
              <w:t xml:space="preserve"> </w:t>
            </w:r>
          </w:p>
        </w:tc>
        <w:tc>
          <w:tcPr>
            <w:tcW w:w="586" w:type="dxa"/>
            <w:vMerge w:val="restart"/>
            <w:tcBorders>
              <w:top w:val="nil"/>
              <w:left w:val="nil"/>
              <w:bottom w:val="nil"/>
              <w:right w:val="nil"/>
            </w:tcBorders>
            <w:shd w:val="clear" w:color="000000" w:fill="FFFFFF"/>
            <w:noWrap/>
            <w:textDirection w:val="btLr"/>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Southern Zagros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Dam </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-1.9</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4.0</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-14.2</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 </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34</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Kardeh</w:t>
            </w:r>
            <w:proofErr w:type="spellEnd"/>
            <w:r w:rsidRPr="00EA016F">
              <w:rPr>
                <w:rFonts w:ascii="Times New Roman" w:eastAsia="Times New Roman" w:hAnsi="Times New Roman" w:cs="Times New Roman"/>
                <w:color w:val="000000"/>
                <w:sz w:val="18"/>
                <w:szCs w:val="18"/>
              </w:rPr>
              <w:t xml:space="preserve"> </w:t>
            </w:r>
          </w:p>
        </w:tc>
        <w:tc>
          <w:tcPr>
            <w:tcW w:w="724" w:type="dxa"/>
            <w:vMerge w:val="restart"/>
            <w:tcBorders>
              <w:top w:val="nil"/>
              <w:left w:val="nil"/>
              <w:bottom w:val="nil"/>
              <w:right w:val="nil"/>
            </w:tcBorders>
            <w:shd w:val="clear" w:color="000000" w:fill="FFFFFF"/>
            <w:noWrap/>
            <w:textDirection w:val="btLr"/>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AC22B4">
              <w:rPr>
                <w:rFonts w:ascii="Times New Roman" w:eastAsia="Times New Roman" w:hAnsi="Times New Roman" w:cs="Times New Roman"/>
                <w:color w:val="000000"/>
                <w:sz w:val="18"/>
                <w:szCs w:val="18"/>
                <w:vertAlign w:val="superscript"/>
              </w:rPr>
              <w:t>1</w:t>
            </w:r>
            <w:r>
              <w:rPr>
                <w:rFonts w:ascii="Times New Roman" w:eastAsia="Times New Roman" w:hAnsi="Times New Roman" w:cs="Times New Roman"/>
                <w:color w:val="000000"/>
                <w:sz w:val="18"/>
                <w:szCs w:val="18"/>
                <w:vertAlign w:val="superscript"/>
              </w:rPr>
              <w:t xml:space="preserve"> </w:t>
            </w:r>
            <w:r w:rsidRPr="00EA016F">
              <w:rPr>
                <w:rFonts w:ascii="Times New Roman" w:eastAsia="Times New Roman" w:hAnsi="Times New Roman" w:cs="Times New Roman"/>
                <w:color w:val="000000"/>
                <w:sz w:val="18"/>
                <w:szCs w:val="18"/>
              </w:rPr>
              <w:t>NE Iran</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Dam</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-7.3</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-50.4</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7.8</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-9.5</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[13]</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Karoun3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Dam </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-6.0</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-28.9</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19.1</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-1.6</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35</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Torogh</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Dam</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-6.8</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-43.7</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-6.2</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Cherum</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Dam </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-3.4</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-10.0</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17.4</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36</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Kashaf</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-8.0</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-32.1</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32.0</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14.1</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[15]</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 </w:t>
            </w:r>
            <w:proofErr w:type="spellStart"/>
            <w:r w:rsidRPr="00EA016F">
              <w:rPr>
                <w:rFonts w:ascii="Times New Roman" w:eastAsia="Times New Roman" w:hAnsi="Times New Roman" w:cs="Times New Roman"/>
                <w:color w:val="000000"/>
                <w:sz w:val="18"/>
                <w:szCs w:val="18"/>
              </w:rPr>
              <w:t>Abbaspour</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Dam </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-4.7</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-23.7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13.9</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-5.9</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37</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Kardeh</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-8.7</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-61.8</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8.1</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-10.4</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[13]</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Kafter</w:t>
            </w:r>
            <w:proofErr w:type="spellEnd"/>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Lake</w:t>
            </w:r>
            <w:r w:rsidRPr="00EA016F">
              <w:rPr>
                <w:rFonts w:ascii="Times New Roman" w:eastAsia="Times New Roman" w:hAnsi="Times New Roman" w:cs="Times New Roman"/>
                <w:color w:val="000000"/>
                <w:sz w:val="18"/>
                <w:szCs w:val="18"/>
              </w:rPr>
              <w:t xml:space="preserve"> </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-4.2</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-15.7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17.7</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-1.9</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38</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Torogh</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-7.5</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-48.2</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11.8</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-5.7</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Taloug</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-4.9</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-22.2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17.3</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-2.7</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39</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Bazangan</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Lake</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-6.2</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-19.8</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-29.6</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[16]</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Abolabass</w:t>
            </w:r>
            <w:proofErr w:type="spellEnd"/>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-4.4</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-20.7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14.9</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-4.8</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Jarahi</w:t>
            </w:r>
            <w:proofErr w:type="spellEnd"/>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-5.0</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-22.0</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18.0</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-2.0</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40</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Caspian </w:t>
            </w:r>
          </w:p>
        </w:tc>
        <w:tc>
          <w:tcPr>
            <w:tcW w:w="724" w:type="dxa"/>
            <w:vMerge w:val="restart"/>
            <w:tcBorders>
              <w:top w:val="nil"/>
              <w:left w:val="nil"/>
              <w:bottom w:val="nil"/>
              <w:right w:val="nil"/>
            </w:tcBorders>
            <w:shd w:val="clear" w:color="000000" w:fill="FFFFFF"/>
            <w:noWrap/>
            <w:textDirection w:val="btLr"/>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AC22B4">
              <w:rPr>
                <w:rFonts w:ascii="Times New Roman" w:eastAsia="Times New Roman" w:hAnsi="Times New Roman" w:cs="Times New Roman"/>
                <w:color w:val="000000"/>
                <w:sz w:val="18"/>
                <w:szCs w:val="18"/>
                <w:vertAlign w:val="superscript"/>
              </w:rPr>
              <w:t>2</w:t>
            </w:r>
            <w:r>
              <w:rPr>
                <w:rFonts w:ascii="Times New Roman" w:eastAsia="Times New Roman" w:hAnsi="Times New Roman" w:cs="Times New Roman"/>
                <w:color w:val="000000"/>
                <w:sz w:val="18"/>
                <w:szCs w:val="18"/>
              </w:rPr>
              <w:t xml:space="preserve"> </w:t>
            </w:r>
            <w:r w:rsidRPr="00EA016F">
              <w:rPr>
                <w:rFonts w:ascii="Times New Roman" w:eastAsia="Times New Roman" w:hAnsi="Times New Roman" w:cs="Times New Roman"/>
                <w:color w:val="000000"/>
                <w:sz w:val="18"/>
                <w:szCs w:val="18"/>
              </w:rPr>
              <w:t>NC Iran</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Sea</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0.3</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-5.5</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t>5</w:t>
            </w:r>
            <w:r w:rsidRPr="00EA016F">
              <w:rPr>
                <w:rFonts w:ascii="Times New Roman" w:eastAsia="Times New Roman" w:hAnsi="Times New Roman" w:cs="Times New Roman"/>
                <w:color w:val="000000"/>
                <w:sz w:val="18"/>
                <w:szCs w:val="18"/>
              </w:rPr>
              <w:t>.0</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Shapour</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-3.1</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14.8</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-4.2</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41</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Lar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Dam</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-8.7</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-55.6</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14.3</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[18]</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Shekastyan</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-0.7</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2.3</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7.7</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-9.8</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42</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DA3348">
              <w:rPr>
                <w:rFonts w:ascii="Times New Roman" w:eastAsia="Times New Roman" w:hAnsi="Times New Roman" w:cs="Times New Roman"/>
                <w:color w:val="000000"/>
                <w:sz w:val="18"/>
                <w:szCs w:val="18"/>
              </w:rPr>
              <w:t>Delichay</w:t>
            </w:r>
            <w:proofErr w:type="spellEnd"/>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9.4</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-55.0</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Gorg</w:t>
            </w:r>
            <w:proofErr w:type="spellEnd"/>
            <w:r w:rsidRPr="00EA016F">
              <w:rPr>
                <w:rFonts w:ascii="Times New Roman" w:eastAsia="Times New Roman" w:hAnsi="Times New Roman" w:cs="Times New Roman"/>
                <w:color w:val="000000"/>
                <w:sz w:val="18"/>
                <w:szCs w:val="18"/>
              </w:rPr>
              <w:t xml:space="preserve"> valley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-7.0</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-34.6</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21.4</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0.2</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12</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Tanbakukar</w:t>
            </w:r>
            <w:proofErr w:type="spellEnd"/>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-4.0</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-20.9</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10.8</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-8.6</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43</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Sabalan</w:t>
            </w:r>
            <w:proofErr w:type="spellEnd"/>
            <w:r w:rsidRPr="00EA016F">
              <w:rPr>
                <w:rFonts w:ascii="Times New Roman" w:eastAsia="Times New Roman" w:hAnsi="Times New Roman" w:cs="Times New Roman"/>
                <w:color w:val="000000"/>
                <w:sz w:val="18"/>
                <w:szCs w:val="18"/>
              </w:rPr>
              <w:t xml:space="preserve"> </w:t>
            </w:r>
          </w:p>
        </w:tc>
        <w:tc>
          <w:tcPr>
            <w:tcW w:w="724" w:type="dxa"/>
            <w:vMerge w:val="restart"/>
            <w:tcBorders>
              <w:top w:val="nil"/>
              <w:left w:val="nil"/>
              <w:bottom w:val="nil"/>
              <w:right w:val="nil"/>
            </w:tcBorders>
            <w:shd w:val="clear" w:color="000000" w:fill="FFFFFF"/>
            <w:noWrap/>
            <w:textDirection w:val="btLr"/>
            <w:vAlign w:val="center"/>
            <w:hideMark/>
          </w:tcPr>
          <w:p w:rsidR="00A64963" w:rsidRDefault="00A64963" w:rsidP="00EF489C">
            <w:pPr>
              <w:bidi w:val="0"/>
              <w:spacing w:after="0" w:line="240" w:lineRule="auto"/>
              <w:jc w:val="center"/>
              <w:rPr>
                <w:rFonts w:ascii="Times New Roman" w:eastAsia="Times New Roman" w:hAnsi="Times New Roman" w:cs="Times New Roman"/>
                <w:color w:val="000000"/>
                <w:sz w:val="18"/>
                <w:szCs w:val="18"/>
              </w:rPr>
            </w:pPr>
          </w:p>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AC22B4">
              <w:rPr>
                <w:rFonts w:ascii="Times New Roman" w:eastAsia="Times New Roman" w:hAnsi="Times New Roman" w:cs="Times New Roman"/>
                <w:color w:val="000000"/>
                <w:sz w:val="18"/>
                <w:szCs w:val="18"/>
                <w:vertAlign w:val="superscript"/>
              </w:rPr>
              <w:t>3</w:t>
            </w:r>
            <w:r>
              <w:rPr>
                <w:rFonts w:ascii="Times New Roman" w:eastAsia="Times New Roman" w:hAnsi="Times New Roman" w:cs="Times New Roman"/>
                <w:color w:val="000000"/>
                <w:sz w:val="18"/>
                <w:szCs w:val="18"/>
              </w:rPr>
              <w:t xml:space="preserve"> </w:t>
            </w:r>
            <w:r w:rsidRPr="00EA016F">
              <w:rPr>
                <w:rFonts w:ascii="Times New Roman" w:eastAsia="Times New Roman" w:hAnsi="Times New Roman" w:cs="Times New Roman"/>
                <w:color w:val="000000"/>
                <w:sz w:val="18"/>
                <w:szCs w:val="18"/>
              </w:rPr>
              <w:t>NW Iran</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Glacier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-6.8</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-35.9</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18.3</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0.1</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13</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Zohreh</w:t>
            </w:r>
            <w:proofErr w:type="spellEnd"/>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-4.7</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-19.9</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17.4</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-2.5</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44</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Khiyavchay</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-10.8</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-67.6</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19.0</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-4.1</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Fahlyan</w:t>
            </w:r>
            <w:proofErr w:type="spellEnd"/>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-5.6</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-24.4</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20.3</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-0.1</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45</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Baliglu</w:t>
            </w:r>
            <w:proofErr w:type="spellEnd"/>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-11.4</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-73.1</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18.1</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-5.7</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15</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Kour</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-5.2</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-22.2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19.4</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-0.7</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46</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Averin</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-11.5</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-74.1</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18.2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-5.7</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16</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Ghareh</w:t>
            </w:r>
            <w:proofErr w:type="spellEnd"/>
            <w:r w:rsidRPr="00EA016F">
              <w:rPr>
                <w:rFonts w:ascii="Times New Roman" w:eastAsia="Times New Roman" w:hAnsi="Times New Roman" w:cs="Times New Roman"/>
                <w:color w:val="000000"/>
                <w:sz w:val="18"/>
                <w:szCs w:val="18"/>
              </w:rPr>
              <w:t xml:space="preserve"> </w:t>
            </w:r>
            <w:proofErr w:type="spellStart"/>
            <w:r w:rsidRPr="00EA016F">
              <w:rPr>
                <w:rFonts w:ascii="Times New Roman" w:eastAsia="Times New Roman" w:hAnsi="Times New Roman" w:cs="Times New Roman"/>
                <w:color w:val="000000"/>
                <w:sz w:val="18"/>
                <w:szCs w:val="18"/>
              </w:rPr>
              <w:t>Aghag</w:t>
            </w:r>
            <w:proofErr w:type="spellEnd"/>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-4.8</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-22.2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16.0</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-3.9</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47</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Darehkhan</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Lake</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-9.3</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-67.4</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-4.1</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A64963" w:rsidRPr="00EA016F" w:rsidTr="00A64963">
        <w:trPr>
          <w:trHeight w:val="379"/>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Prishan</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Lake</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2.6</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11.8</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-9.1</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-24.6</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48</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Averin</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Lake</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-10.6</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-68.7</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15.7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-7.1</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A64963" w:rsidRPr="00EA016F" w:rsidTr="00A64963">
        <w:trPr>
          <w:trHeight w:val="710"/>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lastRenderedPageBreak/>
              <w:t>18</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Dasht</w:t>
            </w:r>
            <w:proofErr w:type="spellEnd"/>
            <w:r w:rsidRPr="00EA016F">
              <w:rPr>
                <w:rFonts w:ascii="Times New Roman" w:eastAsia="Times New Roman" w:hAnsi="Times New Roman" w:cs="Times New Roman"/>
                <w:color w:val="000000"/>
                <w:sz w:val="18"/>
                <w:szCs w:val="18"/>
              </w:rPr>
              <w:t xml:space="preserve"> </w:t>
            </w:r>
            <w:proofErr w:type="spellStart"/>
            <w:r w:rsidRPr="00EA016F">
              <w:rPr>
                <w:rFonts w:ascii="Times New Roman" w:eastAsia="Times New Roman" w:hAnsi="Times New Roman" w:cs="Times New Roman"/>
                <w:color w:val="000000"/>
                <w:sz w:val="18"/>
                <w:szCs w:val="18"/>
              </w:rPr>
              <w:t>Arjan</w:t>
            </w:r>
            <w:proofErr w:type="spellEnd"/>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Lake</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0.6</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4.5</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-0.2</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-17.0</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49</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Sabalan</w:t>
            </w:r>
            <w:proofErr w:type="spellEnd"/>
            <w:r w:rsidRPr="00EA016F">
              <w:rPr>
                <w:rFonts w:ascii="Times New Roman" w:eastAsia="Times New Roman" w:hAnsi="Times New Roman" w:cs="Times New Roman"/>
                <w:color w:val="000000"/>
                <w:sz w:val="18"/>
                <w:szCs w:val="18"/>
              </w:rPr>
              <w:t xml:space="preserve">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Lake</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-2.5</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-22.0</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-2.0</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-15.1</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19</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Mharloo</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Lake</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-4.9</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-36.7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2.1</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-17.8</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[7]</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vMerge w:val="restart"/>
            <w:tcBorders>
              <w:top w:val="nil"/>
              <w:left w:val="nil"/>
              <w:bottom w:val="nil"/>
              <w:right w:val="nil"/>
            </w:tcBorders>
            <w:shd w:val="clear" w:color="000000" w:fill="FFFFFF"/>
            <w:noWrap/>
            <w:textDirection w:val="btLr"/>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Central Iran</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50</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Zayandeh</w:t>
            </w:r>
            <w:proofErr w:type="spellEnd"/>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-4.6</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-27.7</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9.1</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20</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Havassan</w:t>
            </w:r>
            <w:proofErr w:type="spellEnd"/>
            <w:r w:rsidRPr="00EA016F">
              <w:rPr>
                <w:rFonts w:ascii="Times New Roman" w:eastAsia="Times New Roman" w:hAnsi="Times New Roman" w:cs="Times New Roman"/>
                <w:color w:val="000000"/>
                <w:sz w:val="18"/>
                <w:szCs w:val="18"/>
              </w:rPr>
              <w:t xml:space="preserve"> </w:t>
            </w:r>
          </w:p>
        </w:tc>
        <w:tc>
          <w:tcPr>
            <w:tcW w:w="586" w:type="dxa"/>
            <w:vMerge w:val="restart"/>
            <w:tcBorders>
              <w:top w:val="nil"/>
              <w:left w:val="nil"/>
              <w:bottom w:val="single" w:sz="8" w:space="0" w:color="000000"/>
              <w:right w:val="nil"/>
            </w:tcBorders>
            <w:shd w:val="clear" w:color="000000" w:fill="FFFFFF"/>
            <w:noWrap/>
            <w:textDirection w:val="btLr"/>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Western Zagros</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-4.0</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-25.7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6.1</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-8.8</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51</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Taftan</w:t>
            </w:r>
            <w:proofErr w:type="spellEnd"/>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-5.9</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-32.5</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14.7</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-2.1</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1</w:t>
            </w:r>
            <w:r w:rsidRPr="00EA016F">
              <w:rPr>
                <w:rFonts w:ascii="Times New Roman" w:eastAsia="Times New Roman" w:hAnsi="Times New Roman" w:cs="Times New Roman"/>
                <w:color w:val="000000"/>
                <w:sz w:val="18"/>
                <w:szCs w:val="18"/>
              </w:rPr>
              <w:t>]</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21</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Kanishirin</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-4.1</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-26.3</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6.8</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-8.3</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22</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Cahmsaree</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-3.5</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-25.5</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2.6</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-11.7</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52</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Oman</w:t>
            </w:r>
          </w:p>
        </w:tc>
        <w:tc>
          <w:tcPr>
            <w:tcW w:w="724" w:type="dxa"/>
            <w:vMerge w:val="restart"/>
            <w:tcBorders>
              <w:top w:val="nil"/>
              <w:left w:val="nil"/>
              <w:bottom w:val="nil"/>
              <w:right w:val="nil"/>
            </w:tcBorders>
            <w:shd w:val="clear" w:color="000000" w:fill="FFFFFF"/>
            <w:noWrap/>
            <w:textDirection w:val="btLr"/>
            <w:vAlign w:val="center"/>
            <w:hideMark/>
          </w:tcPr>
          <w:p w:rsidR="00A64963" w:rsidRPr="00EA016F" w:rsidRDefault="00A64963" w:rsidP="00EF489C">
            <w:pPr>
              <w:bidi w:val="0"/>
              <w:spacing w:after="0" w:line="240" w:lineRule="auto"/>
              <w:jc w:val="right"/>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South Iran</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Sea</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-0.4</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-2.9</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0.3</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-18.5</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23</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xml:space="preserve">Dare </w:t>
            </w:r>
            <w:proofErr w:type="spellStart"/>
            <w:r w:rsidRPr="00EA016F">
              <w:rPr>
                <w:rFonts w:ascii="Times New Roman" w:eastAsia="Times New Roman" w:hAnsi="Times New Roman" w:cs="Times New Roman"/>
                <w:color w:val="000000"/>
                <w:sz w:val="18"/>
                <w:szCs w:val="18"/>
              </w:rPr>
              <w:t>Zangene</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-4.0</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-28.0</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4.1</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-10.8</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[9]</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24</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P.Solaiman</w:t>
            </w:r>
            <w:proofErr w:type="spellEnd"/>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-5.9</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-34.6</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12.2</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w:t>
            </w:r>
            <w:r w:rsidRPr="00EA016F">
              <w:rPr>
                <w:rFonts w:ascii="Times New Roman" w:eastAsia="Times New Roman" w:hAnsi="Times New Roman" w:cs="Times New Roman"/>
                <w:color w:val="000000"/>
                <w:sz w:val="18"/>
                <w:szCs w:val="18"/>
              </w:rPr>
              <w:t>4.9</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vMerge/>
            <w:tcBorders>
              <w:top w:val="nil"/>
              <w:left w:val="nil"/>
              <w:bottom w:val="nil"/>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auto" w:fill="auto"/>
            <w:noWrap/>
            <w:vAlign w:val="bottom"/>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25</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Aran</w:t>
            </w:r>
            <w:proofErr w:type="spellEnd"/>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-6.2</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-35.2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14.2</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-3.3</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2030" w:type="dxa"/>
            <w:gridSpan w:val="3"/>
            <w:tcBorders>
              <w:top w:val="nil"/>
              <w:left w:val="nil"/>
              <w:bottom w:val="nil"/>
              <w:right w:val="nil"/>
            </w:tcBorders>
            <w:shd w:val="clear" w:color="auto" w:fill="auto"/>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26</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Doab</w:t>
            </w:r>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-6.3</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-36.0</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14.0</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-3.6</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2030" w:type="dxa"/>
            <w:gridSpan w:val="3"/>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27</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Haidar</w:t>
            </w:r>
            <w:proofErr w:type="spellEnd"/>
            <w:r w:rsidRPr="00EA016F">
              <w:rPr>
                <w:rFonts w:ascii="Times New Roman" w:eastAsia="Times New Roman" w:hAnsi="Times New Roman" w:cs="Times New Roman"/>
                <w:color w:val="000000"/>
                <w:sz w:val="18"/>
                <w:szCs w:val="18"/>
              </w:rPr>
              <w:t xml:space="preserve"> Abad </w:t>
            </w:r>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-6.0</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-32.2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15.4</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-1.8</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2030" w:type="dxa"/>
            <w:gridSpan w:val="3"/>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28</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Faraman</w:t>
            </w:r>
            <w:proofErr w:type="spellEnd"/>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-5.7</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-32.2</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13.2</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-3.7</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2694" w:type="dxa"/>
            <w:gridSpan w:val="4"/>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29</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Holailan</w:t>
            </w:r>
            <w:proofErr w:type="spellEnd"/>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-5.1</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-28.8</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11.8</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-4.4</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[10]</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2030" w:type="dxa"/>
            <w:gridSpan w:val="3"/>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30</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Ramavand</w:t>
            </w:r>
            <w:proofErr w:type="spellEnd"/>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-6.6</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-32.0</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20.8</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2.8</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31</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Seymareh</w:t>
            </w:r>
            <w:proofErr w:type="spellEnd"/>
            <w:r w:rsidRPr="00EA016F">
              <w:rPr>
                <w:rFonts w:ascii="Times New Roman" w:eastAsia="Times New Roman" w:hAnsi="Times New Roman" w:cs="Times New Roman"/>
                <w:color w:val="000000"/>
                <w:sz w:val="18"/>
                <w:szCs w:val="18"/>
              </w:rPr>
              <w:t xml:space="preserve"> </w:t>
            </w:r>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-5.9</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-29.4</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17.4</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0.3</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285"/>
        </w:trPr>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32</w:t>
            </w:r>
          </w:p>
        </w:tc>
        <w:tc>
          <w:tcPr>
            <w:tcW w:w="1085"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Tangsyab</w:t>
            </w:r>
            <w:proofErr w:type="spellEnd"/>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River</w:t>
            </w:r>
          </w:p>
        </w:tc>
        <w:tc>
          <w:tcPr>
            <w:tcW w:w="61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-5.1</w:t>
            </w:r>
          </w:p>
        </w:tc>
        <w:tc>
          <w:tcPr>
            <w:tcW w:w="56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-28.8</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12.4</w:t>
            </w:r>
          </w:p>
        </w:tc>
        <w:tc>
          <w:tcPr>
            <w:tcW w:w="70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-3.9</w:t>
            </w:r>
          </w:p>
        </w:tc>
        <w:tc>
          <w:tcPr>
            <w:tcW w:w="580"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[11]</w:t>
            </w:r>
          </w:p>
        </w:tc>
        <w:tc>
          <w:tcPr>
            <w:tcW w:w="261"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nil"/>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r w:rsidR="00A64963" w:rsidRPr="00EA016F" w:rsidTr="00A64963">
        <w:trPr>
          <w:trHeight w:val="300"/>
        </w:trPr>
        <w:tc>
          <w:tcPr>
            <w:tcW w:w="557"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33</w:t>
            </w:r>
          </w:p>
        </w:tc>
        <w:tc>
          <w:tcPr>
            <w:tcW w:w="1085"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proofErr w:type="spellStart"/>
            <w:r w:rsidRPr="00EA016F">
              <w:rPr>
                <w:rFonts w:ascii="Times New Roman" w:eastAsia="Times New Roman" w:hAnsi="Times New Roman" w:cs="Times New Roman"/>
                <w:color w:val="000000"/>
                <w:sz w:val="18"/>
                <w:szCs w:val="18"/>
              </w:rPr>
              <w:t>Zarivar</w:t>
            </w:r>
            <w:proofErr w:type="spellEnd"/>
          </w:p>
        </w:tc>
        <w:tc>
          <w:tcPr>
            <w:tcW w:w="586" w:type="dxa"/>
            <w:vMerge/>
            <w:tcBorders>
              <w:top w:val="nil"/>
              <w:left w:val="nil"/>
              <w:bottom w:val="single" w:sz="8" w:space="0" w:color="000000"/>
              <w:right w:val="nil"/>
            </w:tcBorders>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p>
        </w:tc>
        <w:tc>
          <w:tcPr>
            <w:tcW w:w="777"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Lake</w:t>
            </w:r>
          </w:p>
        </w:tc>
        <w:tc>
          <w:tcPr>
            <w:tcW w:w="611"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5.5</w:t>
            </w:r>
          </w:p>
        </w:tc>
        <w:tc>
          <w:tcPr>
            <w:tcW w:w="560"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16.9</w:t>
            </w:r>
          </w:p>
        </w:tc>
        <w:tc>
          <w:tcPr>
            <w:tcW w:w="686"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-27.1</w:t>
            </w:r>
          </w:p>
        </w:tc>
        <w:tc>
          <w:tcPr>
            <w:tcW w:w="700"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-30.5</w:t>
            </w:r>
          </w:p>
        </w:tc>
        <w:tc>
          <w:tcPr>
            <w:tcW w:w="580"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[12]</w:t>
            </w:r>
          </w:p>
        </w:tc>
        <w:tc>
          <w:tcPr>
            <w:tcW w:w="261"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57"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1086"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24"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77"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709"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64"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828"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686"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c>
          <w:tcPr>
            <w:tcW w:w="516" w:type="dxa"/>
            <w:tcBorders>
              <w:top w:val="nil"/>
              <w:left w:val="nil"/>
              <w:bottom w:val="single" w:sz="8" w:space="0" w:color="auto"/>
              <w:right w:val="nil"/>
            </w:tcBorders>
            <w:shd w:val="clear" w:color="000000" w:fill="FFFFFF"/>
            <w:noWrap/>
            <w:vAlign w:val="center"/>
            <w:hideMark/>
          </w:tcPr>
          <w:p w:rsidR="00A64963" w:rsidRPr="00EA016F" w:rsidRDefault="00A64963" w:rsidP="00EF489C">
            <w:pPr>
              <w:bidi w:val="0"/>
              <w:spacing w:after="0" w:line="240" w:lineRule="auto"/>
              <w:jc w:val="center"/>
              <w:rPr>
                <w:rFonts w:ascii="Times New Roman" w:eastAsia="Times New Roman" w:hAnsi="Times New Roman" w:cs="Times New Roman"/>
                <w:color w:val="000000"/>
                <w:sz w:val="18"/>
                <w:szCs w:val="18"/>
              </w:rPr>
            </w:pPr>
            <w:r w:rsidRPr="00EA016F">
              <w:rPr>
                <w:rFonts w:ascii="Times New Roman" w:eastAsia="Times New Roman" w:hAnsi="Times New Roman" w:cs="Times New Roman"/>
                <w:color w:val="000000"/>
                <w:sz w:val="18"/>
                <w:szCs w:val="18"/>
              </w:rPr>
              <w:t> </w:t>
            </w:r>
          </w:p>
        </w:tc>
      </w:tr>
    </w:tbl>
    <w:p w:rsidR="00EA016F" w:rsidRPr="00AC22B4" w:rsidRDefault="00AC22B4" w:rsidP="00A64963">
      <w:pPr>
        <w:bidi w:val="0"/>
        <w:rPr>
          <w:rFonts w:asciiTheme="majorBidi" w:hAnsiTheme="majorBidi" w:cstheme="majorBidi"/>
          <w:sz w:val="24"/>
          <w:szCs w:val="24"/>
          <w:vertAlign w:val="superscript"/>
        </w:rPr>
      </w:pPr>
      <w:r>
        <w:rPr>
          <w:rFonts w:asciiTheme="majorBidi" w:hAnsiTheme="majorBidi" w:cstheme="majorBidi"/>
          <w:vertAlign w:val="superscript"/>
        </w:rPr>
        <w:t xml:space="preserve">                             </w:t>
      </w:r>
      <w:r w:rsidRPr="00AC22B4">
        <w:rPr>
          <w:rFonts w:asciiTheme="majorBidi" w:hAnsiTheme="majorBidi" w:cstheme="majorBidi"/>
          <w:sz w:val="24"/>
          <w:szCs w:val="24"/>
          <w:vertAlign w:val="superscript"/>
        </w:rPr>
        <w:t xml:space="preserve">1-NE stands for North-eastern Iran               </w:t>
      </w:r>
      <w:r>
        <w:rPr>
          <w:rFonts w:asciiTheme="majorBidi" w:hAnsiTheme="majorBidi" w:cstheme="majorBidi"/>
          <w:sz w:val="24"/>
          <w:szCs w:val="24"/>
          <w:vertAlign w:val="superscript"/>
        </w:rPr>
        <w:t>2</w:t>
      </w:r>
      <w:r w:rsidRPr="00AC22B4">
        <w:rPr>
          <w:rFonts w:asciiTheme="majorBidi" w:hAnsiTheme="majorBidi" w:cstheme="majorBidi"/>
          <w:sz w:val="24"/>
          <w:szCs w:val="24"/>
          <w:vertAlign w:val="superscript"/>
        </w:rPr>
        <w:t>-NC stands for North-central Iran</w:t>
      </w:r>
      <w:r>
        <w:rPr>
          <w:rFonts w:asciiTheme="majorBidi" w:hAnsiTheme="majorBidi" w:cstheme="majorBidi"/>
          <w:sz w:val="24"/>
          <w:szCs w:val="24"/>
          <w:vertAlign w:val="superscript"/>
        </w:rPr>
        <w:t xml:space="preserve">       3</w:t>
      </w:r>
      <w:r w:rsidRPr="00AC22B4">
        <w:rPr>
          <w:rFonts w:asciiTheme="majorBidi" w:hAnsiTheme="majorBidi" w:cstheme="majorBidi"/>
          <w:sz w:val="24"/>
          <w:szCs w:val="24"/>
          <w:vertAlign w:val="superscript"/>
        </w:rPr>
        <w:t>-NW stands for North-western Iran</w:t>
      </w:r>
    </w:p>
    <w:p w:rsidR="00EA016F" w:rsidRDefault="00EA016F" w:rsidP="00EA016F">
      <w:pPr>
        <w:bidi w:val="0"/>
      </w:pPr>
    </w:p>
    <w:p w:rsidR="00EA016F" w:rsidRDefault="00EA016F" w:rsidP="00EA016F">
      <w:pPr>
        <w:bidi w:val="0"/>
        <w:rPr>
          <w:rFonts w:asciiTheme="majorBidi" w:hAnsiTheme="majorBidi" w:cstheme="majorBidi"/>
          <w:b/>
          <w:bCs/>
          <w:sz w:val="24"/>
          <w:szCs w:val="24"/>
        </w:rPr>
      </w:pPr>
      <w:r w:rsidRPr="00EA016F">
        <w:rPr>
          <w:rFonts w:asciiTheme="majorBidi" w:hAnsiTheme="majorBidi" w:cstheme="majorBidi"/>
          <w:b/>
          <w:bCs/>
          <w:sz w:val="24"/>
          <w:szCs w:val="24"/>
        </w:rPr>
        <w:t>References</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sz w:val="24"/>
          <w:szCs w:val="24"/>
          <w:rtl/>
        </w:rPr>
        <w:fldChar w:fldCharType="begin" w:fldLock="1"/>
      </w:r>
      <w:r w:rsidRPr="001A05CB">
        <w:rPr>
          <w:rFonts w:asciiTheme="majorBidi" w:hAnsiTheme="majorBidi" w:cstheme="majorBidi"/>
          <w:sz w:val="24"/>
          <w:szCs w:val="24"/>
        </w:rPr>
        <w:instrText>ADDIN Mendeley Bibliography CSL_BIBLIOGRAPHY</w:instrText>
      </w:r>
      <w:r w:rsidRPr="001A05CB">
        <w:rPr>
          <w:rFonts w:asciiTheme="majorBidi" w:hAnsiTheme="majorBidi" w:cstheme="majorBidi"/>
          <w:sz w:val="24"/>
          <w:szCs w:val="24"/>
          <w:rtl/>
        </w:rPr>
        <w:instrText xml:space="preserve"> </w:instrText>
      </w:r>
      <w:r w:rsidRPr="001A05CB">
        <w:rPr>
          <w:rFonts w:asciiTheme="majorBidi" w:hAnsiTheme="majorBidi" w:cstheme="majorBidi"/>
          <w:sz w:val="24"/>
          <w:szCs w:val="24"/>
          <w:rtl/>
        </w:rPr>
        <w:fldChar w:fldCharType="separate"/>
      </w:r>
      <w:r w:rsidRPr="001A05CB">
        <w:rPr>
          <w:rFonts w:asciiTheme="majorBidi" w:hAnsiTheme="majorBidi" w:cstheme="majorBidi"/>
          <w:noProof/>
          <w:sz w:val="24"/>
          <w:szCs w:val="24"/>
        </w:rPr>
        <w:t xml:space="preserve">[1] </w:t>
      </w:r>
      <w:r w:rsidRPr="001A05CB">
        <w:rPr>
          <w:rFonts w:asciiTheme="majorBidi" w:hAnsiTheme="majorBidi" w:cstheme="majorBidi"/>
          <w:noProof/>
          <w:sz w:val="24"/>
          <w:szCs w:val="24"/>
        </w:rPr>
        <w:tab/>
        <w:t>Niroomand MH, Pakzad M. studies of Bakhtegan karstic water resources. 1997.</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lastRenderedPageBreak/>
        <w:t xml:space="preserve">[2] </w:t>
      </w:r>
      <w:r w:rsidRPr="001A05CB">
        <w:rPr>
          <w:rFonts w:asciiTheme="majorBidi" w:hAnsiTheme="majorBidi" w:cstheme="majorBidi"/>
          <w:noProof/>
          <w:sz w:val="24"/>
          <w:szCs w:val="24"/>
        </w:rPr>
        <w:tab/>
        <w:t>Zarei H, Damough NA. Determination the recharge zones of Karstic springs downstram of Karoun3 dam reservoir. fifth Eng Geol Enviromental Geol meeings. Tehran: Engineering Geology Assossiation; 2007.</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[3] </w:t>
      </w:r>
      <w:r w:rsidRPr="001A05CB">
        <w:rPr>
          <w:rFonts w:asciiTheme="majorBidi" w:hAnsiTheme="majorBidi" w:cstheme="majorBidi"/>
          <w:noProof/>
          <w:sz w:val="24"/>
          <w:szCs w:val="24"/>
        </w:rPr>
        <w:tab/>
        <w:t>Rezaei M, Karimi H, Jokar B. Studies of Kazeroon-Persian gulf karstic basins. Iran Karst hard rock Natl Res Cent. 1998;</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[4] </w:t>
      </w:r>
      <w:r w:rsidRPr="001A05CB">
        <w:rPr>
          <w:rFonts w:asciiTheme="majorBidi" w:hAnsiTheme="majorBidi" w:cstheme="majorBidi"/>
          <w:noProof/>
          <w:sz w:val="24"/>
          <w:szCs w:val="24"/>
        </w:rPr>
        <w:tab/>
        <w:t xml:space="preserve">Kalantari N, Mohamadi Behzad H. Investigation source of recharge to Sabzab and Bibi Talkhon karstic springes by application of </w:t>
      </w:r>
      <w:r w:rsidRPr="00A669B2">
        <w:rPr>
          <w:rFonts w:asciiTheme="majorBidi" w:hAnsiTheme="majorBidi" w:cstheme="majorBidi"/>
          <w:noProof/>
          <w:sz w:val="24"/>
          <w:szCs w:val="24"/>
          <w:vertAlign w:val="superscript"/>
        </w:rPr>
        <w:t>18</w:t>
      </w:r>
      <w:r w:rsidRPr="001A05CB">
        <w:rPr>
          <w:rFonts w:asciiTheme="majorBidi" w:hAnsiTheme="majorBidi" w:cstheme="majorBidi"/>
          <w:noProof/>
          <w:sz w:val="24"/>
          <w:szCs w:val="24"/>
        </w:rPr>
        <w:t xml:space="preserve">O and </w:t>
      </w:r>
      <w:r w:rsidRPr="00A669B2">
        <w:rPr>
          <w:rFonts w:asciiTheme="majorBidi" w:hAnsiTheme="majorBidi" w:cstheme="majorBidi"/>
          <w:noProof/>
          <w:sz w:val="24"/>
          <w:szCs w:val="24"/>
          <w:vertAlign w:val="superscript"/>
        </w:rPr>
        <w:t>2</w:t>
      </w:r>
      <w:r w:rsidRPr="001A05CB">
        <w:rPr>
          <w:rFonts w:asciiTheme="majorBidi" w:hAnsiTheme="majorBidi" w:cstheme="majorBidi"/>
          <w:noProof/>
          <w:sz w:val="24"/>
          <w:szCs w:val="24"/>
        </w:rPr>
        <w:t>H stable isotopes. Proc 1st Natl Conf Appl Stable Isot. Mashhad; 2013.</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[5] </w:t>
      </w:r>
      <w:r w:rsidRPr="001A05CB">
        <w:rPr>
          <w:rFonts w:asciiTheme="majorBidi" w:hAnsiTheme="majorBidi" w:cstheme="majorBidi"/>
          <w:noProof/>
          <w:sz w:val="24"/>
          <w:szCs w:val="24"/>
        </w:rPr>
        <w:tab/>
        <w:t>Zarei H, Akhondali AM, Mohammadzadeh H, et al. Runoff generation processes during the wet-up phase in a semi-arid basin in Iran. Hydrol Earth Syst Sci Discuss [Internet]. 2014;11:3787–3810. Available from: https://www.hydrol-earth-syst-sci-discuss.net/11/3787/2014/.</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[6] </w:t>
      </w:r>
      <w:r w:rsidRPr="001A05CB">
        <w:rPr>
          <w:rFonts w:asciiTheme="majorBidi" w:hAnsiTheme="majorBidi" w:cstheme="majorBidi"/>
          <w:noProof/>
          <w:sz w:val="24"/>
          <w:szCs w:val="24"/>
        </w:rPr>
        <w:tab/>
        <w:t>Mirnejad H, Sisakht V, Mohammadzadeh H, et al. Major, minor element chemistry and oxygen and hydrogen isotopic compositions of Marun oil-field brines, SW Iran: Source history and economic potential. Geol J. 2011;46:1–9.</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[7] </w:t>
      </w:r>
      <w:r w:rsidRPr="001A05CB">
        <w:rPr>
          <w:rFonts w:asciiTheme="majorBidi" w:hAnsiTheme="majorBidi" w:cstheme="majorBidi"/>
          <w:noProof/>
          <w:sz w:val="24"/>
          <w:szCs w:val="24"/>
        </w:rPr>
        <w:tab/>
        <w:t>Pakzad M. Traceing studies in Mirzay Shirazi dam site. 1993.</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[8] </w:t>
      </w:r>
      <w:r w:rsidRPr="001A05CB">
        <w:rPr>
          <w:rFonts w:asciiTheme="majorBidi" w:hAnsiTheme="majorBidi" w:cstheme="majorBidi"/>
          <w:noProof/>
          <w:sz w:val="24"/>
          <w:szCs w:val="24"/>
        </w:rPr>
        <w:tab/>
        <w:t>Mahmoudi savandi S. Tracers studies to determine vulnerable area in Dashtak anticline Kazeroun. Shiraz, Iran; 2008.</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[9] </w:t>
      </w:r>
      <w:r w:rsidRPr="001A05CB">
        <w:rPr>
          <w:rFonts w:asciiTheme="majorBidi" w:hAnsiTheme="majorBidi" w:cstheme="majorBidi"/>
          <w:noProof/>
          <w:sz w:val="24"/>
          <w:szCs w:val="24"/>
        </w:rPr>
        <w:tab/>
        <w:t>Khalaj Amirhosseini Y. Application of isotopes and dye tracing methods in hydrology (case study :Havasan dam construction). Proc an Int Symp Isot Hydrol Mar Ecosyst Clim Chang Stud. Monaco; 2011.</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[10] </w:t>
      </w:r>
      <w:r w:rsidRPr="001A05CB">
        <w:rPr>
          <w:rFonts w:asciiTheme="majorBidi" w:hAnsiTheme="majorBidi" w:cstheme="majorBidi"/>
          <w:noProof/>
          <w:sz w:val="24"/>
          <w:szCs w:val="24"/>
        </w:rPr>
        <w:tab/>
        <w:t>Osati K, Koeniger P, Salajegheh A, et al. Spatiotemporal patterns of stable isotopes and hydrochemistry in springs and river flow of the upper Karkheh River Basin. Iran. Isotopes Environ Health Stud. 2014;50:169–183.</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[11] </w:t>
      </w:r>
      <w:r w:rsidRPr="001A05CB">
        <w:rPr>
          <w:rFonts w:asciiTheme="majorBidi" w:hAnsiTheme="majorBidi" w:cstheme="majorBidi"/>
          <w:noProof/>
          <w:sz w:val="24"/>
          <w:szCs w:val="24"/>
        </w:rPr>
        <w:tab/>
        <w:t>Bagheri Sheshdeh R. Leakage Potential in Seymareh dam site. Shiraz university; 2007.</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[12] </w:t>
      </w:r>
      <w:r w:rsidRPr="001A05CB">
        <w:rPr>
          <w:rFonts w:asciiTheme="majorBidi" w:hAnsiTheme="majorBidi" w:cstheme="majorBidi"/>
          <w:noProof/>
          <w:sz w:val="24"/>
          <w:szCs w:val="24"/>
        </w:rPr>
        <w:tab/>
        <w:t>Mohammadzadeh H, Ebrahimpour S. Application of stable isotopes and hydrochemistry to investigate sources and quality exchange Zarivar catchment area. J Water Soil. 2012;26:1018–1031.</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[13] </w:t>
      </w:r>
      <w:r w:rsidRPr="001A05CB">
        <w:rPr>
          <w:rFonts w:asciiTheme="majorBidi" w:hAnsiTheme="majorBidi" w:cstheme="majorBidi"/>
          <w:noProof/>
          <w:sz w:val="24"/>
          <w:szCs w:val="24"/>
        </w:rPr>
        <w:tab/>
        <w:t>Mohammadzadeh H, Heydarizad M. A conceptual model for water resources circulation patterns in Andarokh-Kardeh region (NE, Iran). Geochemistry [Internet]. 2020;125593. Available from: http://www.sciencedirect.com/science/article/pii/S1611586419300502.</w:t>
      </w:r>
    </w:p>
    <w:p w:rsidR="00EA016F" w:rsidRPr="001A05CB" w:rsidRDefault="00EA016F" w:rsidP="00A669B2">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[14] </w:t>
      </w:r>
      <w:r w:rsidRPr="001A05CB">
        <w:rPr>
          <w:rFonts w:asciiTheme="majorBidi" w:hAnsiTheme="majorBidi" w:cstheme="majorBidi"/>
          <w:noProof/>
          <w:sz w:val="24"/>
          <w:szCs w:val="24"/>
        </w:rPr>
        <w:tab/>
        <w:t xml:space="preserve">Mohammadzadeh H. ( </w:t>
      </w:r>
      <w:r w:rsidRPr="00A669B2">
        <w:rPr>
          <w:rFonts w:asciiTheme="majorBidi" w:hAnsiTheme="majorBidi" w:cstheme="majorBidi"/>
          <w:noProof/>
          <w:sz w:val="24"/>
          <w:szCs w:val="24"/>
          <w:vertAlign w:val="superscript"/>
        </w:rPr>
        <w:t>18</w:t>
      </w:r>
      <w:r w:rsidRPr="001A05CB">
        <w:rPr>
          <w:rFonts w:asciiTheme="majorBidi" w:hAnsiTheme="majorBidi" w:cstheme="majorBidi"/>
          <w:noProof/>
          <w:sz w:val="24"/>
          <w:szCs w:val="24"/>
        </w:rPr>
        <w:t>O</w:t>
      </w:r>
      <w:r w:rsidR="00A669B2">
        <w:rPr>
          <w:rFonts w:asciiTheme="majorBidi" w:hAnsiTheme="majorBidi" w:cstheme="majorBidi"/>
          <w:noProof/>
          <w:sz w:val="24"/>
          <w:szCs w:val="24"/>
        </w:rPr>
        <w:t xml:space="preserve">, </w:t>
      </w:r>
      <w:r w:rsidRPr="00A669B2">
        <w:rPr>
          <w:rFonts w:asciiTheme="majorBidi" w:hAnsiTheme="majorBidi" w:cstheme="majorBidi"/>
          <w:noProof/>
          <w:sz w:val="24"/>
          <w:szCs w:val="24"/>
          <w:vertAlign w:val="superscript"/>
        </w:rPr>
        <w:t>2</w:t>
      </w:r>
      <w:r w:rsidRPr="001A05CB">
        <w:rPr>
          <w:rFonts w:asciiTheme="majorBidi" w:hAnsiTheme="majorBidi" w:cstheme="majorBidi"/>
          <w:noProof/>
          <w:sz w:val="24"/>
          <w:szCs w:val="24"/>
        </w:rPr>
        <w:t xml:space="preserve">H </w:t>
      </w:r>
      <w:r w:rsidR="00A669B2">
        <w:rPr>
          <w:rFonts w:asciiTheme="majorBidi" w:hAnsiTheme="majorBidi" w:cstheme="majorBidi"/>
          <w:noProof/>
          <w:sz w:val="24"/>
          <w:szCs w:val="24"/>
        </w:rPr>
        <w:t>and</w:t>
      </w:r>
      <w:r w:rsidRPr="001A05CB">
        <w:rPr>
          <w:rFonts w:asciiTheme="majorBidi" w:hAnsiTheme="majorBidi" w:cstheme="majorBidi"/>
          <w:noProof/>
          <w:sz w:val="24"/>
          <w:szCs w:val="24"/>
        </w:rPr>
        <w:t xml:space="preserve"> </w:t>
      </w:r>
      <w:r w:rsidRPr="00A669B2">
        <w:rPr>
          <w:rFonts w:asciiTheme="majorBidi" w:hAnsiTheme="majorBidi" w:cstheme="majorBidi"/>
          <w:noProof/>
          <w:sz w:val="24"/>
          <w:szCs w:val="24"/>
          <w:vertAlign w:val="superscript"/>
        </w:rPr>
        <w:t>13</w:t>
      </w:r>
      <w:r w:rsidRPr="001A05CB">
        <w:rPr>
          <w:rFonts w:asciiTheme="majorBidi" w:hAnsiTheme="majorBidi" w:cstheme="majorBidi"/>
          <w:noProof/>
          <w:sz w:val="24"/>
          <w:szCs w:val="24"/>
        </w:rPr>
        <w:t xml:space="preserve">C </w:t>
      </w:r>
      <w:r w:rsidR="00A669B2">
        <w:rPr>
          <w:rFonts w:asciiTheme="majorBidi" w:hAnsiTheme="majorBidi" w:cstheme="majorBidi"/>
          <w:noProof/>
          <w:sz w:val="24"/>
          <w:szCs w:val="24"/>
        </w:rPr>
        <w:t>isotopic</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compositions</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 xml:space="preserve">of </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water</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in</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Torogh</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and</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Kardeh</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dams</w:t>
      </w:r>
      <w:r w:rsidRPr="001A05CB">
        <w:rPr>
          <w:rFonts w:asciiTheme="majorBidi" w:hAnsiTheme="majorBidi" w:cstheme="majorBidi"/>
          <w:noProof/>
          <w:sz w:val="24"/>
          <w:szCs w:val="24"/>
        </w:rPr>
        <w:t xml:space="preserve">, </w:t>
      </w:r>
      <w:r w:rsidR="00A669B2">
        <w:rPr>
          <w:rFonts w:asciiTheme="majorBidi" w:hAnsiTheme="majorBidi" w:cstheme="majorBidi"/>
          <w:noProof/>
          <w:sz w:val="24"/>
          <w:szCs w:val="24"/>
        </w:rPr>
        <w:t>Mashhad</w:t>
      </w:r>
      <w:r w:rsidRPr="001A05CB">
        <w:rPr>
          <w:rFonts w:asciiTheme="majorBidi" w:hAnsiTheme="majorBidi" w:cstheme="majorBidi"/>
          <w:noProof/>
          <w:sz w:val="24"/>
          <w:szCs w:val="24"/>
        </w:rPr>
        <w:t xml:space="preserve"> ). Jt Eur Stable Isot User Meet - J E S I U M 2008. 2008.</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[15] </w:t>
      </w:r>
      <w:r w:rsidRPr="001A05CB">
        <w:rPr>
          <w:rFonts w:asciiTheme="majorBidi" w:hAnsiTheme="majorBidi" w:cstheme="majorBidi"/>
          <w:noProof/>
          <w:sz w:val="24"/>
          <w:szCs w:val="24"/>
        </w:rPr>
        <w:tab/>
        <w:t>Pakzad M. Isotopic studies of karstic resources in Kashaf rood basin in Khorasan province. 2000.</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lastRenderedPageBreak/>
        <w:t xml:space="preserve">[16] </w:t>
      </w:r>
      <w:r w:rsidRPr="001A05CB">
        <w:rPr>
          <w:rFonts w:asciiTheme="majorBidi" w:hAnsiTheme="majorBidi" w:cstheme="majorBidi"/>
          <w:noProof/>
          <w:sz w:val="24"/>
          <w:szCs w:val="24"/>
        </w:rPr>
        <w:tab/>
        <w:t>Mohammadzadeh H, Robin M, Khanehbad M. An Investigating of the origin and the groundwater discharge to Bazangan Lake, Eastern Kopet-Dagh Basin-Iran, using geochemistry and stable isotopes approaches ( An Investigating of the origin and the groundwater discharge to Bazangan Lake, Eastern Kopet-. Goldschmidt 2008. 2008. p. A641.</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[17] </w:t>
      </w:r>
      <w:r w:rsidRPr="001A05CB">
        <w:rPr>
          <w:rFonts w:asciiTheme="majorBidi" w:hAnsiTheme="majorBidi" w:cstheme="majorBidi"/>
          <w:noProof/>
          <w:sz w:val="24"/>
          <w:szCs w:val="24"/>
        </w:rPr>
        <w:tab/>
        <w:t>Heydarizad M. Meteoric water lines of Iran for various precipitation sources. Shiraz University, Iran; 2018.</w:t>
      </w:r>
    </w:p>
    <w:p w:rsidR="00EA016F" w:rsidRPr="001A05CB" w:rsidRDefault="00EA016F" w:rsidP="00EA016F">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[18] </w:t>
      </w:r>
      <w:r w:rsidRPr="001A05CB">
        <w:rPr>
          <w:rFonts w:asciiTheme="majorBidi" w:hAnsiTheme="majorBidi" w:cstheme="majorBidi"/>
          <w:noProof/>
          <w:sz w:val="24"/>
          <w:szCs w:val="24"/>
        </w:rPr>
        <w:tab/>
        <w:t>Office L dam consulting. Traceing studies in Lar dam site. Tehran, Iran; 1983.</w:t>
      </w:r>
    </w:p>
    <w:p w:rsidR="00EA016F" w:rsidRPr="001A05CB" w:rsidRDefault="00EA016F" w:rsidP="00DA3348">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 xml:space="preserve">[19] </w:t>
      </w:r>
      <w:r w:rsidRPr="001A05CB">
        <w:rPr>
          <w:rFonts w:asciiTheme="majorBidi" w:hAnsiTheme="majorBidi" w:cstheme="majorBidi"/>
          <w:noProof/>
          <w:sz w:val="24"/>
          <w:szCs w:val="24"/>
        </w:rPr>
        <w:tab/>
        <w:t>Porkhial S, Ghomshei MM, Yousefi P. Stable Isotope and Elemental Chemistry of Mt. Sabalan Geothermal Field, Ardebil Province of North West Iran. Proc World Geotherm Congr. Bali, Indonesia; 2010.</w:t>
      </w:r>
    </w:p>
    <w:p w:rsidR="00EA016F" w:rsidRPr="001A05CB" w:rsidRDefault="00EA016F" w:rsidP="00DA3348">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[2</w:t>
      </w:r>
      <w:r w:rsidR="00DA3348">
        <w:rPr>
          <w:rFonts w:asciiTheme="majorBidi" w:hAnsiTheme="majorBidi" w:cstheme="majorBidi"/>
          <w:noProof/>
          <w:sz w:val="24"/>
          <w:szCs w:val="24"/>
        </w:rPr>
        <w:t>0</w:t>
      </w:r>
      <w:r w:rsidRPr="001A05CB">
        <w:rPr>
          <w:rFonts w:asciiTheme="majorBidi" w:hAnsiTheme="majorBidi" w:cstheme="majorBidi"/>
          <w:noProof/>
          <w:sz w:val="24"/>
          <w:szCs w:val="24"/>
        </w:rPr>
        <w:t xml:space="preserve">] </w:t>
      </w:r>
      <w:r w:rsidRPr="001A05CB">
        <w:rPr>
          <w:rFonts w:asciiTheme="majorBidi" w:hAnsiTheme="majorBidi" w:cstheme="majorBidi"/>
          <w:noProof/>
          <w:sz w:val="24"/>
          <w:szCs w:val="24"/>
        </w:rPr>
        <w:tab/>
        <w:t>Khademi H, Mermut AR, Krouse HR. Isotopic composition of gypsum hydration water in selected landforms from central Iran. Chem Geol. 1997;138:245–255.</w:t>
      </w:r>
    </w:p>
    <w:p w:rsidR="00EA016F" w:rsidRDefault="00EA016F" w:rsidP="00DA3348">
      <w:pPr>
        <w:widowControl w:val="0"/>
        <w:autoSpaceDE w:val="0"/>
        <w:autoSpaceDN w:val="0"/>
        <w:bidi w:val="0"/>
        <w:adjustRightInd w:val="0"/>
        <w:spacing w:line="240" w:lineRule="auto"/>
        <w:ind w:left="640" w:hanging="640"/>
        <w:rPr>
          <w:rFonts w:asciiTheme="majorBidi" w:hAnsiTheme="majorBidi" w:cstheme="majorBidi"/>
          <w:noProof/>
          <w:sz w:val="24"/>
          <w:szCs w:val="24"/>
        </w:rPr>
      </w:pPr>
      <w:r w:rsidRPr="001A05CB">
        <w:rPr>
          <w:rFonts w:asciiTheme="majorBidi" w:hAnsiTheme="majorBidi" w:cstheme="majorBidi"/>
          <w:noProof/>
          <w:sz w:val="24"/>
          <w:szCs w:val="24"/>
        </w:rPr>
        <w:t>[2</w:t>
      </w:r>
      <w:r w:rsidR="00DA3348">
        <w:rPr>
          <w:rFonts w:asciiTheme="majorBidi" w:hAnsiTheme="majorBidi" w:cstheme="majorBidi"/>
          <w:noProof/>
          <w:sz w:val="24"/>
          <w:szCs w:val="24"/>
        </w:rPr>
        <w:t>1</w:t>
      </w:r>
      <w:r w:rsidRPr="001A05CB">
        <w:rPr>
          <w:rFonts w:asciiTheme="majorBidi" w:hAnsiTheme="majorBidi" w:cstheme="majorBidi"/>
          <w:noProof/>
          <w:sz w:val="24"/>
          <w:szCs w:val="24"/>
        </w:rPr>
        <w:t xml:space="preserve">] </w:t>
      </w:r>
      <w:r w:rsidRPr="001A05CB">
        <w:rPr>
          <w:rFonts w:asciiTheme="majorBidi" w:hAnsiTheme="majorBidi" w:cstheme="majorBidi"/>
          <w:noProof/>
          <w:sz w:val="24"/>
          <w:szCs w:val="24"/>
        </w:rPr>
        <w:tab/>
        <w:t>Boumeri M. Studying the energy sources of Taftan Volcano using stable isotopes of water. Geogr Dev Iran J. 2005;5:25–40.</w:t>
      </w:r>
    </w:p>
    <w:p w:rsidR="00A669B2" w:rsidRDefault="00A669B2" w:rsidP="00A669B2">
      <w:pPr>
        <w:widowControl w:val="0"/>
        <w:autoSpaceDE w:val="0"/>
        <w:autoSpaceDN w:val="0"/>
        <w:bidi w:val="0"/>
        <w:adjustRightInd w:val="0"/>
        <w:spacing w:line="240" w:lineRule="auto"/>
        <w:ind w:left="640" w:hanging="640"/>
        <w:rPr>
          <w:rFonts w:asciiTheme="majorBidi" w:hAnsiTheme="majorBidi" w:cstheme="majorBidi"/>
          <w:noProof/>
          <w:sz w:val="24"/>
          <w:szCs w:val="24"/>
        </w:rPr>
      </w:pPr>
    </w:p>
    <w:p w:rsidR="00A669B2" w:rsidRPr="001A05CB" w:rsidRDefault="00A669B2" w:rsidP="00A669B2">
      <w:pPr>
        <w:widowControl w:val="0"/>
        <w:autoSpaceDE w:val="0"/>
        <w:autoSpaceDN w:val="0"/>
        <w:bidi w:val="0"/>
        <w:adjustRightInd w:val="0"/>
        <w:spacing w:line="240" w:lineRule="auto"/>
        <w:ind w:left="640" w:hanging="640"/>
        <w:rPr>
          <w:rFonts w:asciiTheme="majorBidi" w:hAnsiTheme="majorBidi" w:cstheme="majorBidi"/>
          <w:noProof/>
          <w:sz w:val="24"/>
          <w:szCs w:val="24"/>
        </w:rPr>
      </w:pPr>
    </w:p>
    <w:p w:rsidR="00EA016F" w:rsidRPr="001A05CB" w:rsidRDefault="00EA016F" w:rsidP="00EA016F">
      <w:pPr>
        <w:spacing w:line="240" w:lineRule="auto"/>
        <w:jc w:val="right"/>
        <w:rPr>
          <w:rFonts w:asciiTheme="majorBidi" w:hAnsiTheme="majorBidi" w:cstheme="majorBidi"/>
          <w:sz w:val="24"/>
          <w:szCs w:val="24"/>
        </w:rPr>
      </w:pPr>
      <w:r w:rsidRPr="001A05CB">
        <w:rPr>
          <w:rFonts w:asciiTheme="majorBidi" w:hAnsiTheme="majorBidi" w:cstheme="majorBidi"/>
          <w:sz w:val="24"/>
          <w:szCs w:val="24"/>
          <w:rtl/>
        </w:rPr>
        <w:fldChar w:fldCharType="end"/>
      </w:r>
    </w:p>
    <w:p w:rsidR="00EA016F" w:rsidRPr="001A05CB" w:rsidRDefault="00EA016F" w:rsidP="00EA016F">
      <w:pPr>
        <w:spacing w:line="240" w:lineRule="auto"/>
        <w:jc w:val="right"/>
        <w:rPr>
          <w:rFonts w:asciiTheme="majorBidi" w:hAnsiTheme="majorBidi" w:cstheme="majorBidi"/>
          <w:sz w:val="24"/>
          <w:szCs w:val="24"/>
        </w:rPr>
      </w:pPr>
    </w:p>
    <w:p w:rsidR="00EA016F" w:rsidRPr="001A05CB" w:rsidRDefault="00EA016F" w:rsidP="00EA016F">
      <w:pPr>
        <w:spacing w:line="240" w:lineRule="auto"/>
        <w:jc w:val="right"/>
        <w:rPr>
          <w:rFonts w:asciiTheme="majorBidi" w:hAnsiTheme="majorBidi" w:cstheme="majorBidi"/>
          <w:sz w:val="24"/>
          <w:szCs w:val="24"/>
        </w:rPr>
      </w:pPr>
    </w:p>
    <w:p w:rsidR="00EA016F" w:rsidRPr="00EA016F" w:rsidRDefault="00EA016F" w:rsidP="00EA016F">
      <w:pPr>
        <w:bidi w:val="0"/>
        <w:rPr>
          <w:rFonts w:asciiTheme="majorBidi" w:hAnsiTheme="majorBidi" w:cstheme="majorBidi"/>
          <w:b/>
          <w:bCs/>
          <w:sz w:val="24"/>
          <w:szCs w:val="24"/>
        </w:rPr>
      </w:pPr>
      <w:r w:rsidRPr="00EA016F">
        <w:rPr>
          <w:rFonts w:asciiTheme="majorBidi" w:hAnsiTheme="majorBidi" w:cstheme="majorBidi"/>
          <w:b/>
          <w:bCs/>
          <w:sz w:val="24"/>
          <w:szCs w:val="24"/>
        </w:rPr>
        <w:t xml:space="preserve"> </w:t>
      </w:r>
    </w:p>
    <w:sectPr w:rsidR="00EA016F" w:rsidRPr="00EA016F" w:rsidSect="00EA016F">
      <w:pgSz w:w="16838" w:h="11906" w:orient="landscape"/>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16F"/>
    <w:rsid w:val="00034506"/>
    <w:rsid w:val="00071514"/>
    <w:rsid w:val="004138CA"/>
    <w:rsid w:val="004461BD"/>
    <w:rsid w:val="00481755"/>
    <w:rsid w:val="00601A07"/>
    <w:rsid w:val="007F2B9D"/>
    <w:rsid w:val="009527E5"/>
    <w:rsid w:val="009818BE"/>
    <w:rsid w:val="0099736B"/>
    <w:rsid w:val="009C62A9"/>
    <w:rsid w:val="00A64963"/>
    <w:rsid w:val="00A669B2"/>
    <w:rsid w:val="00AC22B4"/>
    <w:rsid w:val="00DA3348"/>
    <w:rsid w:val="00EA016F"/>
    <w:rsid w:val="00F835C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DD8DF-A37C-4696-AE7D-A2B893EB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next w:val="Normal"/>
    <w:qFormat/>
    <w:rsid w:val="00A64963"/>
    <w:pPr>
      <w:bidi w:val="0"/>
      <w:spacing w:before="240" w:after="0" w:line="360" w:lineRule="auto"/>
    </w:pPr>
    <w:rPr>
      <w:rFonts w:ascii="Times New Roman" w:eastAsia="Times New Roman" w:hAnsi="Times New Roman" w:cs="Times New Roman"/>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17007">
      <w:bodyDiv w:val="1"/>
      <w:marLeft w:val="0"/>
      <w:marRight w:val="0"/>
      <w:marTop w:val="0"/>
      <w:marBottom w:val="0"/>
      <w:divBdr>
        <w:top w:val="none" w:sz="0" w:space="0" w:color="auto"/>
        <w:left w:val="none" w:sz="0" w:space="0" w:color="auto"/>
        <w:bottom w:val="none" w:sz="0" w:space="0" w:color="auto"/>
        <w:right w:val="none" w:sz="0" w:space="0" w:color="auto"/>
      </w:divBdr>
    </w:div>
    <w:div w:id="189276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75E15-DCEA-40EB-95C6-1CE5BD0B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RTS</dc:creator>
  <cp:keywords/>
  <dc:description/>
  <cp:lastModifiedBy>RTS</cp:lastModifiedBy>
  <cp:revision>13</cp:revision>
  <dcterms:created xsi:type="dcterms:W3CDTF">2021-03-29T20:45:00Z</dcterms:created>
  <dcterms:modified xsi:type="dcterms:W3CDTF">2021-06-03T15:12:00Z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29accf6c-4b29-3162-80b0-82aff6f439c7</vt:lpwstr>
  </property>
  <property fmtid="{D5CDD505-2E9C-101B-9397-08002B2CF9AE}" pid="4" name="Mendeley Citation Style_1">
    <vt:lpwstr>http://www.zotero.org/styles/hydrological-sciences-journal</vt:lpwstr>
  </property>
</Properties>
</file>