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AD5021B" w14:textId="68B53647" w:rsidR="00637C27" w:rsidRDefault="00637C27" w:rsidP="00F57908">
      <w:pPr>
        <w:spacing w:line="480" w:lineRule="auto"/>
      </w:pPr>
    </w:p>
    <w:p w14:paraId="76CE28B5" w14:textId="6E518F9F" w:rsidR="007364CA" w:rsidRDefault="00DD3AD2" w:rsidP="00F57908">
      <w:pPr>
        <w:pStyle w:val="Heading1"/>
        <w:spacing w:line="480" w:lineRule="auto"/>
      </w:pPr>
      <w:bookmarkStart w:id="0" w:name="_GoBack"/>
      <w:r>
        <w:t>Appendix</w:t>
      </w:r>
    </w:p>
    <w:bookmarkEnd w:id="0"/>
    <w:p w14:paraId="49FFA7DE" w14:textId="15FE11D8" w:rsidR="00F24568" w:rsidRDefault="00F24568" w:rsidP="00F57908">
      <w:pPr>
        <w:pStyle w:val="Heading2"/>
        <w:spacing w:line="480" w:lineRule="auto"/>
      </w:pPr>
      <w:r>
        <w:t>Calculating estimates of incidence of road traffic injuries and road traffic injury deaths from survey data</w:t>
      </w:r>
    </w:p>
    <w:p w14:paraId="4EFF4DEE" w14:textId="7360C7F0" w:rsidR="00F24568" w:rsidRDefault="00F24568" w:rsidP="00F57908">
      <w:pPr>
        <w:pStyle w:val="Heading3"/>
        <w:spacing w:line="480" w:lineRule="auto"/>
      </w:pPr>
      <w:r>
        <w:t xml:space="preserve">Incidence of road traffic injuries, </w:t>
      </w:r>
      <w:r w:rsidR="006E5E83">
        <w:t>W</w:t>
      </w:r>
      <w:r>
        <w:t xml:space="preserve">orld </w:t>
      </w:r>
      <w:r w:rsidR="006E5E83">
        <w:t>H</w:t>
      </w:r>
      <w:r>
        <w:t xml:space="preserve">ealth </w:t>
      </w:r>
      <w:r w:rsidR="006E5E83">
        <w:t>S</w:t>
      </w:r>
      <w:r>
        <w:t>urvey</w:t>
      </w:r>
    </w:p>
    <w:p w14:paraId="3B71C90E" w14:textId="4C60814E" w:rsidR="00C57843" w:rsidRDefault="00F24568" w:rsidP="00F57908">
      <w:pPr>
        <w:spacing w:line="480" w:lineRule="auto"/>
      </w:pPr>
      <w:r>
        <w:t xml:space="preserve">The sample size of this study was 5297, of which 3.5% were injured in a road accident, </w:t>
      </w:r>
      <w:r w:rsidR="00C57843">
        <w:t>with rounding this indicates 185 people were injured over the course of the study</w:t>
      </w:r>
      <w:r w:rsidR="006E5E83">
        <w:t xml:space="preserve"> </w:t>
      </w:r>
      <w:r w:rsidR="006E5E83">
        <w:fldChar w:fldCharType="begin" w:fldLock="1"/>
      </w:r>
      <w:r w:rsidR="00A91689">
        <w:instrText>ADDIN CSL_CITATION {"citationItems":[{"id":"ITEM-1","itemData":{"author":[{"dropping-particle":"","family":"WHO","given":"","non-dropping-particle":"","parse-names":false,"suffix":""}],"id":"ITEM-1","issued":{"date-parts":[["2005"]]},"publisher":"World Health Organization","publisher-place":"Geneva, Switzerland","title":"Malawi World Health Survey 2003","type":"article"},"uris":["http://www.mendeley.com/documents/?uuid=b97e6126-e8b2-445c-ac42-9720653e51a8"]}],"mendeley":{"formattedCitation":"(WHO 2005)","plainTextFormattedCitation":"(WHO 2005)","previouslyFormattedCitation":"(WHO 2005)"},"properties":{"noteIndex":0},"schema":"https://github.com/citation-style-language/schema/raw/master/csl-citation.json"}</w:instrText>
      </w:r>
      <w:r w:rsidR="006E5E83">
        <w:fldChar w:fldCharType="separate"/>
      </w:r>
      <w:r w:rsidR="007C6D58" w:rsidRPr="007C6D58">
        <w:rPr>
          <w:noProof/>
        </w:rPr>
        <w:t>(WHO 2005)</w:t>
      </w:r>
      <w:r w:rsidR="006E5E83">
        <w:fldChar w:fldCharType="end"/>
      </w:r>
      <w:r w:rsidR="00C57843">
        <w:t>. The study questioned participants about injuries in the last year, if we assume that on average each injury occurred 6 month</w:t>
      </w:r>
      <w:r w:rsidR="006E5E83">
        <w:t>s</w:t>
      </w:r>
      <w:r w:rsidR="00C57843">
        <w:t xml:space="preserve"> prior to question, we establish our estimate as:</w:t>
      </w:r>
    </w:p>
    <w:p w14:paraId="37479B99" w14:textId="02676CBC" w:rsidR="006E5E83" w:rsidRPr="006E5E83" w:rsidRDefault="00C57843" w:rsidP="00F57908">
      <w:pPr>
        <w:spacing w:line="480" w:lineRule="auto"/>
        <w:rPr>
          <w:rFonts w:eastAsiaTheme="minorEastAsia"/>
          <w:iCs/>
        </w:rPr>
      </w:pPr>
      <m:oMathPara>
        <m:oMath>
          <m:r>
            <m:rPr>
              <m:sty m:val="p"/>
            </m:rPr>
            <w:rPr>
              <w:rFonts w:ascii="Cambria Math" w:hAnsi="Cambria Math"/>
            </w:rPr>
            <m:t xml:space="preserve">Incidence of RTI person year= </m:t>
          </m:r>
          <m:f>
            <m:fPr>
              <m:ctrlPr>
                <w:rPr>
                  <w:rFonts w:ascii="Cambria Math" w:hAnsi="Cambria Math"/>
                  <w:iCs/>
                </w:rPr>
              </m:ctrlPr>
            </m:fPr>
            <m:num>
              <m:r>
                <w:rPr>
                  <w:rFonts w:ascii="Cambria Math" w:hAnsi="Cambria Math"/>
                </w:rPr>
                <m:t>185</m:t>
              </m:r>
            </m:num>
            <m:den>
              <m:r>
                <w:rPr>
                  <w:rFonts w:ascii="Cambria Math" w:hAnsi="Cambria Math"/>
                </w:rPr>
                <m:t>5297-0.5×185</m:t>
              </m:r>
            </m:den>
          </m:f>
          <m:r>
            <w:rPr>
              <w:rFonts w:ascii="Cambria Math" w:hAnsi="Cambria Math"/>
            </w:rPr>
            <m:t>= 0.03562</m:t>
          </m:r>
        </m:oMath>
      </m:oMathPara>
    </w:p>
    <w:p w14:paraId="4DAD11AE" w14:textId="1219C43A" w:rsidR="00F24568" w:rsidRPr="006E5E83" w:rsidRDefault="00C57843" w:rsidP="00F57908">
      <w:pPr>
        <w:spacing w:line="480" w:lineRule="auto"/>
        <w:rPr>
          <w:rFonts w:ascii="Cambria Math" w:eastAsiaTheme="minorEastAsia" w:hAnsi="Cambria Math"/>
          <w:iCs/>
        </w:rPr>
      </w:pPr>
      <w:r>
        <w:t xml:space="preserve"> </w:t>
      </w:r>
      <w:r w:rsidR="006E5E83" w:rsidRPr="006E5E83">
        <w:rPr>
          <w:rFonts w:ascii="Cambria Math" w:hAnsi="Cambria Math"/>
          <w:iCs/>
        </w:rPr>
        <w:br/>
      </w:r>
      <m:oMathPara>
        <m:oMath>
          <m:r>
            <m:rPr>
              <m:sty m:val="p"/>
            </m:rPr>
            <w:rPr>
              <w:rFonts w:ascii="Cambria Math" w:hAnsi="Cambria Math"/>
            </w:rPr>
            <m:t xml:space="preserve">Incidence of RTI 100,000 person years= </m:t>
          </m:r>
          <m:r>
            <w:rPr>
              <w:rFonts w:ascii="Cambria Math" w:hAnsi="Cambria Math"/>
            </w:rPr>
            <m:t>3562</m:t>
          </m:r>
        </m:oMath>
      </m:oMathPara>
    </w:p>
    <w:p w14:paraId="0189921B" w14:textId="275DF9FF" w:rsidR="006E5E83" w:rsidRDefault="006E5E83" w:rsidP="00F57908">
      <w:pPr>
        <w:pStyle w:val="Heading3"/>
        <w:spacing w:line="480" w:lineRule="auto"/>
        <w:rPr>
          <w:rFonts w:eastAsiaTheme="minorEastAsia"/>
        </w:rPr>
      </w:pPr>
      <w:r>
        <w:rPr>
          <w:rFonts w:eastAsiaTheme="minorEastAsia"/>
        </w:rPr>
        <w:t>Incidence of road traffic injury death, Integrated Household Survey</w:t>
      </w:r>
    </w:p>
    <w:p w14:paraId="5B4C8447" w14:textId="2D033270" w:rsidR="00C053CA" w:rsidRDefault="00C053CA" w:rsidP="00F57908">
      <w:pPr>
        <w:spacing w:line="480" w:lineRule="auto"/>
      </w:pPr>
      <w:r>
        <w:t xml:space="preserve">The data for this survey </w:t>
      </w:r>
      <w:r w:rsidR="00654DB0">
        <w:t>was</w:t>
      </w:r>
      <w:r>
        <w:t xml:space="preserve"> collected by asking a member of the household about their and other people in the household’s health experience in the past two years</w:t>
      </w:r>
      <w:r w:rsidR="00EB3788">
        <w:t xml:space="preserve"> </w:t>
      </w:r>
      <w:r w:rsidR="00EB3788">
        <w:fldChar w:fldCharType="begin" w:fldLock="1"/>
      </w:r>
      <w:r w:rsidR="00EB3788">
        <w:instrText>ADDIN CSL_CITATION {"citationItems":[{"id":"ITEM-1","itemData":{"author":[{"dropping-particle":"","family":"National Statistical Office","given":"","non-dropping-particle":"","parse-names":false,"suffix":""}],"id":"ITEM-1","issued":{"date-parts":[["2021"]]},"title":"Fifth Integrated Household Survey 2019-2020 Malawi","type":"report"},"uris":["http://www.mendeley.com/documents/?uuid=e561aea6-5d9e-4ec7-b4ab-2967b63af56d"]}],"mendeley":{"formattedCitation":"(National Statistical Office 2021)","plainTextFormattedCitation":"(National Statistical Office 2021)","previouslyFormattedCitation":"(National Statistical Office 2021)"},"properties":{"noteIndex":0},"schema":"https://github.com/citation-style-language/schema/raw/master/csl-citation.json"}</w:instrText>
      </w:r>
      <w:r w:rsidR="00EB3788">
        <w:fldChar w:fldCharType="separate"/>
      </w:r>
      <w:r w:rsidR="00EB3788" w:rsidRPr="002852A6">
        <w:rPr>
          <w:noProof/>
        </w:rPr>
        <w:t>(National Statistical Office 2021)</w:t>
      </w:r>
      <w:r w:rsidR="00EB3788">
        <w:fldChar w:fldCharType="end"/>
      </w:r>
      <w:r w:rsidR="00654DB0">
        <w:t xml:space="preserve">. This data also established the number of people in each household. </w:t>
      </w:r>
      <w:r w:rsidR="00C6287A">
        <w:t>This survey found 17 road traffic injury deaths within the households surveyed over the past two years. At the time of the survey a total of 50476 people had been accounted for in the survey, either directly reporting to the interviewers or having their past health experiences accounted for by a member of the household. If we again assume that on average the road traffic injury deaths occurred halfway through the</w:t>
      </w:r>
      <w:r w:rsidR="001B2A4A">
        <w:t xml:space="preserve"> study (in this case a</w:t>
      </w:r>
      <w:r w:rsidR="00C6287A">
        <w:t xml:space="preserve"> two-year study</w:t>
      </w:r>
      <w:r w:rsidR="001B2A4A">
        <w:t>)</w:t>
      </w:r>
      <w:r w:rsidR="00C6287A">
        <w:t>, we can establish an estimate for the incidence of death as:</w:t>
      </w:r>
    </w:p>
    <w:p w14:paraId="1E4B0F3C" w14:textId="10617045" w:rsidR="00C6287A" w:rsidRPr="00EB3788" w:rsidRDefault="00C6287A" w:rsidP="00F57908">
      <w:pPr>
        <w:spacing w:line="480" w:lineRule="auto"/>
        <w:rPr>
          <w:rFonts w:eastAsiaTheme="minorEastAsia"/>
          <w:iCs/>
        </w:rPr>
      </w:pPr>
      <m:oMathPara>
        <m:oMath>
          <m:r>
            <m:rPr>
              <m:sty m:val="p"/>
            </m:rPr>
            <w:rPr>
              <w:rFonts w:ascii="Cambria Math" w:hAnsi="Cambria Math"/>
            </w:rPr>
            <m:t xml:space="preserve">Incidence of RTI death per person year= </m:t>
          </m:r>
          <m:f>
            <m:fPr>
              <m:ctrlPr>
                <w:rPr>
                  <w:rFonts w:ascii="Cambria Math" w:hAnsi="Cambria Math"/>
                  <w:iCs/>
                </w:rPr>
              </m:ctrlPr>
            </m:fPr>
            <m:num>
              <m:r>
                <w:rPr>
                  <w:rFonts w:ascii="Cambria Math" w:hAnsi="Cambria Math"/>
                </w:rPr>
                <m:t>17</m:t>
              </m:r>
            </m:num>
            <m:den>
              <m:r>
                <w:rPr>
                  <w:rFonts w:ascii="Cambria Math" w:hAnsi="Cambria Math"/>
                </w:rPr>
                <m:t>50476 ×2-17 ×1</m:t>
              </m:r>
            </m:den>
          </m:f>
          <m:r>
            <w:rPr>
              <w:rFonts w:ascii="Cambria Math" w:hAnsi="Cambria Math"/>
            </w:rPr>
            <m:t>= 0.000168</m:t>
          </m:r>
        </m:oMath>
      </m:oMathPara>
    </w:p>
    <w:p w14:paraId="3E2C4D74" w14:textId="0F3C1E42" w:rsidR="00EB3788" w:rsidRPr="00C053CA" w:rsidRDefault="00EB3788" w:rsidP="00F57908">
      <w:pPr>
        <w:spacing w:line="480" w:lineRule="auto"/>
      </w:pPr>
      <m:oMathPara>
        <m:oMath>
          <m:r>
            <m:rPr>
              <m:sty m:val="p"/>
            </m:rPr>
            <w:rPr>
              <w:rFonts w:ascii="Cambria Math" w:hAnsi="Cambria Math"/>
            </w:rPr>
            <w:lastRenderedPageBreak/>
            <m:t xml:space="preserve">Incidence of RTI death per 100,000 person years= </m:t>
          </m:r>
          <m:r>
            <w:rPr>
              <w:rFonts w:ascii="Cambria Math" w:hAnsi="Cambria Math"/>
            </w:rPr>
            <m:t xml:space="preserve"> 16.8</m:t>
          </m:r>
        </m:oMath>
      </m:oMathPara>
    </w:p>
    <w:p w14:paraId="56643430" w14:textId="603AA88E" w:rsidR="00DD3AD2" w:rsidRDefault="00DD3AD2" w:rsidP="00F57908">
      <w:pPr>
        <w:pStyle w:val="Heading2"/>
        <w:spacing w:line="480" w:lineRule="auto"/>
      </w:pPr>
      <w:r>
        <w:t>Number of injuries assigned per person</w:t>
      </w:r>
    </w:p>
    <w:p w14:paraId="45613EA1" w14:textId="4A538519" w:rsidR="00DD3AD2" w:rsidRDefault="00DD3AD2" w:rsidP="00F57908">
      <w:pPr>
        <w:spacing w:line="480" w:lineRule="auto"/>
      </w:pPr>
      <w:r>
        <w:t>We fit the distribution to the following (x, y) data points: (1, % single injuries), (2, (% multiple injuries) / 2) and (9, 0). We ran the model with several of the resulting distributions using Azure batch computing and calculated the average number of injuries in RTI hospital patients, the resulting a number of distributions produced a 71:29 to 76:24 single to multiple injury ratio depending on other model parameter values.</w:t>
      </w:r>
    </w:p>
    <w:p w14:paraId="3B95F0CE" w14:textId="40C6DFC2" w:rsidR="00D21E17" w:rsidRDefault="00D21E17" w:rsidP="00F57908">
      <w:pPr>
        <w:keepNext/>
        <w:spacing w:line="480" w:lineRule="auto"/>
      </w:pPr>
      <w:r>
        <w:t>An example of one probability distribution and resulting number of injuries in and out of hospital per person compared to the results of Sundet et al. (2018) is given in</w:t>
      </w:r>
      <w:r w:rsidR="00586629">
        <w:t xml:space="preserve"> Figure A1</w:t>
      </w:r>
      <w:r w:rsidR="0025488A">
        <w:t>.</w:t>
      </w:r>
    </w:p>
    <w:p w14:paraId="0243DAC8" w14:textId="5170E511" w:rsidR="00D21E17" w:rsidRDefault="00D21E17" w:rsidP="00F57908">
      <w:pPr>
        <w:pStyle w:val="Caption"/>
        <w:spacing w:line="480" w:lineRule="auto"/>
      </w:pPr>
      <w:bookmarkStart w:id="1" w:name="_Ref100156510"/>
      <w:r>
        <w:t>Figure A</w:t>
      </w:r>
      <w:fldSimple w:instr=" SEQ Figure_A \* ARABIC ">
        <w:r w:rsidR="00100DDE">
          <w:rPr>
            <w:noProof/>
          </w:rPr>
          <w:t>1</w:t>
        </w:r>
      </w:fldSimple>
      <w:bookmarkEnd w:id="1"/>
      <w:r>
        <w:t>: An example distribution of number of injuries assigned to each per person and the resulting average number of injuries per person resulting from the distribution compared to the results of Sundet et al. (2018).</w:t>
      </w:r>
    </w:p>
    <w:p w14:paraId="7ED8751B" w14:textId="5ADFC12A" w:rsidR="0048500D" w:rsidRDefault="0048500D" w:rsidP="00F57908">
      <w:pPr>
        <w:pStyle w:val="Heading2"/>
        <w:spacing w:line="480" w:lineRule="auto"/>
      </w:pPr>
      <w:r>
        <w:t>Determining the number of runs</w:t>
      </w:r>
    </w:p>
    <w:p w14:paraId="79410F3A" w14:textId="17437E25" w:rsidR="002C1D08" w:rsidRDefault="0048500D" w:rsidP="00685A2E">
      <w:pPr>
        <w:spacing w:line="480" w:lineRule="auto"/>
      </w:pPr>
      <w:r>
        <w:t xml:space="preserve">To determine the number of runs we should use for each of the scenarios tested in the model, we </w:t>
      </w:r>
      <w:r w:rsidR="00BB3521">
        <w:t>aimed</w:t>
      </w:r>
      <w:r w:rsidR="00B51F62">
        <w:t xml:space="preserve"> to find a</w:t>
      </w:r>
      <w:r w:rsidR="00BB3521">
        <w:t xml:space="preserve"> small</w:t>
      </w:r>
      <w:r w:rsidR="00B51F62">
        <w:t xml:space="preserve"> number of model runs which produced results which reliably fell within the ranges of our calibration targets. We began by running</w:t>
      </w:r>
      <w:r>
        <w:t xml:space="preserve"> the model for a total of 20 model runs, each over the course of 10 years with a population of 20,000. We then sampled from these runs with an increasing sample size</w:t>
      </w:r>
      <w:r w:rsidR="00B51F62">
        <w:t xml:space="preserve">, </w:t>
      </w:r>
      <w:r>
        <w:t>selecting N runs at random</w:t>
      </w:r>
      <w:r w:rsidR="00B51F62">
        <w:t xml:space="preserve"> for N = 1, 2, …, 20. </w:t>
      </w:r>
      <w:r w:rsidR="00BB3521">
        <w:t>We calculated the mean incidence of road traffic injuries between each run for each sample size and then</w:t>
      </w:r>
      <w:r w:rsidR="00B51F62">
        <w:t xml:space="preserve"> repeated this process 100 times for each sample size</w:t>
      </w:r>
      <w:r w:rsidR="00BB3521">
        <w:t xml:space="preserve">. </w:t>
      </w:r>
      <w:r w:rsidR="002C1D08">
        <w:t>We decided on 4 runs per scenario as the mean incidence of road traffic injuries consistently fell within the 95% C.I. reported in the GBD study (</w:t>
      </w:r>
      <w:r w:rsidR="00685A2E">
        <w:t>Figure A2</w:t>
      </w:r>
      <w:r w:rsidR="002C1D08">
        <w:t>).</w:t>
      </w:r>
    </w:p>
    <w:p w14:paraId="4FF2185C" w14:textId="6AA61AB7" w:rsidR="002C1D08" w:rsidRDefault="002C1D08" w:rsidP="00F57908">
      <w:pPr>
        <w:pStyle w:val="Caption"/>
        <w:spacing w:line="480" w:lineRule="auto"/>
      </w:pPr>
      <w:bookmarkStart w:id="2" w:name="_Ref104199952"/>
      <w:r>
        <w:t>Figure A</w:t>
      </w:r>
      <w:fldSimple w:instr=" SEQ Figure_A \* ARABIC ">
        <w:r w:rsidR="00040D3F">
          <w:rPr>
            <w:noProof/>
          </w:rPr>
          <w:t>2</w:t>
        </w:r>
      </w:fldSimple>
      <w:bookmarkEnd w:id="2"/>
      <w:r>
        <w:t xml:space="preserve">: The </w:t>
      </w:r>
      <w:r w:rsidR="00116A15">
        <w:t xml:space="preserve">effect on the number of model runs on the average incidence of road traffic injuries in the model. For each number of samples (x-axis) we sampled N runs from the 20 model runs 100 times. We then plotted the average incidence of road traffic injuries between the N model runs as circles, associated with the number of runs sampled per time. We </w:t>
      </w:r>
      <w:r w:rsidR="00F52ED7">
        <w:t xml:space="preserve">then plotted the 95% C.I. of the incidence of road traffic injuries between 2010-2019 taken from the GBD study (shown in blue). We find that all of the 20 model runs fell within the 95% C.I. of incidence of road traffic injuries within the GBD study. </w:t>
      </w:r>
    </w:p>
    <w:p w14:paraId="5502483D" w14:textId="34C15E07" w:rsidR="0048500D" w:rsidRPr="0048500D" w:rsidRDefault="002C1D08" w:rsidP="00F57908">
      <w:pPr>
        <w:spacing w:line="480" w:lineRule="auto"/>
      </w:pPr>
      <w:r>
        <w:lastRenderedPageBreak/>
        <w:t xml:space="preserve">  </w:t>
      </w:r>
    </w:p>
    <w:p w14:paraId="7CBABC7E" w14:textId="0B19FBAB" w:rsidR="006250F3" w:rsidRDefault="006250F3" w:rsidP="00F57908">
      <w:pPr>
        <w:pStyle w:val="Heading2"/>
        <w:spacing w:line="480" w:lineRule="auto"/>
      </w:pPr>
      <w:r>
        <w:t>Tables</w:t>
      </w:r>
    </w:p>
    <w:p w14:paraId="02F6C497" w14:textId="4A85DB27" w:rsidR="00DD077E" w:rsidRDefault="00DD077E" w:rsidP="00F57908">
      <w:pPr>
        <w:spacing w:line="480" w:lineRule="auto"/>
      </w:pPr>
      <w:r>
        <w:fldChar w:fldCharType="begin"/>
      </w:r>
      <w:r>
        <w:instrText xml:space="preserve"> REF _Ref100157023 \h  \* MERGEFORMAT </w:instrText>
      </w:r>
      <w:r>
        <w:fldChar w:fldCharType="separate"/>
      </w:r>
      <w:r w:rsidR="00D52A47">
        <w:t xml:space="preserve">Table A </w:t>
      </w:r>
      <w:r w:rsidR="00D52A47">
        <w:rPr>
          <w:noProof/>
        </w:rPr>
        <w:t>1</w:t>
      </w:r>
      <w:r>
        <w:fldChar w:fldCharType="end"/>
      </w:r>
      <w:r>
        <w:t xml:space="preserve"> lists the properties used in the road traffic injuries model, these properties allow us to keep track of certain attributed possessed by the model’s population and track the course and health consequences of the road traffic injury epidemic in Malawi.</w:t>
      </w:r>
    </w:p>
    <w:p w14:paraId="0C353938" w14:textId="1EC77B90" w:rsidR="00D52A47" w:rsidRDefault="00D52A47" w:rsidP="00F57908">
      <w:pPr>
        <w:spacing w:line="480" w:lineRule="auto"/>
      </w:pPr>
      <w:r>
        <w:fldChar w:fldCharType="begin"/>
      </w:r>
      <w:r>
        <w:instrText xml:space="preserve"> REF _Ref100157134 \h  \* MERGEFORMAT </w:instrText>
      </w:r>
      <w:r>
        <w:fldChar w:fldCharType="separate"/>
      </w:r>
      <w:r>
        <w:t xml:space="preserve">Table A </w:t>
      </w:r>
      <w:r>
        <w:rPr>
          <w:noProof/>
        </w:rPr>
        <w:t>2</w:t>
      </w:r>
      <w:r>
        <w:fldChar w:fldCharType="end"/>
      </w:r>
      <w:r>
        <w:t xml:space="preserve"> lists the parameters used in the road traffic injuries, giving the name, value, description and source/calibration for each parameter.</w:t>
      </w:r>
    </w:p>
    <w:p w14:paraId="09E9BFE0" w14:textId="1904F919" w:rsidR="0090642A" w:rsidRDefault="00D52A47" w:rsidP="00F57908">
      <w:pPr>
        <w:spacing w:line="480" w:lineRule="auto"/>
      </w:pPr>
      <w:r>
        <w:fldChar w:fldCharType="begin"/>
      </w:r>
      <w:r>
        <w:instrText xml:space="preserve"> REF _Ref104572039 \h </w:instrText>
      </w:r>
      <w:r>
        <w:fldChar w:fldCharType="separate"/>
      </w:r>
      <w:r w:rsidR="00F1406D">
        <w:t xml:space="preserve">Table A </w:t>
      </w:r>
      <w:r w:rsidR="00F1406D">
        <w:rPr>
          <w:noProof/>
        </w:rPr>
        <w:t>3</w:t>
      </w:r>
      <w:r>
        <w:fldChar w:fldCharType="end"/>
      </w:r>
      <w:r>
        <w:t xml:space="preserve"> </w:t>
      </w:r>
      <w:r w:rsidR="0090642A">
        <w:t xml:space="preserve">lists the injuries modelled in the TLO RTI model, </w:t>
      </w:r>
      <w:r w:rsidR="00FA3035">
        <w:t>and states the AIS score associated with the injury, the disability weight associated with the injury, the treatments used to treat each injury modelled, the assumed recovery time for each injury and the source showing evidence of the use for each treatment in Malawi.</w:t>
      </w:r>
    </w:p>
    <w:p w14:paraId="690F9487" w14:textId="4C2B25AD" w:rsidR="006250F3" w:rsidRDefault="00E660E2" w:rsidP="00DD077E">
      <w:pPr>
        <w:spacing w:line="480" w:lineRule="auto"/>
      </w:pPr>
      <w:r>
        <w:fldChar w:fldCharType="begin"/>
      </w:r>
      <w:r>
        <w:instrText xml:space="preserve"> REF _Ref100156561 \h </w:instrText>
      </w:r>
      <w:r w:rsidR="00F57908">
        <w:instrText xml:space="preserve"> \* MERGEFORMAT </w:instrText>
      </w:r>
      <w:r>
        <w:fldChar w:fldCharType="separate"/>
      </w:r>
      <w:r>
        <w:t xml:space="preserve">Table A </w:t>
      </w:r>
      <w:r>
        <w:rPr>
          <w:noProof/>
        </w:rPr>
        <w:t>4</w:t>
      </w:r>
      <w:r>
        <w:fldChar w:fldCharType="end"/>
      </w:r>
      <w:r>
        <w:t xml:space="preserve"> gives parameter values for certain parameter values which we had to recalibrate </w:t>
      </w:r>
      <w:r w:rsidR="00637C27">
        <w:t>for different values of ‘</w:t>
      </w:r>
      <w:r w:rsidR="00637C27" w:rsidRPr="005C7F39">
        <w:t>rt_emergency_care_ISS_score_cut_off</w:t>
      </w:r>
      <w:r w:rsidR="00637C27">
        <w:t>’. The values of ‘</w:t>
      </w:r>
      <w:r w:rsidR="00637C27" w:rsidRPr="005C7F39">
        <w:t>rt_emergency_care_ISS_score_cut_off</w:t>
      </w:r>
      <w:r w:rsidR="00637C27">
        <w:t>’ varied due to not having a specific calibration target for health seeking behaviour in Malawi. The level of health seeking behaviour influenced the number of injuries seen in hospital per person and the overall level of in-hospital mortality and as such for differing values of ‘</w:t>
      </w:r>
      <w:r w:rsidR="00637C27" w:rsidRPr="005C7F39">
        <w:t>rt_emergency_care_ISS_score_cut_off</w:t>
      </w:r>
      <w:r w:rsidR="00637C27">
        <w:t>’, these</w:t>
      </w:r>
      <w:r w:rsidR="00FE2848">
        <w:t xml:space="preserve"> model sections had to recalibrated to hit their calibration targets.</w:t>
      </w:r>
    </w:p>
    <w:tbl>
      <w:tblPr>
        <w:tblStyle w:val="TableGrid"/>
        <w:tblW w:w="0" w:type="auto"/>
        <w:tblLook w:val="04A0" w:firstRow="1" w:lastRow="0" w:firstColumn="1" w:lastColumn="0" w:noHBand="0" w:noVBand="1"/>
      </w:tblPr>
      <w:tblGrid>
        <w:gridCol w:w="4508"/>
        <w:gridCol w:w="4508"/>
      </w:tblGrid>
      <w:tr w:rsidR="00E72BB7" w14:paraId="18113B90" w14:textId="77777777" w:rsidTr="0009399E">
        <w:tc>
          <w:tcPr>
            <w:tcW w:w="9016" w:type="dxa"/>
            <w:gridSpan w:val="2"/>
          </w:tcPr>
          <w:p w14:paraId="0038A4A7" w14:textId="242354E3" w:rsidR="00E72BB7" w:rsidRDefault="00E72BB7" w:rsidP="00F57908">
            <w:pPr>
              <w:spacing w:line="480" w:lineRule="auto"/>
              <w:jc w:val="center"/>
            </w:pPr>
            <w:r>
              <w:t>Properties Modelled</w:t>
            </w:r>
          </w:p>
        </w:tc>
      </w:tr>
      <w:tr w:rsidR="00E72BB7" w14:paraId="76335AC4" w14:textId="77777777" w:rsidTr="00E72BB7">
        <w:tc>
          <w:tcPr>
            <w:tcW w:w="4508" w:type="dxa"/>
          </w:tcPr>
          <w:p w14:paraId="14436427" w14:textId="79736610" w:rsidR="00E72BB7" w:rsidRDefault="00E72BB7" w:rsidP="00F57908">
            <w:pPr>
              <w:spacing w:line="480" w:lineRule="auto"/>
            </w:pPr>
            <w:r>
              <w:t>Property name</w:t>
            </w:r>
          </w:p>
        </w:tc>
        <w:tc>
          <w:tcPr>
            <w:tcW w:w="4508" w:type="dxa"/>
          </w:tcPr>
          <w:p w14:paraId="7865D899" w14:textId="5B1F6E05" w:rsidR="00E72BB7" w:rsidRDefault="00E72BB7" w:rsidP="00F57908">
            <w:pPr>
              <w:spacing w:line="480" w:lineRule="auto"/>
            </w:pPr>
            <w:r>
              <w:t>Description</w:t>
            </w:r>
          </w:p>
        </w:tc>
      </w:tr>
      <w:tr w:rsidR="00E72BB7" w14:paraId="388F1297" w14:textId="77777777" w:rsidTr="00E72BB7">
        <w:tc>
          <w:tcPr>
            <w:tcW w:w="4508" w:type="dxa"/>
          </w:tcPr>
          <w:p w14:paraId="2B2E14B4" w14:textId="5FB597E5" w:rsidR="00E72BB7" w:rsidRDefault="00E72BB7" w:rsidP="00F57908">
            <w:pPr>
              <w:spacing w:line="480" w:lineRule="auto"/>
            </w:pPr>
            <w:r>
              <w:t>rt_road_traffic_inc</w:t>
            </w:r>
          </w:p>
        </w:tc>
        <w:tc>
          <w:tcPr>
            <w:tcW w:w="4508" w:type="dxa"/>
          </w:tcPr>
          <w:p w14:paraId="21DD0ED7" w14:textId="24E76E75" w:rsidR="00E72BB7" w:rsidRDefault="00E72BB7" w:rsidP="00F57908">
            <w:pPr>
              <w:spacing w:line="480" w:lineRule="auto"/>
            </w:pPr>
            <w:r>
              <w:t>Whether this person has been injured in a road traffic accidence</w:t>
            </w:r>
          </w:p>
        </w:tc>
      </w:tr>
      <w:tr w:rsidR="00E72BB7" w14:paraId="60AEC989" w14:textId="77777777" w:rsidTr="00E72BB7">
        <w:tc>
          <w:tcPr>
            <w:tcW w:w="4508" w:type="dxa"/>
          </w:tcPr>
          <w:p w14:paraId="63C90571" w14:textId="5CC639E0" w:rsidR="00E72BB7" w:rsidRDefault="00E72BB7" w:rsidP="00F57908">
            <w:pPr>
              <w:spacing w:line="480" w:lineRule="auto"/>
            </w:pPr>
            <w:r>
              <w:t>rt_date_inj</w:t>
            </w:r>
          </w:p>
        </w:tc>
        <w:tc>
          <w:tcPr>
            <w:tcW w:w="4508" w:type="dxa"/>
          </w:tcPr>
          <w:p w14:paraId="31E2B10B" w14:textId="3BA73246" w:rsidR="00E72BB7" w:rsidRDefault="00E72BB7" w:rsidP="00F57908">
            <w:pPr>
              <w:spacing w:line="480" w:lineRule="auto"/>
            </w:pPr>
            <w:r>
              <w:t>The date which this person was injured in a road accident</w:t>
            </w:r>
          </w:p>
        </w:tc>
      </w:tr>
      <w:tr w:rsidR="00E72BB7" w14:paraId="14E2A2DC" w14:textId="77777777" w:rsidTr="00E72BB7">
        <w:tc>
          <w:tcPr>
            <w:tcW w:w="4508" w:type="dxa"/>
          </w:tcPr>
          <w:p w14:paraId="2C76851B" w14:textId="1840707D" w:rsidR="00E72BB7" w:rsidRDefault="00E72BB7" w:rsidP="00F57908">
            <w:pPr>
              <w:spacing w:line="480" w:lineRule="auto"/>
            </w:pPr>
            <w:r>
              <w:lastRenderedPageBreak/>
              <w:t>rt_date_death_no_med</w:t>
            </w:r>
          </w:p>
        </w:tc>
        <w:tc>
          <w:tcPr>
            <w:tcW w:w="4508" w:type="dxa"/>
          </w:tcPr>
          <w:p w14:paraId="59DD2BB5" w14:textId="7B2822B4" w:rsidR="00E72BB7" w:rsidRDefault="00E72BB7" w:rsidP="00F57908">
            <w:pPr>
              <w:spacing w:line="480" w:lineRule="auto"/>
            </w:pPr>
            <w:r>
              <w:t>The date which this person’s mortality is determined if they haven’t sought care, assumed to be a week after their accident</w:t>
            </w:r>
          </w:p>
        </w:tc>
      </w:tr>
      <w:tr w:rsidR="00E72BB7" w14:paraId="6EEFE258" w14:textId="77777777" w:rsidTr="00E72BB7">
        <w:tc>
          <w:tcPr>
            <w:tcW w:w="4508" w:type="dxa"/>
          </w:tcPr>
          <w:p w14:paraId="558E9F2C" w14:textId="4DC8558A" w:rsidR="00E72BB7" w:rsidRDefault="00E72BB7" w:rsidP="00F57908">
            <w:pPr>
              <w:spacing w:line="480" w:lineRule="auto"/>
            </w:pPr>
            <w:r>
              <w:t>rt_diagnosed</w:t>
            </w:r>
          </w:p>
        </w:tc>
        <w:tc>
          <w:tcPr>
            <w:tcW w:w="4508" w:type="dxa"/>
          </w:tcPr>
          <w:p w14:paraId="5B7D3F3D" w14:textId="19867C9B" w:rsidR="00E72BB7" w:rsidRDefault="00E72BB7" w:rsidP="00F57908">
            <w:pPr>
              <w:spacing w:line="480" w:lineRule="auto"/>
            </w:pPr>
            <w:r>
              <w:t>Whether this person has sought care at a hospital and can progress further into the health system</w:t>
            </w:r>
          </w:p>
        </w:tc>
      </w:tr>
      <w:tr w:rsidR="00E72BB7" w14:paraId="17024441" w14:textId="77777777" w:rsidTr="00E72BB7">
        <w:tc>
          <w:tcPr>
            <w:tcW w:w="4508" w:type="dxa"/>
          </w:tcPr>
          <w:p w14:paraId="03CB4C59" w14:textId="5767083F" w:rsidR="00E72BB7" w:rsidRDefault="00E72BB7" w:rsidP="00F57908">
            <w:pPr>
              <w:spacing w:line="480" w:lineRule="auto"/>
            </w:pPr>
            <w:r>
              <w:t>rt_med_int</w:t>
            </w:r>
          </w:p>
        </w:tc>
        <w:tc>
          <w:tcPr>
            <w:tcW w:w="4508" w:type="dxa"/>
          </w:tcPr>
          <w:p w14:paraId="293CA7E8" w14:textId="26B42CBC" w:rsidR="00E72BB7" w:rsidRDefault="00E72BB7" w:rsidP="00F57908">
            <w:pPr>
              <w:spacing w:line="480" w:lineRule="auto"/>
            </w:pPr>
            <w:r>
              <w:t>Whether this person is receiving care for their injuries</w:t>
            </w:r>
          </w:p>
        </w:tc>
      </w:tr>
      <w:tr w:rsidR="00E72BB7" w14:paraId="74858406" w14:textId="77777777" w:rsidTr="00E72BB7">
        <w:tc>
          <w:tcPr>
            <w:tcW w:w="4508" w:type="dxa"/>
          </w:tcPr>
          <w:p w14:paraId="4D012457" w14:textId="6924E596" w:rsidR="00E72BB7" w:rsidRDefault="00E72BB7" w:rsidP="00F57908">
            <w:pPr>
              <w:spacing w:line="480" w:lineRule="auto"/>
            </w:pPr>
            <w:r>
              <w:t>rt_in_icu_or_hdu</w:t>
            </w:r>
          </w:p>
        </w:tc>
        <w:tc>
          <w:tcPr>
            <w:tcW w:w="4508" w:type="dxa"/>
          </w:tcPr>
          <w:p w14:paraId="3FDBF652" w14:textId="47889BA9" w:rsidR="00E72BB7" w:rsidRDefault="00E72BB7" w:rsidP="00F57908">
            <w:pPr>
              <w:spacing w:line="480" w:lineRule="auto"/>
            </w:pPr>
            <w:r>
              <w:t>Whether this person is in an intensive care or high dependency unit</w:t>
            </w:r>
          </w:p>
        </w:tc>
      </w:tr>
      <w:tr w:rsidR="00E72BB7" w14:paraId="375151FA" w14:textId="77777777" w:rsidTr="00E72BB7">
        <w:tc>
          <w:tcPr>
            <w:tcW w:w="4508" w:type="dxa"/>
          </w:tcPr>
          <w:p w14:paraId="4126CB06" w14:textId="5EC87903" w:rsidR="00E72BB7" w:rsidRDefault="00E72BB7" w:rsidP="00F57908">
            <w:pPr>
              <w:spacing w:line="480" w:lineRule="auto"/>
            </w:pPr>
            <w:r>
              <w:t>rt_date_to_remove_daly</w:t>
            </w:r>
          </w:p>
        </w:tc>
        <w:tc>
          <w:tcPr>
            <w:tcW w:w="4508" w:type="dxa"/>
          </w:tcPr>
          <w:p w14:paraId="08476DF0" w14:textId="4BD74108" w:rsidR="00E72BB7" w:rsidRDefault="00E72BB7" w:rsidP="00F57908">
            <w:pPr>
              <w:spacing w:line="480" w:lineRule="auto"/>
            </w:pPr>
            <w:r>
              <w:t>The dates in which each of this person’s injuries will heal and the DALY weight associated with each injury can be removed.</w:t>
            </w:r>
          </w:p>
        </w:tc>
      </w:tr>
      <w:tr w:rsidR="00E72BB7" w14:paraId="7973622D" w14:textId="77777777" w:rsidTr="00E72BB7">
        <w:tc>
          <w:tcPr>
            <w:tcW w:w="4508" w:type="dxa"/>
          </w:tcPr>
          <w:p w14:paraId="145BC129" w14:textId="1BE69AB0" w:rsidR="00E72BB7" w:rsidRDefault="00E72BB7" w:rsidP="00F57908">
            <w:pPr>
              <w:spacing w:line="480" w:lineRule="auto"/>
            </w:pPr>
            <w:r>
              <w:t>rt_in_shock</w:t>
            </w:r>
          </w:p>
        </w:tc>
        <w:tc>
          <w:tcPr>
            <w:tcW w:w="4508" w:type="dxa"/>
          </w:tcPr>
          <w:p w14:paraId="1F0E0F73" w14:textId="78C9100D" w:rsidR="00E72BB7" w:rsidRDefault="00E72BB7" w:rsidP="00F57908">
            <w:pPr>
              <w:spacing w:line="480" w:lineRule="auto"/>
            </w:pPr>
            <w:r>
              <w:t>Whether this person is in shock as a result of their injuries</w:t>
            </w:r>
          </w:p>
        </w:tc>
      </w:tr>
      <w:tr w:rsidR="00E72BB7" w14:paraId="6D205C84" w14:textId="77777777" w:rsidTr="00E72BB7">
        <w:tc>
          <w:tcPr>
            <w:tcW w:w="4508" w:type="dxa"/>
          </w:tcPr>
          <w:p w14:paraId="1AAE34A7" w14:textId="5479B2D1" w:rsidR="00E72BB7" w:rsidRDefault="00E72BB7" w:rsidP="00F57908">
            <w:pPr>
              <w:spacing w:line="480" w:lineRule="auto"/>
            </w:pPr>
            <w:r>
              <w:t>rt_polytrauma</w:t>
            </w:r>
          </w:p>
        </w:tc>
        <w:tc>
          <w:tcPr>
            <w:tcW w:w="4508" w:type="dxa"/>
          </w:tcPr>
          <w:p w14:paraId="2826A1F8" w14:textId="5BCDCB93" w:rsidR="00E72BB7" w:rsidRDefault="00E72BB7" w:rsidP="00F57908">
            <w:pPr>
              <w:spacing w:line="480" w:lineRule="auto"/>
            </w:pPr>
            <w:r>
              <w:t>Whether this person has two injuries in distinct body regions with an AIS score of 3 or greater</w:t>
            </w:r>
          </w:p>
        </w:tc>
      </w:tr>
      <w:tr w:rsidR="00E72BB7" w14:paraId="12A735BA" w14:textId="77777777" w:rsidTr="00E72BB7">
        <w:tc>
          <w:tcPr>
            <w:tcW w:w="4508" w:type="dxa"/>
          </w:tcPr>
          <w:p w14:paraId="0D8A215A" w14:textId="0107A378" w:rsidR="00E72BB7" w:rsidRDefault="00E72BB7" w:rsidP="00F57908">
            <w:pPr>
              <w:spacing w:line="480" w:lineRule="auto"/>
            </w:pPr>
            <w:r>
              <w:t>rt_perm_disability</w:t>
            </w:r>
          </w:p>
        </w:tc>
        <w:tc>
          <w:tcPr>
            <w:tcW w:w="4508" w:type="dxa"/>
          </w:tcPr>
          <w:p w14:paraId="072E34AB" w14:textId="1D16D6A3" w:rsidR="00E72BB7" w:rsidRDefault="00E72BB7" w:rsidP="00F57908">
            <w:pPr>
              <w:spacing w:line="480" w:lineRule="auto"/>
            </w:pPr>
            <w:r>
              <w:t>Whether this person is permanently disabled as a result of their injuries</w:t>
            </w:r>
          </w:p>
        </w:tc>
      </w:tr>
      <w:tr w:rsidR="00E72BB7" w14:paraId="03880486" w14:textId="77777777" w:rsidTr="00E72BB7">
        <w:tc>
          <w:tcPr>
            <w:tcW w:w="4508" w:type="dxa"/>
          </w:tcPr>
          <w:p w14:paraId="33C4DD7D" w14:textId="1034ECDB" w:rsidR="00E72BB7" w:rsidRDefault="00E72BB7" w:rsidP="00F57908">
            <w:pPr>
              <w:spacing w:line="480" w:lineRule="auto"/>
            </w:pPr>
            <w:r>
              <w:t>rt_recovery_no_med</w:t>
            </w:r>
          </w:p>
        </w:tc>
        <w:tc>
          <w:tcPr>
            <w:tcW w:w="4508" w:type="dxa"/>
          </w:tcPr>
          <w:p w14:paraId="2271D1BD" w14:textId="596F5108" w:rsidR="00E72BB7" w:rsidRDefault="00E72BB7" w:rsidP="00F57908">
            <w:pPr>
              <w:spacing w:line="480" w:lineRule="auto"/>
            </w:pPr>
            <w:r>
              <w:t>Whether this person’s injuries healed without the use of the health system</w:t>
            </w:r>
          </w:p>
        </w:tc>
      </w:tr>
      <w:tr w:rsidR="00E72BB7" w14:paraId="24CA0254" w14:textId="77777777" w:rsidTr="00E72BB7">
        <w:tc>
          <w:tcPr>
            <w:tcW w:w="4508" w:type="dxa"/>
          </w:tcPr>
          <w:p w14:paraId="14223963" w14:textId="1E847C55" w:rsidR="00E72BB7" w:rsidRDefault="00E72BB7" w:rsidP="00F57908">
            <w:pPr>
              <w:spacing w:line="480" w:lineRule="auto"/>
            </w:pPr>
            <w:r>
              <w:t>rt_injury_1, rt_injury_2, rt_injury_3, rt_injury_4, rt_injury_5, rt_injury_6, rt_injury_7, rt_injury_8,</w:t>
            </w:r>
          </w:p>
        </w:tc>
        <w:tc>
          <w:tcPr>
            <w:tcW w:w="4508" w:type="dxa"/>
          </w:tcPr>
          <w:p w14:paraId="000040FE" w14:textId="5BA2918F" w:rsidR="00E72BB7" w:rsidRDefault="00E72BB7" w:rsidP="00F57908">
            <w:pPr>
              <w:spacing w:line="480" w:lineRule="auto"/>
            </w:pPr>
            <w:r>
              <w:t>The injuries this person received from their road accident, with the above injuries being stored as codes in these properties</w:t>
            </w:r>
          </w:p>
        </w:tc>
      </w:tr>
      <w:tr w:rsidR="00E72BB7" w14:paraId="3BB442DA" w14:textId="77777777" w:rsidTr="00E72BB7">
        <w:tc>
          <w:tcPr>
            <w:tcW w:w="4508" w:type="dxa"/>
          </w:tcPr>
          <w:p w14:paraId="74C810E1" w14:textId="06B6FC23" w:rsidR="00E72BB7" w:rsidRDefault="00E72BB7" w:rsidP="00F57908">
            <w:pPr>
              <w:spacing w:line="480" w:lineRule="auto"/>
            </w:pPr>
            <w:r>
              <w:lastRenderedPageBreak/>
              <w:t>rt_injury_severity</w:t>
            </w:r>
          </w:p>
        </w:tc>
        <w:tc>
          <w:tcPr>
            <w:tcW w:w="4508" w:type="dxa"/>
          </w:tcPr>
          <w:p w14:paraId="3A3C707D" w14:textId="34F36E62" w:rsidR="00E72BB7" w:rsidRDefault="00E72BB7" w:rsidP="00F57908">
            <w:pPr>
              <w:spacing w:line="480" w:lineRule="auto"/>
            </w:pPr>
            <w:r>
              <w:t>The severity status of this person’s injuries, none, mild or severe</w:t>
            </w:r>
          </w:p>
        </w:tc>
      </w:tr>
      <w:tr w:rsidR="00E72BB7" w14:paraId="01028F5E" w14:textId="77777777" w:rsidTr="00E72BB7">
        <w:tc>
          <w:tcPr>
            <w:tcW w:w="4508" w:type="dxa"/>
          </w:tcPr>
          <w:p w14:paraId="0D757E10" w14:textId="79DE6AC2" w:rsidR="00E72BB7" w:rsidRDefault="00E72BB7" w:rsidP="00F57908">
            <w:pPr>
              <w:spacing w:line="480" w:lineRule="auto"/>
            </w:pPr>
            <w:r>
              <w:t>rt_ISS_score</w:t>
            </w:r>
          </w:p>
        </w:tc>
        <w:tc>
          <w:tcPr>
            <w:tcW w:w="4508" w:type="dxa"/>
          </w:tcPr>
          <w:p w14:paraId="6F71EF9F" w14:textId="64B2876A" w:rsidR="00E72BB7" w:rsidRDefault="00E72BB7" w:rsidP="00F57908">
            <w:pPr>
              <w:spacing w:line="480" w:lineRule="auto"/>
            </w:pPr>
            <w:r>
              <w:t>The Injury Severity Score of this person</w:t>
            </w:r>
          </w:p>
        </w:tc>
      </w:tr>
      <w:tr w:rsidR="00E72BB7" w14:paraId="1059D205" w14:textId="77777777" w:rsidTr="00E72BB7">
        <w:tc>
          <w:tcPr>
            <w:tcW w:w="4508" w:type="dxa"/>
          </w:tcPr>
          <w:p w14:paraId="5A42AC24" w14:textId="3001DFED" w:rsidR="00E72BB7" w:rsidRDefault="00E72BB7" w:rsidP="00F57908">
            <w:pPr>
              <w:spacing w:line="480" w:lineRule="auto"/>
            </w:pPr>
            <w:r>
              <w:t>rt_MAIS_military_score</w:t>
            </w:r>
          </w:p>
        </w:tc>
        <w:tc>
          <w:tcPr>
            <w:tcW w:w="4508" w:type="dxa"/>
          </w:tcPr>
          <w:p w14:paraId="4AD2B440" w14:textId="52F84896" w:rsidR="00E72BB7" w:rsidRDefault="00E72BB7" w:rsidP="00F57908">
            <w:pPr>
              <w:spacing w:line="480" w:lineRule="auto"/>
            </w:pPr>
            <w:r>
              <w:t>The maximum military abbreviated injury score associated with this person’s injuries</w:t>
            </w:r>
          </w:p>
        </w:tc>
      </w:tr>
      <w:tr w:rsidR="00E72BB7" w14:paraId="052484BD" w14:textId="77777777" w:rsidTr="00E72BB7">
        <w:tc>
          <w:tcPr>
            <w:tcW w:w="4508" w:type="dxa"/>
          </w:tcPr>
          <w:p w14:paraId="60DACA54" w14:textId="1A0572E5" w:rsidR="00E72BB7" w:rsidRDefault="00E72BB7" w:rsidP="00F57908">
            <w:pPr>
              <w:spacing w:line="480" w:lineRule="auto"/>
            </w:pPr>
            <w:r>
              <w:t>rt_disability</w:t>
            </w:r>
          </w:p>
        </w:tc>
        <w:tc>
          <w:tcPr>
            <w:tcW w:w="4508" w:type="dxa"/>
          </w:tcPr>
          <w:p w14:paraId="4490E16A" w14:textId="5E156AD8" w:rsidR="00E72BB7" w:rsidRDefault="00E72BB7" w:rsidP="00F57908">
            <w:pPr>
              <w:spacing w:line="480" w:lineRule="auto"/>
            </w:pPr>
            <w:r>
              <w:t>The DALY weight associated with this person’s injuries, capped between 0 and 1</w:t>
            </w:r>
          </w:p>
        </w:tc>
      </w:tr>
      <w:tr w:rsidR="00E72BB7" w14:paraId="0D69B47B" w14:textId="77777777" w:rsidTr="00E72BB7">
        <w:tc>
          <w:tcPr>
            <w:tcW w:w="4508" w:type="dxa"/>
          </w:tcPr>
          <w:p w14:paraId="5E7A7E89" w14:textId="76B0CE63" w:rsidR="00E72BB7" w:rsidRDefault="00E72BB7" w:rsidP="00F57908">
            <w:pPr>
              <w:spacing w:line="480" w:lineRule="auto"/>
            </w:pPr>
            <w:r>
              <w:t>rt_debugging_DALY_wt</w:t>
            </w:r>
          </w:p>
        </w:tc>
        <w:tc>
          <w:tcPr>
            <w:tcW w:w="4508" w:type="dxa"/>
          </w:tcPr>
          <w:p w14:paraId="1C553F4A" w14:textId="77EA97B5" w:rsidR="00E72BB7" w:rsidRDefault="00E72BB7" w:rsidP="00F57908">
            <w:pPr>
              <w:spacing w:line="480" w:lineRule="auto"/>
            </w:pPr>
            <w:r>
              <w:t>The true DALY weight associated with this person’s injuries, uncapped</w:t>
            </w:r>
          </w:p>
        </w:tc>
      </w:tr>
      <w:tr w:rsidR="00E72BB7" w14:paraId="14D341AA" w14:textId="77777777" w:rsidTr="00E72BB7">
        <w:tc>
          <w:tcPr>
            <w:tcW w:w="4508" w:type="dxa"/>
          </w:tcPr>
          <w:p w14:paraId="2B3D87CF" w14:textId="7DCB02BF" w:rsidR="00E72BB7" w:rsidRDefault="00E72BB7" w:rsidP="00F57908">
            <w:pPr>
              <w:spacing w:line="480" w:lineRule="auto"/>
            </w:pPr>
            <w:r>
              <w:t>rt_injuries_to_cast</w:t>
            </w:r>
          </w:p>
        </w:tc>
        <w:tc>
          <w:tcPr>
            <w:tcW w:w="4508" w:type="dxa"/>
          </w:tcPr>
          <w:p w14:paraId="728FE1B8" w14:textId="70354D4C" w:rsidR="00E72BB7" w:rsidRDefault="00E72BB7" w:rsidP="00F57908">
            <w:pPr>
              <w:spacing w:line="480" w:lineRule="auto"/>
            </w:pPr>
            <w:r>
              <w:t>Injuries of this person determined to be treated by fracture cast or sling</w:t>
            </w:r>
          </w:p>
        </w:tc>
      </w:tr>
      <w:tr w:rsidR="00E72BB7" w14:paraId="53C56ECB" w14:textId="77777777" w:rsidTr="00E72BB7">
        <w:tc>
          <w:tcPr>
            <w:tcW w:w="4508" w:type="dxa"/>
          </w:tcPr>
          <w:p w14:paraId="078AC6F1" w14:textId="47E35CD0" w:rsidR="00E72BB7" w:rsidRDefault="00E72BB7" w:rsidP="00F57908">
            <w:pPr>
              <w:spacing w:line="480" w:lineRule="auto"/>
            </w:pPr>
            <w:r>
              <w:t>rt_injuries_for_minor_surgery</w:t>
            </w:r>
          </w:p>
        </w:tc>
        <w:tc>
          <w:tcPr>
            <w:tcW w:w="4508" w:type="dxa"/>
          </w:tcPr>
          <w:p w14:paraId="71FEB728" w14:textId="786C694E" w:rsidR="00E72BB7" w:rsidRDefault="00E72BB7" w:rsidP="00F57908">
            <w:pPr>
              <w:spacing w:line="480" w:lineRule="auto"/>
            </w:pPr>
            <w:r>
              <w:t>Injuries of this person determined to be treated with a minor surgery</w:t>
            </w:r>
          </w:p>
        </w:tc>
      </w:tr>
      <w:tr w:rsidR="00E72BB7" w14:paraId="72D8288E" w14:textId="77777777" w:rsidTr="00E72BB7">
        <w:tc>
          <w:tcPr>
            <w:tcW w:w="4508" w:type="dxa"/>
          </w:tcPr>
          <w:p w14:paraId="583845ED" w14:textId="7210DC0E" w:rsidR="00E72BB7" w:rsidRDefault="00E72BB7" w:rsidP="00F57908">
            <w:pPr>
              <w:spacing w:line="480" w:lineRule="auto"/>
            </w:pPr>
            <w:r>
              <w:t>rt_injuries_for_minor_surgery</w:t>
            </w:r>
          </w:p>
        </w:tc>
        <w:tc>
          <w:tcPr>
            <w:tcW w:w="4508" w:type="dxa"/>
          </w:tcPr>
          <w:p w14:paraId="01DF6952" w14:textId="0BD6F5B5" w:rsidR="00E72BB7" w:rsidRDefault="00E72BB7" w:rsidP="00F57908">
            <w:pPr>
              <w:spacing w:line="480" w:lineRule="auto"/>
            </w:pPr>
            <w:r>
              <w:t>Injuries of this person determined to be treated with a major surgery</w:t>
            </w:r>
          </w:p>
        </w:tc>
      </w:tr>
      <w:tr w:rsidR="00E72BB7" w14:paraId="75B6B020" w14:textId="77777777" w:rsidTr="00E72BB7">
        <w:tc>
          <w:tcPr>
            <w:tcW w:w="4508" w:type="dxa"/>
          </w:tcPr>
          <w:p w14:paraId="6998D183" w14:textId="509CD487" w:rsidR="00E72BB7" w:rsidRDefault="00E72BB7" w:rsidP="00F57908">
            <w:pPr>
              <w:spacing w:line="480" w:lineRule="auto"/>
            </w:pPr>
            <w:r>
              <w:t>rt_injuries_for_open_fracture_treatment</w:t>
            </w:r>
          </w:p>
        </w:tc>
        <w:tc>
          <w:tcPr>
            <w:tcW w:w="4508" w:type="dxa"/>
          </w:tcPr>
          <w:p w14:paraId="26AA7E29" w14:textId="2B922C97" w:rsidR="00E72BB7" w:rsidRDefault="00E72BB7" w:rsidP="00F57908">
            <w:pPr>
              <w:spacing w:line="480" w:lineRule="auto"/>
            </w:pPr>
            <w:r>
              <w:t>Injuries of this person determined to be treated with an open fracture treatment plan</w:t>
            </w:r>
          </w:p>
        </w:tc>
      </w:tr>
      <w:tr w:rsidR="00E72BB7" w14:paraId="586EAB75" w14:textId="77777777" w:rsidTr="00E72BB7">
        <w:tc>
          <w:tcPr>
            <w:tcW w:w="4508" w:type="dxa"/>
          </w:tcPr>
          <w:p w14:paraId="7C8FB588" w14:textId="21C565C3" w:rsidR="00E72BB7" w:rsidRDefault="00E72BB7" w:rsidP="00F57908">
            <w:pPr>
              <w:spacing w:line="480" w:lineRule="auto"/>
            </w:pPr>
            <w:r>
              <w:t>rt_injuries_to_heal_with_time</w:t>
            </w:r>
          </w:p>
        </w:tc>
        <w:tc>
          <w:tcPr>
            <w:tcW w:w="4508" w:type="dxa"/>
          </w:tcPr>
          <w:p w14:paraId="303410A1" w14:textId="2CDDB991" w:rsidR="00E72BB7" w:rsidRDefault="00E72BB7" w:rsidP="00F57908">
            <w:pPr>
              <w:spacing w:line="480" w:lineRule="auto"/>
            </w:pPr>
            <w:r>
              <w:t>Injuries which will heal over time without specific interventions</w:t>
            </w:r>
          </w:p>
        </w:tc>
      </w:tr>
      <w:tr w:rsidR="00E72BB7" w14:paraId="02D3BBB4" w14:textId="77777777" w:rsidTr="00E72BB7">
        <w:tc>
          <w:tcPr>
            <w:tcW w:w="4508" w:type="dxa"/>
          </w:tcPr>
          <w:p w14:paraId="28B47F79" w14:textId="5124AD57" w:rsidR="00E72BB7" w:rsidRDefault="00E72BB7" w:rsidP="00F57908">
            <w:pPr>
              <w:spacing w:line="480" w:lineRule="auto"/>
            </w:pPr>
            <w:r>
              <w:t>rt_injuries_left_untreated</w:t>
            </w:r>
          </w:p>
        </w:tc>
        <w:tc>
          <w:tcPr>
            <w:tcW w:w="4508" w:type="dxa"/>
          </w:tcPr>
          <w:p w14:paraId="2F8B01E0" w14:textId="071ACF41" w:rsidR="00E72BB7" w:rsidRDefault="00E72BB7" w:rsidP="00F57908">
            <w:pPr>
              <w:spacing w:line="480" w:lineRule="auto"/>
            </w:pPr>
            <w:r>
              <w:t xml:space="preserve">The person’s injuries that have been left untreated </w:t>
            </w:r>
          </w:p>
        </w:tc>
      </w:tr>
      <w:tr w:rsidR="00E72BB7" w14:paraId="4B47E1D1" w14:textId="77777777" w:rsidTr="00E72BB7">
        <w:tc>
          <w:tcPr>
            <w:tcW w:w="4508" w:type="dxa"/>
          </w:tcPr>
          <w:p w14:paraId="0FD4AD41" w14:textId="2A8DB2A0" w:rsidR="00E72BB7" w:rsidRDefault="00E72BB7" w:rsidP="00F57908">
            <w:pPr>
              <w:spacing w:line="480" w:lineRule="auto"/>
            </w:pPr>
            <w:r>
              <w:t>rt_imm_death</w:t>
            </w:r>
          </w:p>
        </w:tc>
        <w:tc>
          <w:tcPr>
            <w:tcW w:w="4508" w:type="dxa"/>
          </w:tcPr>
          <w:p w14:paraId="6D074751" w14:textId="190A7EF1" w:rsidR="00E72BB7" w:rsidRDefault="00E72BB7" w:rsidP="00F57908">
            <w:pPr>
              <w:spacing w:line="480" w:lineRule="auto"/>
            </w:pPr>
            <w:r>
              <w:t>Whether this person died on the scene of the crash or not</w:t>
            </w:r>
          </w:p>
        </w:tc>
      </w:tr>
      <w:tr w:rsidR="00E72BB7" w14:paraId="07BC1A13" w14:textId="77777777" w:rsidTr="00E72BB7">
        <w:tc>
          <w:tcPr>
            <w:tcW w:w="4508" w:type="dxa"/>
          </w:tcPr>
          <w:p w14:paraId="1FAEDE47" w14:textId="42B49CB9" w:rsidR="00E72BB7" w:rsidRDefault="00E72BB7" w:rsidP="00F57908">
            <w:pPr>
              <w:spacing w:line="480" w:lineRule="auto"/>
            </w:pPr>
            <w:r>
              <w:t>rt_death_no_med</w:t>
            </w:r>
          </w:p>
        </w:tc>
        <w:tc>
          <w:tcPr>
            <w:tcW w:w="4508" w:type="dxa"/>
          </w:tcPr>
          <w:p w14:paraId="12920AFC" w14:textId="25ED2F63" w:rsidR="00E72BB7" w:rsidRDefault="00E72BB7" w:rsidP="00F57908">
            <w:pPr>
              <w:spacing w:line="480" w:lineRule="auto"/>
            </w:pPr>
            <w:r>
              <w:t>Whether this person died without seeking medical care</w:t>
            </w:r>
          </w:p>
        </w:tc>
      </w:tr>
      <w:tr w:rsidR="00E72BB7" w14:paraId="0684CB8F" w14:textId="77777777" w:rsidTr="00E72BB7">
        <w:tc>
          <w:tcPr>
            <w:tcW w:w="4508" w:type="dxa"/>
          </w:tcPr>
          <w:p w14:paraId="56410B0A" w14:textId="173FBC10" w:rsidR="00E72BB7" w:rsidRDefault="00E72BB7" w:rsidP="00F57908">
            <w:pPr>
              <w:spacing w:line="480" w:lineRule="auto"/>
            </w:pPr>
            <w:r>
              <w:lastRenderedPageBreak/>
              <w:t>rt_post_med_death</w:t>
            </w:r>
          </w:p>
        </w:tc>
        <w:tc>
          <w:tcPr>
            <w:tcW w:w="4508" w:type="dxa"/>
          </w:tcPr>
          <w:p w14:paraId="18516B0F" w14:textId="031E7627" w:rsidR="00E72BB7" w:rsidRDefault="00E72BB7" w:rsidP="00F57908">
            <w:pPr>
              <w:spacing w:line="480" w:lineRule="auto"/>
            </w:pPr>
            <w:r>
              <w:t>Whether this person died from their injuries despite medical intervention</w:t>
            </w:r>
          </w:p>
        </w:tc>
      </w:tr>
      <w:tr w:rsidR="00E72BB7" w14:paraId="44C6DBFE" w14:textId="77777777" w:rsidTr="00E72BB7">
        <w:tc>
          <w:tcPr>
            <w:tcW w:w="4508" w:type="dxa"/>
          </w:tcPr>
          <w:p w14:paraId="2F81EDC3" w14:textId="42A75C75" w:rsidR="00E72BB7" w:rsidRDefault="00E72BB7" w:rsidP="00F57908">
            <w:pPr>
              <w:spacing w:line="480" w:lineRule="auto"/>
            </w:pPr>
            <w:r>
              <w:t>rt_unavilable_med_death</w:t>
            </w:r>
          </w:p>
        </w:tc>
        <w:tc>
          <w:tcPr>
            <w:tcW w:w="4508" w:type="dxa"/>
          </w:tcPr>
          <w:p w14:paraId="268B3040" w14:textId="2992C761" w:rsidR="00E72BB7" w:rsidRDefault="00E72BB7" w:rsidP="00F57908">
            <w:pPr>
              <w:spacing w:line="480" w:lineRule="auto"/>
            </w:pPr>
            <w:r>
              <w:t>Whether this person died after seeking medical care due to the unavailability of certain treatments</w:t>
            </w:r>
          </w:p>
        </w:tc>
      </w:tr>
      <w:tr w:rsidR="00E72BB7" w14:paraId="47994B43" w14:textId="77777777" w:rsidTr="00E72BB7">
        <w:tc>
          <w:tcPr>
            <w:tcW w:w="4508" w:type="dxa"/>
          </w:tcPr>
          <w:p w14:paraId="1BF289D3" w14:textId="7EF79AAB" w:rsidR="00E72BB7" w:rsidRDefault="00E72BB7" w:rsidP="00F57908">
            <w:pPr>
              <w:spacing w:line="480" w:lineRule="auto"/>
            </w:pPr>
            <w:r>
              <w:t>rt_death_from_shock</w:t>
            </w:r>
          </w:p>
        </w:tc>
        <w:tc>
          <w:tcPr>
            <w:tcW w:w="4508" w:type="dxa"/>
          </w:tcPr>
          <w:p w14:paraId="429E225E" w14:textId="7BF5886E" w:rsidR="00E72BB7" w:rsidRDefault="00E72BB7" w:rsidP="00F57908">
            <w:pPr>
              <w:keepNext/>
              <w:spacing w:line="480" w:lineRule="auto"/>
            </w:pPr>
            <w:r>
              <w:t xml:space="preserve">Whether this person died from shock </w:t>
            </w:r>
          </w:p>
        </w:tc>
      </w:tr>
    </w:tbl>
    <w:p w14:paraId="2B01E701" w14:textId="0B7C154A" w:rsidR="00E72BB7" w:rsidRDefault="00841CB3" w:rsidP="00F57908">
      <w:pPr>
        <w:pStyle w:val="Caption"/>
        <w:spacing w:line="480" w:lineRule="auto"/>
      </w:pPr>
      <w:bookmarkStart w:id="3" w:name="_Ref100157023"/>
      <w:r>
        <w:t xml:space="preserve">Table A </w:t>
      </w:r>
      <w:fldSimple w:instr=" SEQ Table_A \* ARABIC ">
        <w:r w:rsidR="00F1406D">
          <w:rPr>
            <w:noProof/>
          </w:rPr>
          <w:t>1</w:t>
        </w:r>
      </w:fldSimple>
      <w:bookmarkEnd w:id="3"/>
      <w:r>
        <w:t>: Properties modelled by the road traffic injuries model. These properties were used to keep track of road traffic injuries in the population, the health system usage and health outcomes</w:t>
      </w:r>
    </w:p>
    <w:tbl>
      <w:tblPr>
        <w:tblStyle w:val="TableGrid"/>
        <w:tblW w:w="0" w:type="auto"/>
        <w:tblLook w:val="04A0" w:firstRow="1" w:lastRow="0" w:firstColumn="1" w:lastColumn="0" w:noHBand="0" w:noVBand="1"/>
      </w:tblPr>
      <w:tblGrid>
        <w:gridCol w:w="3393"/>
        <w:gridCol w:w="2178"/>
        <w:gridCol w:w="957"/>
        <w:gridCol w:w="959"/>
        <w:gridCol w:w="1529"/>
      </w:tblGrid>
      <w:tr w:rsidR="00D52A47" w14:paraId="63E285F3" w14:textId="77777777" w:rsidTr="00356EB3">
        <w:tc>
          <w:tcPr>
            <w:tcW w:w="3255" w:type="dxa"/>
          </w:tcPr>
          <w:p w14:paraId="0EC219EA" w14:textId="77777777" w:rsidR="00D52A47" w:rsidRDefault="00D52A47" w:rsidP="00356EB3">
            <w:pPr>
              <w:spacing w:line="480" w:lineRule="auto"/>
            </w:pPr>
            <w:r>
              <w:t>Parameter</w:t>
            </w:r>
          </w:p>
        </w:tc>
        <w:tc>
          <w:tcPr>
            <w:tcW w:w="1702" w:type="dxa"/>
          </w:tcPr>
          <w:p w14:paraId="4768D79C" w14:textId="77777777" w:rsidR="00D52A47" w:rsidRDefault="00D52A47" w:rsidP="00356EB3">
            <w:pPr>
              <w:spacing w:line="480" w:lineRule="auto"/>
            </w:pPr>
            <w:r>
              <w:t>Description</w:t>
            </w:r>
          </w:p>
        </w:tc>
        <w:tc>
          <w:tcPr>
            <w:tcW w:w="2587" w:type="dxa"/>
            <w:gridSpan w:val="2"/>
          </w:tcPr>
          <w:p w14:paraId="1C245EF4" w14:textId="77777777" w:rsidR="00D52A47" w:rsidRDefault="00D52A47" w:rsidP="00356EB3">
            <w:pPr>
              <w:spacing w:line="480" w:lineRule="auto"/>
            </w:pPr>
            <w:r>
              <w:t>Value</w:t>
            </w:r>
          </w:p>
        </w:tc>
        <w:tc>
          <w:tcPr>
            <w:tcW w:w="1472" w:type="dxa"/>
          </w:tcPr>
          <w:p w14:paraId="3A5B83F8" w14:textId="77777777" w:rsidR="00D52A47" w:rsidRDefault="00D52A47" w:rsidP="00356EB3">
            <w:pPr>
              <w:spacing w:line="480" w:lineRule="auto"/>
            </w:pPr>
            <w:r>
              <w:t>Source</w:t>
            </w:r>
          </w:p>
        </w:tc>
      </w:tr>
      <w:tr w:rsidR="00D52A47" w14:paraId="356FD424" w14:textId="77777777" w:rsidTr="00356EB3">
        <w:tc>
          <w:tcPr>
            <w:tcW w:w="9016" w:type="dxa"/>
            <w:gridSpan w:val="5"/>
          </w:tcPr>
          <w:p w14:paraId="0439B8B6" w14:textId="77777777" w:rsidR="00D52A47" w:rsidRDefault="00D52A47" w:rsidP="00356EB3">
            <w:pPr>
              <w:spacing w:line="480" w:lineRule="auto"/>
              <w:jc w:val="center"/>
            </w:pPr>
            <w:r>
              <w:t>Who is injured in a road traffic accident this month?</w:t>
            </w:r>
          </w:p>
        </w:tc>
      </w:tr>
      <w:tr w:rsidR="00D52A47" w14:paraId="1EB1818B" w14:textId="77777777" w:rsidTr="00356EB3">
        <w:tc>
          <w:tcPr>
            <w:tcW w:w="3255" w:type="dxa"/>
          </w:tcPr>
          <w:p w14:paraId="1E2A417F" w14:textId="77777777" w:rsidR="00D52A47" w:rsidRDefault="00D52A47" w:rsidP="00356EB3">
            <w:pPr>
              <w:spacing w:line="480" w:lineRule="auto"/>
            </w:pPr>
            <w:r>
              <w:t>Base_rate_injrti</w:t>
            </w:r>
          </w:p>
        </w:tc>
        <w:tc>
          <w:tcPr>
            <w:tcW w:w="1702" w:type="dxa"/>
          </w:tcPr>
          <w:p w14:paraId="561F6580" w14:textId="77777777" w:rsidR="00D52A47" w:rsidRDefault="00D52A47" w:rsidP="00356EB3">
            <w:pPr>
              <w:spacing w:line="480" w:lineRule="auto"/>
            </w:pPr>
            <w:r>
              <w:t>The base rate of which the model population is involved in road traffic collisions per month. Specifically, a woman above the age of 80 who doesn’t drink</w:t>
            </w:r>
          </w:p>
        </w:tc>
        <w:tc>
          <w:tcPr>
            <w:tcW w:w="2587" w:type="dxa"/>
            <w:gridSpan w:val="2"/>
          </w:tcPr>
          <w:p w14:paraId="0D85BA77" w14:textId="77777777" w:rsidR="00D52A47" w:rsidRDefault="00D52A47" w:rsidP="00356EB3">
            <w:pPr>
              <w:spacing w:line="480" w:lineRule="auto"/>
            </w:pPr>
            <w:r>
              <w:t xml:space="preserve">Run-specific, see </w:t>
            </w:r>
            <w:r>
              <w:fldChar w:fldCharType="begin"/>
            </w:r>
            <w:r>
              <w:instrText xml:space="preserve"> REF _Ref100156561 \h  \* MERGEFORMAT </w:instrText>
            </w:r>
            <w:r>
              <w:fldChar w:fldCharType="separate"/>
            </w:r>
            <w:r>
              <w:t xml:space="preserve">Table A </w:t>
            </w:r>
            <w:r>
              <w:rPr>
                <w:noProof/>
              </w:rPr>
              <w:t>4</w:t>
            </w:r>
            <w:r>
              <w:fldChar w:fldCharType="end"/>
            </w:r>
            <w:r>
              <w:t>.</w:t>
            </w:r>
          </w:p>
        </w:tc>
        <w:tc>
          <w:tcPr>
            <w:tcW w:w="1472" w:type="dxa"/>
          </w:tcPr>
          <w:p w14:paraId="5E4F2E56" w14:textId="77777777" w:rsidR="00D52A47" w:rsidRDefault="00D52A47" w:rsidP="00356EB3">
            <w:pPr>
              <w:spacing w:line="480" w:lineRule="auto"/>
            </w:pPr>
            <w:r>
              <w:t>Calibrated to GBD estimated incidence of RTI</w:t>
            </w:r>
          </w:p>
        </w:tc>
      </w:tr>
      <w:tr w:rsidR="00D52A47" w14:paraId="2936332F" w14:textId="77777777" w:rsidTr="00356EB3">
        <w:tc>
          <w:tcPr>
            <w:tcW w:w="3255" w:type="dxa"/>
          </w:tcPr>
          <w:p w14:paraId="1AC38558" w14:textId="77777777" w:rsidR="00D52A47" w:rsidRDefault="00D52A47" w:rsidP="00356EB3">
            <w:pPr>
              <w:spacing w:line="480" w:lineRule="auto"/>
            </w:pPr>
            <w:r>
              <w:t>rr_injrti_age04</w:t>
            </w:r>
          </w:p>
          <w:p w14:paraId="59DF3E42" w14:textId="77777777" w:rsidR="00D52A47" w:rsidRDefault="00D52A47" w:rsidP="00356EB3">
            <w:pPr>
              <w:spacing w:line="480" w:lineRule="auto"/>
            </w:pPr>
          </w:p>
        </w:tc>
        <w:tc>
          <w:tcPr>
            <w:tcW w:w="1702" w:type="dxa"/>
          </w:tcPr>
          <w:p w14:paraId="64645A24" w14:textId="77777777" w:rsidR="00D52A47" w:rsidRDefault="00D52A47" w:rsidP="00356EB3">
            <w:pPr>
              <w:spacing w:line="480" w:lineRule="auto"/>
            </w:pPr>
            <w:r>
              <w:t>The risk factor for having a road traffic injury associated with being aged 0-4</w:t>
            </w:r>
          </w:p>
        </w:tc>
        <w:tc>
          <w:tcPr>
            <w:tcW w:w="2587" w:type="dxa"/>
            <w:gridSpan w:val="2"/>
          </w:tcPr>
          <w:p w14:paraId="78E3140E" w14:textId="77777777" w:rsidR="00D52A47" w:rsidRDefault="00D52A47" w:rsidP="00356EB3">
            <w:pPr>
              <w:spacing w:line="480" w:lineRule="auto"/>
            </w:pPr>
            <w:r w:rsidRPr="00D146DB">
              <w:t>0.145533</w:t>
            </w:r>
          </w:p>
        </w:tc>
        <w:tc>
          <w:tcPr>
            <w:tcW w:w="1472" w:type="dxa"/>
          </w:tcPr>
          <w:p w14:paraId="3A855C64" w14:textId="77777777" w:rsidR="00D52A47" w:rsidRDefault="00D52A47" w:rsidP="00356EB3">
            <w:pPr>
              <w:spacing w:line="480" w:lineRule="auto"/>
            </w:pPr>
            <w:r>
              <w:t>Calibrated to GBD estimated incidence of RTI</w:t>
            </w:r>
          </w:p>
        </w:tc>
      </w:tr>
      <w:tr w:rsidR="00D52A47" w14:paraId="31848587" w14:textId="77777777" w:rsidTr="00356EB3">
        <w:tc>
          <w:tcPr>
            <w:tcW w:w="3255" w:type="dxa"/>
          </w:tcPr>
          <w:p w14:paraId="1F565729" w14:textId="77777777" w:rsidR="00D52A47" w:rsidRDefault="00D52A47" w:rsidP="00356EB3">
            <w:pPr>
              <w:spacing w:line="480" w:lineRule="auto"/>
            </w:pPr>
            <w:r>
              <w:lastRenderedPageBreak/>
              <w:t>rr_injrti_age59</w:t>
            </w:r>
          </w:p>
        </w:tc>
        <w:tc>
          <w:tcPr>
            <w:tcW w:w="1702" w:type="dxa"/>
          </w:tcPr>
          <w:p w14:paraId="4E5A8581" w14:textId="77777777" w:rsidR="00D52A47" w:rsidRDefault="00D52A47" w:rsidP="00356EB3">
            <w:pPr>
              <w:spacing w:line="480" w:lineRule="auto"/>
            </w:pPr>
            <w:r>
              <w:t>The risk factor for having a road traffic injury associated with being aged 5-9</w:t>
            </w:r>
          </w:p>
        </w:tc>
        <w:tc>
          <w:tcPr>
            <w:tcW w:w="2587" w:type="dxa"/>
            <w:gridSpan w:val="2"/>
          </w:tcPr>
          <w:p w14:paraId="01C075E4" w14:textId="77777777" w:rsidR="00D52A47" w:rsidRDefault="00D52A47" w:rsidP="00356EB3">
            <w:pPr>
              <w:spacing w:line="480" w:lineRule="auto"/>
            </w:pPr>
            <w:r w:rsidRPr="00D146DB">
              <w:t>0.551895</w:t>
            </w:r>
          </w:p>
        </w:tc>
        <w:tc>
          <w:tcPr>
            <w:tcW w:w="1472" w:type="dxa"/>
          </w:tcPr>
          <w:p w14:paraId="4F775F01" w14:textId="77777777" w:rsidR="00D52A47" w:rsidRDefault="00D52A47" w:rsidP="00356EB3">
            <w:pPr>
              <w:spacing w:line="480" w:lineRule="auto"/>
            </w:pPr>
            <w:r>
              <w:t>Calibrated to GBD estimated incidence of RTI</w:t>
            </w:r>
          </w:p>
        </w:tc>
      </w:tr>
      <w:tr w:rsidR="00D52A47" w14:paraId="1DFFFC87" w14:textId="77777777" w:rsidTr="00356EB3">
        <w:tc>
          <w:tcPr>
            <w:tcW w:w="3255" w:type="dxa"/>
          </w:tcPr>
          <w:p w14:paraId="4403668E" w14:textId="77777777" w:rsidR="00D52A47" w:rsidRDefault="00D52A47" w:rsidP="00356EB3">
            <w:pPr>
              <w:spacing w:line="480" w:lineRule="auto"/>
            </w:pPr>
            <w:r>
              <w:t>rr_injrti_age1017</w:t>
            </w:r>
          </w:p>
        </w:tc>
        <w:tc>
          <w:tcPr>
            <w:tcW w:w="1702" w:type="dxa"/>
          </w:tcPr>
          <w:p w14:paraId="51823F9C" w14:textId="77777777" w:rsidR="00D52A47" w:rsidRDefault="00D52A47" w:rsidP="00356EB3">
            <w:pPr>
              <w:spacing w:line="480" w:lineRule="auto"/>
            </w:pPr>
            <w:r>
              <w:t>The risk factor for having a road traffic injury associated with being aged 10-17</w:t>
            </w:r>
          </w:p>
        </w:tc>
        <w:tc>
          <w:tcPr>
            <w:tcW w:w="2587" w:type="dxa"/>
            <w:gridSpan w:val="2"/>
          </w:tcPr>
          <w:p w14:paraId="0CCF1E57" w14:textId="77777777" w:rsidR="00D52A47" w:rsidRDefault="00D52A47" w:rsidP="00356EB3">
            <w:pPr>
              <w:spacing w:line="480" w:lineRule="auto"/>
            </w:pPr>
            <w:r w:rsidRPr="00D146DB">
              <w:t>0.967017</w:t>
            </w:r>
          </w:p>
        </w:tc>
        <w:tc>
          <w:tcPr>
            <w:tcW w:w="1472" w:type="dxa"/>
          </w:tcPr>
          <w:p w14:paraId="00CB9AD8" w14:textId="77777777" w:rsidR="00D52A47" w:rsidRDefault="00D52A47" w:rsidP="00356EB3">
            <w:pPr>
              <w:spacing w:line="480" w:lineRule="auto"/>
            </w:pPr>
            <w:r>
              <w:t>Calibrated to GBD estimated incidence of RTI</w:t>
            </w:r>
          </w:p>
        </w:tc>
      </w:tr>
      <w:tr w:rsidR="00D52A47" w14:paraId="0330C795" w14:textId="77777777" w:rsidTr="00356EB3">
        <w:tc>
          <w:tcPr>
            <w:tcW w:w="3255" w:type="dxa"/>
          </w:tcPr>
          <w:p w14:paraId="00879965" w14:textId="77777777" w:rsidR="00D52A47" w:rsidRDefault="00D52A47" w:rsidP="00356EB3">
            <w:pPr>
              <w:spacing w:line="480" w:lineRule="auto"/>
            </w:pPr>
            <w:r>
              <w:t>rr_injrti_age1829</w:t>
            </w:r>
          </w:p>
        </w:tc>
        <w:tc>
          <w:tcPr>
            <w:tcW w:w="1702" w:type="dxa"/>
          </w:tcPr>
          <w:p w14:paraId="6D146834" w14:textId="77777777" w:rsidR="00D52A47" w:rsidRDefault="00D52A47" w:rsidP="00356EB3">
            <w:pPr>
              <w:spacing w:line="480" w:lineRule="auto"/>
            </w:pPr>
            <w:r>
              <w:t>The risk factor for having a road traffic injury associated with being aged 18-29</w:t>
            </w:r>
          </w:p>
        </w:tc>
        <w:tc>
          <w:tcPr>
            <w:tcW w:w="2587" w:type="dxa"/>
            <w:gridSpan w:val="2"/>
          </w:tcPr>
          <w:p w14:paraId="42EE9767" w14:textId="77777777" w:rsidR="00D52A47" w:rsidRDefault="00D52A47" w:rsidP="00356EB3">
            <w:pPr>
              <w:spacing w:line="480" w:lineRule="auto"/>
            </w:pPr>
            <w:r w:rsidRPr="00D146DB">
              <w:t>1.184184</w:t>
            </w:r>
          </w:p>
        </w:tc>
        <w:tc>
          <w:tcPr>
            <w:tcW w:w="1472" w:type="dxa"/>
          </w:tcPr>
          <w:p w14:paraId="56332574" w14:textId="77777777" w:rsidR="00D52A47" w:rsidRDefault="00D52A47" w:rsidP="00356EB3">
            <w:pPr>
              <w:spacing w:line="480" w:lineRule="auto"/>
            </w:pPr>
            <w:r>
              <w:t>Calibrated to GBD estimated incidence of RTI</w:t>
            </w:r>
          </w:p>
        </w:tc>
      </w:tr>
      <w:tr w:rsidR="00D52A47" w14:paraId="79B004D0" w14:textId="77777777" w:rsidTr="00356EB3">
        <w:tc>
          <w:tcPr>
            <w:tcW w:w="3255" w:type="dxa"/>
          </w:tcPr>
          <w:p w14:paraId="01655CF3" w14:textId="77777777" w:rsidR="00D52A47" w:rsidRDefault="00D52A47" w:rsidP="00356EB3">
            <w:pPr>
              <w:spacing w:line="480" w:lineRule="auto"/>
            </w:pPr>
            <w:r>
              <w:t>rr_injrti_age3039</w:t>
            </w:r>
          </w:p>
        </w:tc>
        <w:tc>
          <w:tcPr>
            <w:tcW w:w="1702" w:type="dxa"/>
          </w:tcPr>
          <w:p w14:paraId="28AB8423" w14:textId="77777777" w:rsidR="00D52A47" w:rsidRDefault="00D52A47" w:rsidP="00356EB3">
            <w:pPr>
              <w:spacing w:line="480" w:lineRule="auto"/>
            </w:pPr>
            <w:r>
              <w:t>The risk factor for having a road traffic injury associated with being aged 30-39</w:t>
            </w:r>
          </w:p>
        </w:tc>
        <w:tc>
          <w:tcPr>
            <w:tcW w:w="2587" w:type="dxa"/>
            <w:gridSpan w:val="2"/>
          </w:tcPr>
          <w:p w14:paraId="56F9037B" w14:textId="77777777" w:rsidR="00D52A47" w:rsidRDefault="00D52A47" w:rsidP="00356EB3">
            <w:pPr>
              <w:spacing w:line="480" w:lineRule="auto"/>
            </w:pPr>
            <w:r w:rsidRPr="00D146DB">
              <w:t>1.052843</w:t>
            </w:r>
          </w:p>
        </w:tc>
        <w:tc>
          <w:tcPr>
            <w:tcW w:w="1472" w:type="dxa"/>
          </w:tcPr>
          <w:p w14:paraId="2A076B67" w14:textId="77777777" w:rsidR="00D52A47" w:rsidRDefault="00D52A47" w:rsidP="00356EB3">
            <w:pPr>
              <w:spacing w:line="480" w:lineRule="auto"/>
            </w:pPr>
            <w:r>
              <w:t>Calibrated to GBD estimated incidence of RTI</w:t>
            </w:r>
          </w:p>
        </w:tc>
      </w:tr>
      <w:tr w:rsidR="00D52A47" w14:paraId="2E7EE473" w14:textId="77777777" w:rsidTr="00356EB3">
        <w:tc>
          <w:tcPr>
            <w:tcW w:w="3255" w:type="dxa"/>
          </w:tcPr>
          <w:p w14:paraId="70B59AD1" w14:textId="77777777" w:rsidR="00D52A47" w:rsidRDefault="00D52A47" w:rsidP="00356EB3">
            <w:pPr>
              <w:spacing w:line="480" w:lineRule="auto"/>
            </w:pPr>
            <w:r>
              <w:t>rr_injrti_age4049</w:t>
            </w:r>
          </w:p>
        </w:tc>
        <w:tc>
          <w:tcPr>
            <w:tcW w:w="1702" w:type="dxa"/>
          </w:tcPr>
          <w:p w14:paraId="02013C7D" w14:textId="77777777" w:rsidR="00D52A47" w:rsidRDefault="00D52A47" w:rsidP="00356EB3">
            <w:pPr>
              <w:spacing w:line="480" w:lineRule="auto"/>
            </w:pPr>
            <w:r>
              <w:t>The risk factor for having a road traffic injury associated with being aged 40-49</w:t>
            </w:r>
          </w:p>
        </w:tc>
        <w:tc>
          <w:tcPr>
            <w:tcW w:w="2587" w:type="dxa"/>
            <w:gridSpan w:val="2"/>
          </w:tcPr>
          <w:p w14:paraId="047A44EE" w14:textId="77777777" w:rsidR="00D52A47" w:rsidRDefault="00D52A47" w:rsidP="00356EB3">
            <w:pPr>
              <w:spacing w:line="480" w:lineRule="auto"/>
            </w:pPr>
            <w:r w:rsidRPr="00D146DB">
              <w:t>1.074376</w:t>
            </w:r>
          </w:p>
        </w:tc>
        <w:tc>
          <w:tcPr>
            <w:tcW w:w="1472" w:type="dxa"/>
          </w:tcPr>
          <w:p w14:paraId="61B316CF" w14:textId="77777777" w:rsidR="00D52A47" w:rsidRDefault="00D52A47" w:rsidP="00356EB3">
            <w:pPr>
              <w:spacing w:line="480" w:lineRule="auto"/>
            </w:pPr>
            <w:r>
              <w:t>Calibrated to GBD estimated incidence of RTI</w:t>
            </w:r>
          </w:p>
        </w:tc>
      </w:tr>
      <w:tr w:rsidR="00D52A47" w14:paraId="0DF0B5E0" w14:textId="77777777" w:rsidTr="00356EB3">
        <w:tc>
          <w:tcPr>
            <w:tcW w:w="3255" w:type="dxa"/>
          </w:tcPr>
          <w:p w14:paraId="550ED17D" w14:textId="77777777" w:rsidR="00D52A47" w:rsidRDefault="00D52A47" w:rsidP="00356EB3">
            <w:pPr>
              <w:spacing w:line="480" w:lineRule="auto"/>
            </w:pPr>
            <w:r>
              <w:lastRenderedPageBreak/>
              <w:t>rr_injrti_age5059</w:t>
            </w:r>
          </w:p>
        </w:tc>
        <w:tc>
          <w:tcPr>
            <w:tcW w:w="1702" w:type="dxa"/>
          </w:tcPr>
          <w:p w14:paraId="34878DB7" w14:textId="77777777" w:rsidR="00D52A47" w:rsidRDefault="00D52A47" w:rsidP="00356EB3">
            <w:pPr>
              <w:spacing w:line="480" w:lineRule="auto"/>
            </w:pPr>
            <w:r>
              <w:t>The risk factor for having a road traffic injury associated with being aged 50-59</w:t>
            </w:r>
          </w:p>
        </w:tc>
        <w:tc>
          <w:tcPr>
            <w:tcW w:w="2587" w:type="dxa"/>
            <w:gridSpan w:val="2"/>
          </w:tcPr>
          <w:p w14:paraId="4F546F22" w14:textId="77777777" w:rsidR="00D52A47" w:rsidRDefault="00D52A47" w:rsidP="00356EB3">
            <w:pPr>
              <w:spacing w:line="480" w:lineRule="auto"/>
            </w:pPr>
            <w:r w:rsidRPr="00D146DB">
              <w:t>1.336449</w:t>
            </w:r>
          </w:p>
        </w:tc>
        <w:tc>
          <w:tcPr>
            <w:tcW w:w="1472" w:type="dxa"/>
          </w:tcPr>
          <w:p w14:paraId="75385A64" w14:textId="77777777" w:rsidR="00D52A47" w:rsidRDefault="00D52A47" w:rsidP="00356EB3">
            <w:pPr>
              <w:spacing w:line="480" w:lineRule="auto"/>
            </w:pPr>
            <w:r>
              <w:t>Calibrated to GBD estimated incidence of RTI</w:t>
            </w:r>
          </w:p>
        </w:tc>
      </w:tr>
      <w:tr w:rsidR="00D52A47" w14:paraId="6B8FDD1C" w14:textId="77777777" w:rsidTr="00356EB3">
        <w:tc>
          <w:tcPr>
            <w:tcW w:w="3255" w:type="dxa"/>
          </w:tcPr>
          <w:p w14:paraId="667E1C7A" w14:textId="77777777" w:rsidR="00D52A47" w:rsidRDefault="00D52A47" w:rsidP="00356EB3">
            <w:pPr>
              <w:spacing w:line="480" w:lineRule="auto"/>
            </w:pPr>
            <w:r>
              <w:t>rr_injrti_age6069</w:t>
            </w:r>
          </w:p>
        </w:tc>
        <w:tc>
          <w:tcPr>
            <w:tcW w:w="1702" w:type="dxa"/>
          </w:tcPr>
          <w:p w14:paraId="0F1766D0" w14:textId="77777777" w:rsidR="00D52A47" w:rsidRDefault="00D52A47" w:rsidP="00356EB3">
            <w:pPr>
              <w:spacing w:line="480" w:lineRule="auto"/>
            </w:pPr>
            <w:r>
              <w:t>The risk factor for having a road traffic injury associated with being aged 60-69</w:t>
            </w:r>
          </w:p>
        </w:tc>
        <w:tc>
          <w:tcPr>
            <w:tcW w:w="2587" w:type="dxa"/>
            <w:gridSpan w:val="2"/>
          </w:tcPr>
          <w:p w14:paraId="0FD00205" w14:textId="77777777" w:rsidR="00D52A47" w:rsidRDefault="00D52A47" w:rsidP="00356EB3">
            <w:pPr>
              <w:spacing w:line="480" w:lineRule="auto"/>
            </w:pPr>
            <w:r w:rsidRPr="00D146DB">
              <w:t>2.308514</w:t>
            </w:r>
          </w:p>
        </w:tc>
        <w:tc>
          <w:tcPr>
            <w:tcW w:w="1472" w:type="dxa"/>
          </w:tcPr>
          <w:p w14:paraId="39EA4618" w14:textId="77777777" w:rsidR="00D52A47" w:rsidRDefault="00D52A47" w:rsidP="00356EB3">
            <w:pPr>
              <w:spacing w:line="480" w:lineRule="auto"/>
            </w:pPr>
            <w:r>
              <w:t>Calibrated to GBD estimated incidence of RTI</w:t>
            </w:r>
          </w:p>
        </w:tc>
      </w:tr>
      <w:tr w:rsidR="00D52A47" w14:paraId="0849D7B3" w14:textId="77777777" w:rsidTr="00356EB3">
        <w:tc>
          <w:tcPr>
            <w:tcW w:w="3255" w:type="dxa"/>
          </w:tcPr>
          <w:p w14:paraId="09226593" w14:textId="77777777" w:rsidR="00D52A47" w:rsidRDefault="00D52A47" w:rsidP="00356EB3">
            <w:pPr>
              <w:spacing w:line="480" w:lineRule="auto"/>
            </w:pPr>
            <w:r>
              <w:t>rr_injrti_age7079</w:t>
            </w:r>
          </w:p>
        </w:tc>
        <w:tc>
          <w:tcPr>
            <w:tcW w:w="1702" w:type="dxa"/>
          </w:tcPr>
          <w:p w14:paraId="079F692F" w14:textId="77777777" w:rsidR="00D52A47" w:rsidRDefault="00D52A47" w:rsidP="00356EB3">
            <w:pPr>
              <w:spacing w:line="480" w:lineRule="auto"/>
            </w:pPr>
            <w:r>
              <w:t>The risk factor for having a road traffic injury associated with being aged 70-79</w:t>
            </w:r>
          </w:p>
        </w:tc>
        <w:tc>
          <w:tcPr>
            <w:tcW w:w="2587" w:type="dxa"/>
            <w:gridSpan w:val="2"/>
          </w:tcPr>
          <w:p w14:paraId="0992ED12" w14:textId="77777777" w:rsidR="00D52A47" w:rsidRDefault="00D52A47" w:rsidP="00356EB3">
            <w:pPr>
              <w:spacing w:line="480" w:lineRule="auto"/>
            </w:pPr>
            <w:r w:rsidRPr="00D146DB">
              <w:t>4.031226</w:t>
            </w:r>
          </w:p>
        </w:tc>
        <w:tc>
          <w:tcPr>
            <w:tcW w:w="1472" w:type="dxa"/>
          </w:tcPr>
          <w:p w14:paraId="649D7978" w14:textId="77777777" w:rsidR="00D52A47" w:rsidRDefault="00D52A47" w:rsidP="00356EB3">
            <w:pPr>
              <w:spacing w:line="480" w:lineRule="auto"/>
            </w:pPr>
            <w:r>
              <w:t>Calibrated to GBD estimated incidence of RTI</w:t>
            </w:r>
          </w:p>
        </w:tc>
      </w:tr>
      <w:tr w:rsidR="00D52A47" w14:paraId="0F7C2436" w14:textId="77777777" w:rsidTr="00356EB3">
        <w:tc>
          <w:tcPr>
            <w:tcW w:w="3255" w:type="dxa"/>
          </w:tcPr>
          <w:p w14:paraId="13E49F1C" w14:textId="77777777" w:rsidR="00D52A47" w:rsidRDefault="00D52A47" w:rsidP="00356EB3">
            <w:pPr>
              <w:spacing w:line="480" w:lineRule="auto"/>
            </w:pPr>
            <w:r>
              <w:t>rr_injrti_male</w:t>
            </w:r>
          </w:p>
        </w:tc>
        <w:tc>
          <w:tcPr>
            <w:tcW w:w="1702" w:type="dxa"/>
          </w:tcPr>
          <w:p w14:paraId="44B8A7AC" w14:textId="77777777" w:rsidR="00D52A47" w:rsidRDefault="00D52A47" w:rsidP="00356EB3">
            <w:pPr>
              <w:spacing w:line="480" w:lineRule="auto"/>
            </w:pPr>
            <w:r>
              <w:t>The risk factor for having a road traffic injury associated with being male</w:t>
            </w:r>
          </w:p>
        </w:tc>
        <w:tc>
          <w:tcPr>
            <w:tcW w:w="2587" w:type="dxa"/>
            <w:gridSpan w:val="2"/>
          </w:tcPr>
          <w:p w14:paraId="7B055BA8" w14:textId="77777777" w:rsidR="00D52A47" w:rsidRDefault="00D52A47" w:rsidP="00356EB3">
            <w:pPr>
              <w:spacing w:line="480" w:lineRule="auto"/>
            </w:pPr>
            <w:r w:rsidRPr="00D146DB">
              <w:t>2.7</w:t>
            </w:r>
          </w:p>
        </w:tc>
        <w:tc>
          <w:tcPr>
            <w:tcW w:w="1472" w:type="dxa"/>
          </w:tcPr>
          <w:p w14:paraId="179A24A2" w14:textId="77777777" w:rsidR="00D52A47" w:rsidRDefault="00D52A47" w:rsidP="00356EB3">
            <w:pPr>
              <w:spacing w:line="480" w:lineRule="auto"/>
            </w:pPr>
            <w:r>
              <w:t>Calibrated to GBD estimated incidence of RTI</w:t>
            </w:r>
          </w:p>
        </w:tc>
      </w:tr>
      <w:tr w:rsidR="00D52A47" w14:paraId="73773973" w14:textId="77777777" w:rsidTr="00356EB3">
        <w:tc>
          <w:tcPr>
            <w:tcW w:w="3255" w:type="dxa"/>
          </w:tcPr>
          <w:p w14:paraId="2885D86D" w14:textId="77777777" w:rsidR="00D52A47" w:rsidRDefault="00D52A47" w:rsidP="00356EB3">
            <w:pPr>
              <w:spacing w:line="480" w:lineRule="auto"/>
            </w:pPr>
            <w:r>
              <w:t>rr_injrti_excessalcohol</w:t>
            </w:r>
          </w:p>
        </w:tc>
        <w:tc>
          <w:tcPr>
            <w:tcW w:w="1702" w:type="dxa"/>
          </w:tcPr>
          <w:p w14:paraId="31CC98E7" w14:textId="77777777" w:rsidR="00D52A47" w:rsidRDefault="00D52A47" w:rsidP="00356EB3">
            <w:pPr>
              <w:spacing w:line="480" w:lineRule="auto"/>
            </w:pPr>
            <w:r>
              <w:t>The risk factor for having a road traffic injury associated with consuming excessive amounts of alcohol</w:t>
            </w:r>
          </w:p>
        </w:tc>
        <w:tc>
          <w:tcPr>
            <w:tcW w:w="2587" w:type="dxa"/>
            <w:gridSpan w:val="2"/>
          </w:tcPr>
          <w:p w14:paraId="11129E74" w14:textId="77777777" w:rsidR="00D52A47" w:rsidRDefault="00D52A47" w:rsidP="00356EB3">
            <w:pPr>
              <w:spacing w:line="480" w:lineRule="auto"/>
            </w:pPr>
            <w:r>
              <w:t>6.53</w:t>
            </w:r>
          </w:p>
        </w:tc>
        <w:tc>
          <w:tcPr>
            <w:tcW w:w="1472" w:type="dxa"/>
          </w:tcPr>
          <w:p w14:paraId="12557507" w14:textId="77777777" w:rsidR="00D52A47" w:rsidRDefault="00D52A47" w:rsidP="00356EB3">
            <w:pPr>
              <w:keepNext/>
              <w:spacing w:line="480" w:lineRule="auto"/>
            </w:pPr>
            <w:r>
              <w:fldChar w:fldCharType="begin" w:fldLock="1"/>
            </w:r>
            <w:r>
              <w:instrText>ADDIN CSL_CITATION {"citationItems":[{"id":"ITEM-1","itemData":{"DOI":"10.1186/s12889-018-5144-z","ISSN":"14712458","abstract":"Background: Globally, alcohol is responsible for 3.3 million deaths annually and contributes to 5.9% of the overall global burden of disease. In Sub-Saharan Africa, alcohol is the leading avoidable risk factor accounting for a substantial portion of death and disability. This project aimed to determine the proportion of injuries related to alcohol and the increased risk of injury due to alcohol among injury patients seeking care at the emergency department (ED) of Kilimanjaro Christian Medical Centre (KCMC) in Moshi, Tanzania. Methods: A representative cross-sectional sample of adult patients presenting to the KCMC ED with acute injury were enrolled in this study with a nested case-crossover design. Patient demographics, injury characteristics, and severity as well as alcohol use behaviors were collected. Alcohol breathalyzers were administered to the enrolled patients. Data on activities and alcohol use were collected for the time period 6 h prior to injury and two control periods: 24-30 h prior to injury and 1 week prior to injury. Results: During 47 weeks of data collection, 24,070 patients were screened, of which 2164 suffered injuries, and 516 met the inclusion and exclusion criteria, consented to participate, and had complete data. Of the study participants, 76% were male, and 30% tested positive for alcohol on arrival to the ED. Alcohol use was associated with being male and being employed. Alcohol use was associated with an increased risk of injury (OR 5.71; 95% CI 3.84-8.50), and specifically road traffic injuries were associated with the highest odds of injury with alcohol use (OR 6.53, 95% CI 3.98-10.71). For all injuries and road traffic injuries specifically, we found an increase in the odds of injury with an incremental increase in the dose of alcohol. Conclusions: At KCMC in Moshi, Tanzania, 3 of 10 injury patients tested positive for alcohol on presentation for care. Similarly, alcohol use conveys an increased risk for injury in this setting. Evidence-based prevention strategies for alcohol-related injuries need to be implemented to reduce alcohol misuse and alcohol-related injuries.","author":[{"dropping-particle":"","family":"Staton","given":"Catherine A.","non-dropping-particle":"","parse-names":false,"suffix":""},{"dropping-particle":"","family":"Vissoci","given":"Joao Ricardo Nickenig","non-dropping-particle":"","parse-names":false,"suffix":""},{"dropping-particle":"","family":"Toomey","given":"Nicole","non-dropping-particle":"","parse-names":false,"suffix":""},{"dropping-particle":"","family":"Abdelgadir","given":"Jihad","non-dropping-particle":"","parse-names":false,"suffix":""},{"dropping-particle":"","family":"Chou","given":"Patricia","non-dropping-particle":"","parse-names":false,"suffix":""},{"dropping-particle":"","family":"Haglund","given":"Michael","non-dropping-particle":"","parse-names":false,"suffix":""},{"dropping-particle":"","family":"Mmbaga","given":"Blandina T.","non-dropping-particle":"","parse-names":false,"suffix":""},{"dropping-particle":"","family":"Mvungi","given":"Mark","non-dropping-particle":"","parse-names":false,"suffix":""},{"dropping-particle":"","family":"Swahn","given":"Monica","non-dropping-particle":"","parse-names":false,"suffix":""}],"container-title":"BMC Public Health","id":"ITEM-1","issue":"1","issued":{"date-parts":[["2018","2","21"]]},"publisher":"BioMed Central Ltd.","title":"The impact of alcohol among injury patients in Moshi, Tanzania: A nested case-crossover study","type":"article-journal","volume":"18"},"uris":["http://www.mendeley.com/documents/?uuid=475f566b-91cc-314f-b483-cff06d812430"]}],"mendeley":{"formattedCitation":"(Staton et al. 2018)","plainTextFormattedCitation":"(Staton et al. 2018)","previouslyFormattedCitation":"(Staton et al. 2018)"},"properties":{"noteIndex":0},"schema":"https://github.com/citation-style-language/schema/raw/master/csl-citation.json"}</w:instrText>
            </w:r>
            <w:r>
              <w:fldChar w:fldCharType="separate"/>
            </w:r>
            <w:r w:rsidRPr="005C7F39">
              <w:rPr>
                <w:noProof/>
              </w:rPr>
              <w:t>(Staton et al. 2018)</w:t>
            </w:r>
            <w:r>
              <w:fldChar w:fldCharType="end"/>
            </w:r>
          </w:p>
        </w:tc>
      </w:tr>
      <w:tr w:rsidR="00D52A47" w14:paraId="236A83EB" w14:textId="77777777" w:rsidTr="00356EB3">
        <w:tc>
          <w:tcPr>
            <w:tcW w:w="9016" w:type="dxa"/>
            <w:gridSpan w:val="5"/>
          </w:tcPr>
          <w:p w14:paraId="3FE3DB8D" w14:textId="77777777" w:rsidR="00D52A47" w:rsidRDefault="00D52A47" w:rsidP="00356EB3">
            <w:pPr>
              <w:keepNext/>
              <w:spacing w:line="480" w:lineRule="auto"/>
              <w:jc w:val="center"/>
            </w:pPr>
            <w:r>
              <w:lastRenderedPageBreak/>
              <w:t>Did the injured persons die on the scene of the crash</w:t>
            </w:r>
          </w:p>
        </w:tc>
      </w:tr>
      <w:tr w:rsidR="00D52A47" w14:paraId="1A80177E" w14:textId="77777777" w:rsidTr="00356EB3">
        <w:tc>
          <w:tcPr>
            <w:tcW w:w="3255" w:type="dxa"/>
          </w:tcPr>
          <w:p w14:paraId="4853A417" w14:textId="77777777" w:rsidR="00D52A47" w:rsidRDefault="00D52A47" w:rsidP="00356EB3">
            <w:pPr>
              <w:spacing w:line="480" w:lineRule="auto"/>
            </w:pPr>
            <w:r>
              <w:t>imm_death_proportion_rti</w:t>
            </w:r>
          </w:p>
        </w:tc>
        <w:tc>
          <w:tcPr>
            <w:tcW w:w="1702" w:type="dxa"/>
          </w:tcPr>
          <w:p w14:paraId="4BCAD867" w14:textId="77777777" w:rsidR="00D52A47" w:rsidRDefault="00D52A47" w:rsidP="00356EB3">
            <w:pPr>
              <w:spacing w:line="480" w:lineRule="auto"/>
            </w:pPr>
            <w:r>
              <w:t>The proportion of persons injured in a road traffic collision who experience pre-hospital mortality.</w:t>
            </w:r>
          </w:p>
        </w:tc>
        <w:tc>
          <w:tcPr>
            <w:tcW w:w="2587" w:type="dxa"/>
            <w:gridSpan w:val="2"/>
          </w:tcPr>
          <w:p w14:paraId="3FDCBD49" w14:textId="77777777" w:rsidR="00D52A47" w:rsidRDefault="00D52A47" w:rsidP="00356EB3">
            <w:pPr>
              <w:spacing w:line="480" w:lineRule="auto"/>
            </w:pPr>
            <w:r>
              <w:t>0.018</w:t>
            </w:r>
          </w:p>
        </w:tc>
        <w:tc>
          <w:tcPr>
            <w:tcW w:w="1472" w:type="dxa"/>
          </w:tcPr>
          <w:p w14:paraId="12567981" w14:textId="77777777" w:rsidR="00D52A47" w:rsidRDefault="00D52A47" w:rsidP="00356EB3">
            <w:pPr>
              <w:keepNext/>
              <w:spacing w:line="480" w:lineRule="auto"/>
            </w:pPr>
            <w:r>
              <w:fldChar w:fldCharType="begin" w:fldLock="1"/>
            </w:r>
            <w:r>
              <w:instrText>ADDIN CSL_CITATION {"citationItems":[{"id":"ITEM-1","itemData":{"DOI":"10.1016/j.afjem.2021.03.011","ISSN":"2211419X","abstract":"Introduction: Trauma is among the leading causes of death and disability in both adults and children worldwide. In Malawi, trauma patients are commonly brought in dead (BID). We aimed to describe the prevalence, sociodemographic, and injury-related characteristics of patients BID to Kamuzu Central Hospital (KCH), a referral hospital in Lilongwe, Malawi. Methods: We retrospectively reviewed records of all patients BID in the trauma surveillance registry at KCH from February 2008 to September 2019. We excluded patients BID that did not present to the emergency centre, and were instead taken to the mortuary directly. We used descriptive statistics to evaluate the epidemiology of patients BID. Results: We reviewed 106,198 trauma records and 1889 (1.8%) were BID patients. Most patients BID were male, in both adult (n = 1337/1528, 88.4%) and children (n = 231/360, 64.9%) cohorts. The mean age was 34.7 (SD 11.9) years in adults and 7.8 (SD 5.4) years in children. Among the adult BID patients, 33.2% were unemployed, 25.6% were construction workers, and 10.1% were small business owners or managers. The common injury mechanisms in adults were road traffic-related injuries (RTIs) (47.1%) and assaults (23.6%). In children, injuries resulted from RTIs (39.7%), with 74.4% of those were pedestrians hit by cars, drowning (22.9%), and burns (12.4%). In both groups, most injuries occurred on roads (60.2%) or at home (22.1%). Reported alcohol use at the time of trauma was present in 6.3%. The police (57.9%) and privately-owned vehicles (26.6%) transported most BID patients to KCH. Conclusion: Efforts to reduce prehospital trauma mortality must focus on improving prehospital care, including training the police and community in basic life support and improving resources towards prehospital trauma care. Further efforts to reduce prehospital mortality must aim to decrease injuries on the roads and at home.","author":[{"dropping-particle":"","family":"Mulima","given":"Gift","non-dropping-particle":"","parse-names":false,"suffix":""},{"dropping-particle":"","family":"Purcell","given":"Laura N.","non-dropping-particle":"","parse-names":false,"suffix":""},{"dropping-particle":"","family":"Maine","given":"Rebecca","non-dropping-particle":"","parse-names":false,"suffix":""},{"dropping-particle":"","family":"Bjornstad","given":"Erica C.","non-dropping-particle":"","parse-names":false,"suffix":""},{"dropping-particle":"","family":"Charles","given":"Anthony","non-dropping-particle":"","parse-names":false,"suffix":""}],"container-title":"African Journal of Emergency Medicine","id":"ITEM-1","issue":"2","issued":{"date-parts":[["2021","6","1"]]},"page":"258-262","publisher":"African Federation for Emergency Medicine","title":"Epidemiology of prehospital trauma deaths in Malawi: A retrospective cohort study","type":"article-journal","volume":"11"},"uris":["http://www.mendeley.com/documents/?uuid=57d37359-47ef-3d9b-be6f-a1a2bd6e519f"]}],"mendeley":{"formattedCitation":"(Mulima et al. 2021)","plainTextFormattedCitation":"(Mulima et al. 2021)","previouslyFormattedCitation":"(Mulima et al. 2021)"},"properties":{"noteIndex":0},"schema":"https://github.com/citation-style-language/schema/raw/master/csl-citation.json"}</w:instrText>
            </w:r>
            <w:r>
              <w:fldChar w:fldCharType="separate"/>
            </w:r>
            <w:r w:rsidRPr="00A414A8">
              <w:rPr>
                <w:noProof/>
              </w:rPr>
              <w:t>(Mulima et al. 2021)</w:t>
            </w:r>
            <w:r>
              <w:fldChar w:fldCharType="end"/>
            </w:r>
          </w:p>
        </w:tc>
      </w:tr>
      <w:tr w:rsidR="00D52A47" w14:paraId="2F430D06" w14:textId="77777777" w:rsidTr="00356EB3">
        <w:tc>
          <w:tcPr>
            <w:tcW w:w="9016" w:type="dxa"/>
            <w:gridSpan w:val="5"/>
          </w:tcPr>
          <w:p w14:paraId="3F11F725" w14:textId="77777777" w:rsidR="00D52A47" w:rsidRDefault="00D52A47" w:rsidP="00356EB3">
            <w:pPr>
              <w:keepNext/>
              <w:spacing w:line="480" w:lineRule="auto"/>
              <w:jc w:val="center"/>
            </w:pPr>
            <w:r>
              <w:t>What injuries did each injured person receive?</w:t>
            </w:r>
          </w:p>
        </w:tc>
      </w:tr>
      <w:tr w:rsidR="00D52A47" w14:paraId="692EC7A7" w14:textId="77777777" w:rsidTr="00356EB3">
        <w:trPr>
          <w:trHeight w:val="4844"/>
        </w:trPr>
        <w:tc>
          <w:tcPr>
            <w:tcW w:w="3255" w:type="dxa"/>
          </w:tcPr>
          <w:p w14:paraId="3A577D11" w14:textId="77777777" w:rsidR="00D52A47" w:rsidRDefault="00D52A47" w:rsidP="00356EB3">
            <w:pPr>
              <w:spacing w:line="480" w:lineRule="auto"/>
            </w:pPr>
            <w:r w:rsidRPr="001F5DBC">
              <w:t>number_of_injured_body_</w:t>
            </w:r>
          </w:p>
          <w:p w14:paraId="4965BF81" w14:textId="77777777" w:rsidR="00D52A47" w:rsidRDefault="00D52A47" w:rsidP="00356EB3">
            <w:pPr>
              <w:spacing w:line="480" w:lineRule="auto"/>
            </w:pPr>
            <w:r w:rsidRPr="001F5DBC">
              <w:t>regions_distribution</w:t>
            </w:r>
          </w:p>
        </w:tc>
        <w:tc>
          <w:tcPr>
            <w:tcW w:w="1702" w:type="dxa"/>
          </w:tcPr>
          <w:p w14:paraId="5F7098E5" w14:textId="77777777" w:rsidR="00D52A47" w:rsidRDefault="00D52A47" w:rsidP="00356EB3">
            <w:pPr>
              <w:spacing w:line="480" w:lineRule="auto"/>
            </w:pPr>
            <w:r>
              <w:t>The distribution used to assign the number of injured body regions for each injured person</w:t>
            </w:r>
          </w:p>
        </w:tc>
        <w:tc>
          <w:tcPr>
            <w:tcW w:w="2587" w:type="dxa"/>
            <w:gridSpan w:val="2"/>
          </w:tcPr>
          <w:p w14:paraId="7DA66BA5" w14:textId="77777777" w:rsidR="00D52A47" w:rsidRDefault="00D52A47" w:rsidP="00356EB3">
            <w:pPr>
              <w:spacing w:line="480" w:lineRule="auto"/>
            </w:pPr>
            <w:r>
              <w:t xml:space="preserve">Run-specific, see </w:t>
            </w:r>
            <w:r>
              <w:fldChar w:fldCharType="begin"/>
            </w:r>
            <w:r>
              <w:instrText xml:space="preserve"> REF _Ref100156561 \h  \* MERGEFORMAT </w:instrText>
            </w:r>
            <w:r>
              <w:fldChar w:fldCharType="separate"/>
            </w:r>
            <w:r>
              <w:t xml:space="preserve">Table A </w:t>
            </w:r>
            <w:r>
              <w:rPr>
                <w:noProof/>
              </w:rPr>
              <w:t>4</w:t>
            </w:r>
            <w:r>
              <w:fldChar w:fldCharType="end"/>
            </w:r>
            <w:r>
              <w:t>.</w:t>
            </w:r>
          </w:p>
        </w:tc>
        <w:tc>
          <w:tcPr>
            <w:tcW w:w="1472" w:type="dxa"/>
          </w:tcPr>
          <w:p w14:paraId="747C8CB4" w14:textId="77777777" w:rsidR="00D52A47" w:rsidRDefault="00D52A47" w:rsidP="00356EB3">
            <w:pPr>
              <w:keepNext/>
              <w:spacing w:line="480" w:lineRule="auto"/>
            </w:pPr>
            <w:r>
              <w:t xml:space="preserve">Distributions calibrated to the results of </w:t>
            </w:r>
            <w:r>
              <w:fldChar w:fldCharType="begin" w:fldLock="1"/>
            </w:r>
            <w:r>
              <w:instrText>ADDIN CSL_CITATION {"citationItems":[{"id":"ITEM-1","itemData":{"DOI":"10.1177/0049475518790893","ISBN":"0049-4755","author":[{"dropping-particle":"","family":"Sundet","given":"Mads","non-dropping-particle":"","parse-names":false,"suffix":""},{"dropping-particle":"","family":"Grudziak","given":"Joanna","non-dropping-particle":"","parse-names":false,"suffix":""},{"dropping-particle":"","family":"Charles","given":"Anthony","non-dropping-particle":"","parse-names":false,"suffix":""},{"dropping-particle":"","family":"Banza","given":"Leonard","non-dropping-particle":"","parse-names":false,"suffix":""},{"dropping-particle":"","family":"Varela","given":"Carlos","non-dropping-particle":"","parse-names":false,"suffix":""},{"dropping-particle":"","family":"Young","given":"Sven","non-dropping-particle":"","parse-names":false,"suffix":""}],"container-title":"Tropical Doctor","id":"ITEM-1","issue":"4","issued":{"date-parts":[["2018"]]},"page":"316-322","title":"Paediatric road traffic injuries in Lilongwe, Malawi: an analysis of 4776 consecutive cases","type":"article-journal","volume":"48"},"uris":["http://www.mendeley.com/documents/?uuid=c4169534-b506-40ee-8439-25c7b18479f8"]}],"mendeley":{"formattedCitation":"(Sundet et al. 2018)","plainTextFormattedCitation":"(Sundet et al. 2018)","previouslyFormattedCitation":"(Sundet et al. 2018)"},"properties":{"noteIndex":0},"schema":"https://github.com/citation-style-language/schema/raw/master/csl-citation.json"}</w:instrText>
            </w:r>
            <w:r>
              <w:fldChar w:fldCharType="separate"/>
            </w:r>
            <w:r w:rsidRPr="00B14226">
              <w:rPr>
                <w:noProof/>
              </w:rPr>
              <w:t>(Sundet et al. 2018)</w:t>
            </w:r>
            <w:r>
              <w:fldChar w:fldCharType="end"/>
            </w:r>
          </w:p>
        </w:tc>
      </w:tr>
      <w:tr w:rsidR="00D52A47" w14:paraId="723C0A44" w14:textId="77777777" w:rsidTr="00356EB3">
        <w:trPr>
          <w:trHeight w:val="535"/>
        </w:trPr>
        <w:tc>
          <w:tcPr>
            <w:tcW w:w="3255" w:type="dxa"/>
            <w:vMerge w:val="restart"/>
          </w:tcPr>
          <w:p w14:paraId="42AE5205" w14:textId="77777777" w:rsidR="00D52A47" w:rsidRDefault="00D52A47" w:rsidP="00356EB3">
            <w:pPr>
              <w:keepNext/>
              <w:spacing w:line="480" w:lineRule="auto"/>
            </w:pPr>
            <w:r w:rsidRPr="001F5DBC">
              <w:lastRenderedPageBreak/>
              <w:t>injury_location_distribution</w:t>
            </w:r>
          </w:p>
        </w:tc>
        <w:tc>
          <w:tcPr>
            <w:tcW w:w="1702" w:type="dxa"/>
            <w:vMerge w:val="restart"/>
          </w:tcPr>
          <w:p w14:paraId="348D696D" w14:textId="77777777" w:rsidR="00D52A47" w:rsidRDefault="00D52A47" w:rsidP="00356EB3">
            <w:pPr>
              <w:keepNext/>
              <w:spacing w:line="480" w:lineRule="auto"/>
            </w:pPr>
            <w:r>
              <w:t>The distribution used to assign the anatomic location of the person’s injuries</w:t>
            </w:r>
          </w:p>
        </w:tc>
        <w:tc>
          <w:tcPr>
            <w:tcW w:w="1445" w:type="dxa"/>
          </w:tcPr>
          <w:p w14:paraId="30124BBF" w14:textId="77777777" w:rsidR="00D52A47" w:rsidRPr="00A37F94" w:rsidRDefault="00D52A47" w:rsidP="00356EB3">
            <w:pPr>
              <w:keepNext/>
              <w:spacing w:line="480" w:lineRule="auto"/>
              <w:rPr>
                <w:sz w:val="16"/>
                <w:szCs w:val="16"/>
              </w:rPr>
            </w:pPr>
            <w:r w:rsidRPr="00A37F94">
              <w:rPr>
                <w:sz w:val="16"/>
                <w:szCs w:val="16"/>
              </w:rPr>
              <w:t>Location</w:t>
            </w:r>
          </w:p>
        </w:tc>
        <w:tc>
          <w:tcPr>
            <w:tcW w:w="1142" w:type="dxa"/>
          </w:tcPr>
          <w:p w14:paraId="48F0AD5C" w14:textId="77777777" w:rsidR="00D52A47" w:rsidRPr="00A37F94" w:rsidRDefault="00D52A47" w:rsidP="00356EB3">
            <w:pPr>
              <w:keepNext/>
              <w:spacing w:line="480" w:lineRule="auto"/>
              <w:rPr>
                <w:sz w:val="16"/>
                <w:szCs w:val="16"/>
              </w:rPr>
            </w:pPr>
            <w:r w:rsidRPr="00A37F94">
              <w:rPr>
                <w:sz w:val="16"/>
                <w:szCs w:val="16"/>
              </w:rPr>
              <w:t>Probability</w:t>
            </w:r>
          </w:p>
        </w:tc>
        <w:tc>
          <w:tcPr>
            <w:tcW w:w="1472" w:type="dxa"/>
            <w:vMerge w:val="restart"/>
          </w:tcPr>
          <w:p w14:paraId="54378D7E" w14:textId="77777777" w:rsidR="00D52A47" w:rsidRDefault="00D52A47" w:rsidP="00356EB3">
            <w:pPr>
              <w:keepNext/>
              <w:spacing w:line="480" w:lineRule="auto"/>
            </w:pPr>
            <w:r>
              <w:fldChar w:fldCharType="begin" w:fldLock="1"/>
            </w:r>
            <w:r>
              <w:instrText>ADDIN CSL_CITATION {"citationItems":[{"id":"ITEM-1","itemData":{"DOI":"10.9790/0853-14537175","abstract":"Objective: In order to improve road safety performance, injury details are an important part of injury prevention.. Methods This was a one year prospective study in which consecutive road crash victims presenting in the Emergency Department were recruited for the study. Results A total of 160 road traffic crash victims presented in the period of the study. Thirty did not give their consent for the study and discharged against medical advice. Twelve were brought in dead. Only 118 patients were eventually enrolled for the study. Eighty-five (72%) were males and 33 (28%) were females. The lower limb in the musculoskeletal region was most frequently injured in all groups. Pedestrians had the highest median ISS and NISS scores; 16 (Interquartile Range (IQR), 7) and 16 (IQR, 15) respectively, while those injured on motorcycles had the lowest median ISS and NISS scores 9 (IQR, 11) and 9 (IQR, 13) respectively. Motorcycle occupants, 4-wheeled vehicle occupants and pedestrians with ISS score &gt; 15 were 15 (24%), 12 (29%) and 10 (69%) respectively. Crude mortality rate for road traffic injured patients presenting in the Hospital was 9%. Conclusion; Pedestrians are at greatest risk of severe injury and polytrauma in the event of a road traffic crash. Keywords: injury pattern, road user category, injury severity score, abbreviated injury scale, revised trauma score.","author":[{"dropping-particle":"","family":"Ranti","given":"Babalola O","non-dropping-particle":"","parse-names":false,"suffix":""},{"dropping-particle":"","family":"Saheed","given":"Yakub","non-dropping-particle":"","parse-names":false,"suffix":""},{"dropping-particle":"","family":"Adebayo","given":"Olakulehin O","non-dropping-particle":"","parse-names":false,"suffix":""},{"dropping-particle":"","family":"Kehinde","given":"Oluwadiya","non-dropping-particle":"","parse-names":false,"suffix":""}],"container-title":"IOSR Journal of Dental and Medical Sciences (IOSR-JDMS) e-ISSN","id":"ITEM-1","issue":"5","issued":{"date-parts":[["2015"]]},"page":"71-75","title":"Injury Pattern among Patients with Road Traffic Crash Presenting At a Tertiary Health Facility","type":"article-journal","volume":"14"},"uris":["http://www.mendeley.com/documents/?uuid=ada4ac4a-519e-33a8-9120-d6e2e47b617b"]},{"id":"ITEM-2","itemData":{"DOI":"10.1016/j.injury.2004.03.013","ISSN":"00201383","abstract":"Background: Trauma in Africa is an increasingly significant problem. The aims of this study were to document the epidemiology and clinical management of trauma in a rural Kenyan hospital and from this to highlight important areas for the medical training of doctors managing trauma in similar situations. Methods: Prospective audit of 202 consecutive trauma patients admitted to Kijabe Hospital. Results: The mean patient age was 31, 77% were males. The median Injury Severity Score (ISS) was nine. The median distance to hospital was 60 km, with a 9 h delay in presentation. Injury mechanisms included road traffic accidents 52%, fall 22%, assaults 13% and burns 6%. The main injuries were limb fractures, soft tissue injuries, head injury and haemo/pneumothorax. Common interventions included fracture management, wound debridement, chest drain insertion, blood transfusion and skin grafting. The overall mortality rate was 3.5%. Conclusion: With appropriate resources and training, good trauma outcomes are possible. The importance of access to hospital care and orthopaedic training are highlighted. © 2004 Elsevier Ltd. All rights reserved.","author":[{"dropping-particle":"","family":"Otieno","given":"Tobias","non-dropping-particle":"","parse-names":false,"suffix":""},{"dropping-particle":"","family":"Woodfield","given":"John C.","non-dropping-particle":"","parse-names":false,"suffix":""},{"dropping-particle":"","family":"Bird","given":"Peter","non-dropping-particle":"","parse-names":false,"suffix":""},{"dropping-particle":"","family":"Hill","given":"Andrew G.","non-dropping-particle":"","parse-names":false,"suffix":""}],"container-title":"Injury","id":"ITEM-2","issue":"12","issued":{"date-parts":[["2004","12"]]},"page":"1228-1233","title":"Trauma in rural Kenya","type":"article-journal","volume":"35"},"uris":["http://www.mendeley.com/documents/?uuid=1f5f7550-5342-3b08-982d-78a83dd3590d"]}],"mendeley":{"formattedCitation":"(Ranti et al. 2015; Otieno et al. 2004)","plainTextFormattedCitation":"(Ranti et al. 2015; Otieno et al. 2004)","previouslyFormattedCitation":"(Ranti et al. 2015; Otieno et al. 2004)"},"properties":{"noteIndex":0},"schema":"https://github.com/citation-style-language/schema/raw/master/csl-citation.json"}</w:instrText>
            </w:r>
            <w:r>
              <w:fldChar w:fldCharType="separate"/>
            </w:r>
            <w:r w:rsidRPr="00AD178E">
              <w:rPr>
                <w:noProof/>
              </w:rPr>
              <w:t>(Ranti et al. 2015; Otieno et al. 2004)</w:t>
            </w:r>
            <w:r>
              <w:fldChar w:fldCharType="end"/>
            </w:r>
          </w:p>
        </w:tc>
      </w:tr>
      <w:tr w:rsidR="00D52A47" w14:paraId="612CCE32" w14:textId="77777777" w:rsidTr="00356EB3">
        <w:trPr>
          <w:trHeight w:val="535"/>
        </w:trPr>
        <w:tc>
          <w:tcPr>
            <w:tcW w:w="3255" w:type="dxa"/>
            <w:vMerge/>
          </w:tcPr>
          <w:p w14:paraId="0462B756" w14:textId="77777777" w:rsidR="00D52A47" w:rsidRPr="001F5DBC" w:rsidRDefault="00D52A47" w:rsidP="00356EB3">
            <w:pPr>
              <w:keepNext/>
              <w:spacing w:line="480" w:lineRule="auto"/>
            </w:pPr>
          </w:p>
        </w:tc>
        <w:tc>
          <w:tcPr>
            <w:tcW w:w="1702" w:type="dxa"/>
            <w:vMerge/>
          </w:tcPr>
          <w:p w14:paraId="5A200F9E" w14:textId="77777777" w:rsidR="00D52A47" w:rsidRDefault="00D52A47" w:rsidP="00356EB3">
            <w:pPr>
              <w:keepNext/>
              <w:spacing w:line="480" w:lineRule="auto"/>
            </w:pPr>
          </w:p>
        </w:tc>
        <w:tc>
          <w:tcPr>
            <w:tcW w:w="1445" w:type="dxa"/>
          </w:tcPr>
          <w:p w14:paraId="1B041524" w14:textId="77777777" w:rsidR="00D52A47" w:rsidRPr="00A37F94" w:rsidRDefault="00D52A47" w:rsidP="00356EB3">
            <w:pPr>
              <w:keepNext/>
              <w:spacing w:line="480" w:lineRule="auto"/>
              <w:rPr>
                <w:sz w:val="16"/>
                <w:szCs w:val="16"/>
              </w:rPr>
            </w:pPr>
            <w:r w:rsidRPr="00A37F94">
              <w:rPr>
                <w:sz w:val="16"/>
                <w:szCs w:val="16"/>
              </w:rPr>
              <w:t>Head</w:t>
            </w:r>
          </w:p>
          <w:p w14:paraId="06ABB968" w14:textId="77777777" w:rsidR="00D52A47" w:rsidRPr="00A37F94" w:rsidRDefault="00D52A47" w:rsidP="00356EB3">
            <w:pPr>
              <w:keepNext/>
              <w:spacing w:line="480" w:lineRule="auto"/>
              <w:rPr>
                <w:sz w:val="16"/>
                <w:szCs w:val="16"/>
              </w:rPr>
            </w:pPr>
            <w:r w:rsidRPr="00A37F94">
              <w:rPr>
                <w:sz w:val="16"/>
                <w:szCs w:val="16"/>
              </w:rPr>
              <w:t>Face</w:t>
            </w:r>
          </w:p>
          <w:p w14:paraId="04F48E85" w14:textId="77777777" w:rsidR="00D52A47" w:rsidRPr="00A37F94" w:rsidRDefault="00D52A47" w:rsidP="00356EB3">
            <w:pPr>
              <w:keepNext/>
              <w:spacing w:line="480" w:lineRule="auto"/>
              <w:rPr>
                <w:sz w:val="16"/>
                <w:szCs w:val="16"/>
              </w:rPr>
            </w:pPr>
            <w:r w:rsidRPr="00A37F94">
              <w:rPr>
                <w:sz w:val="16"/>
                <w:szCs w:val="16"/>
              </w:rPr>
              <w:t>Neck</w:t>
            </w:r>
          </w:p>
          <w:p w14:paraId="350C3F96" w14:textId="77777777" w:rsidR="00D52A47" w:rsidRPr="00A37F94" w:rsidRDefault="00D52A47" w:rsidP="00356EB3">
            <w:pPr>
              <w:keepNext/>
              <w:spacing w:line="480" w:lineRule="auto"/>
              <w:rPr>
                <w:sz w:val="16"/>
                <w:szCs w:val="16"/>
              </w:rPr>
            </w:pPr>
            <w:r w:rsidRPr="00A37F94">
              <w:rPr>
                <w:sz w:val="16"/>
                <w:szCs w:val="16"/>
              </w:rPr>
              <w:t>Thorax</w:t>
            </w:r>
          </w:p>
          <w:p w14:paraId="31F02AF8" w14:textId="77777777" w:rsidR="00D52A47" w:rsidRPr="00A37F94" w:rsidRDefault="00D52A47" w:rsidP="00356EB3">
            <w:pPr>
              <w:keepNext/>
              <w:spacing w:line="480" w:lineRule="auto"/>
              <w:rPr>
                <w:sz w:val="16"/>
                <w:szCs w:val="16"/>
              </w:rPr>
            </w:pPr>
            <w:r w:rsidRPr="00A37F94">
              <w:rPr>
                <w:sz w:val="16"/>
                <w:szCs w:val="16"/>
              </w:rPr>
              <w:t>Abdomen</w:t>
            </w:r>
          </w:p>
          <w:p w14:paraId="65AD3EE3" w14:textId="77777777" w:rsidR="00D52A47" w:rsidRPr="00A37F94" w:rsidRDefault="00D52A47" w:rsidP="00356EB3">
            <w:pPr>
              <w:keepNext/>
              <w:spacing w:line="480" w:lineRule="auto"/>
              <w:rPr>
                <w:sz w:val="16"/>
                <w:szCs w:val="16"/>
              </w:rPr>
            </w:pPr>
            <w:r w:rsidRPr="00A37F94">
              <w:rPr>
                <w:sz w:val="16"/>
                <w:szCs w:val="16"/>
              </w:rPr>
              <w:t>Spine</w:t>
            </w:r>
          </w:p>
          <w:p w14:paraId="42527FA7" w14:textId="77777777" w:rsidR="00D52A47" w:rsidRPr="00A37F94" w:rsidRDefault="00D52A47" w:rsidP="00356EB3">
            <w:pPr>
              <w:keepNext/>
              <w:spacing w:line="480" w:lineRule="auto"/>
              <w:rPr>
                <w:sz w:val="16"/>
                <w:szCs w:val="16"/>
              </w:rPr>
            </w:pPr>
            <w:r w:rsidRPr="00A37F94">
              <w:rPr>
                <w:sz w:val="16"/>
                <w:szCs w:val="16"/>
              </w:rPr>
              <w:t>Upper Extremity</w:t>
            </w:r>
          </w:p>
          <w:p w14:paraId="71F806CD" w14:textId="77777777" w:rsidR="00D52A47" w:rsidRPr="00A37F94" w:rsidRDefault="00D52A47" w:rsidP="00356EB3">
            <w:pPr>
              <w:keepNext/>
              <w:spacing w:line="480" w:lineRule="auto"/>
              <w:rPr>
                <w:sz w:val="16"/>
                <w:szCs w:val="16"/>
              </w:rPr>
            </w:pPr>
            <w:r w:rsidRPr="00A37F94">
              <w:rPr>
                <w:sz w:val="16"/>
                <w:szCs w:val="16"/>
              </w:rPr>
              <w:t>Lower Extremity</w:t>
            </w:r>
          </w:p>
        </w:tc>
        <w:tc>
          <w:tcPr>
            <w:tcW w:w="1142" w:type="dxa"/>
          </w:tcPr>
          <w:p w14:paraId="5329DE35" w14:textId="77777777" w:rsidR="00D52A47" w:rsidRPr="00A37F94" w:rsidRDefault="00D52A47" w:rsidP="00356EB3">
            <w:pPr>
              <w:keepNext/>
              <w:spacing w:line="480" w:lineRule="auto"/>
              <w:rPr>
                <w:sz w:val="16"/>
                <w:szCs w:val="16"/>
              </w:rPr>
            </w:pPr>
            <w:r w:rsidRPr="00A37F94">
              <w:rPr>
                <w:sz w:val="16"/>
                <w:szCs w:val="16"/>
              </w:rPr>
              <w:t>14.38</w:t>
            </w:r>
          </w:p>
          <w:p w14:paraId="083E7B49" w14:textId="77777777" w:rsidR="00D52A47" w:rsidRPr="00A37F94" w:rsidRDefault="00D52A47" w:rsidP="00356EB3">
            <w:pPr>
              <w:keepNext/>
              <w:spacing w:line="480" w:lineRule="auto"/>
              <w:rPr>
                <w:sz w:val="16"/>
                <w:szCs w:val="16"/>
              </w:rPr>
            </w:pPr>
            <w:r w:rsidRPr="00A37F94">
              <w:rPr>
                <w:sz w:val="16"/>
                <w:szCs w:val="16"/>
              </w:rPr>
              <w:t>13.25</w:t>
            </w:r>
          </w:p>
          <w:p w14:paraId="600C65CD" w14:textId="77777777" w:rsidR="00D52A47" w:rsidRPr="00A37F94" w:rsidRDefault="00D52A47" w:rsidP="00356EB3">
            <w:pPr>
              <w:keepNext/>
              <w:spacing w:line="480" w:lineRule="auto"/>
              <w:rPr>
                <w:sz w:val="16"/>
                <w:szCs w:val="16"/>
              </w:rPr>
            </w:pPr>
            <w:r w:rsidRPr="00A37F94">
              <w:rPr>
                <w:sz w:val="16"/>
                <w:szCs w:val="16"/>
              </w:rPr>
              <w:t>2.1</w:t>
            </w:r>
          </w:p>
          <w:p w14:paraId="56AA51D9" w14:textId="77777777" w:rsidR="00D52A47" w:rsidRPr="00A37F94" w:rsidRDefault="00D52A47" w:rsidP="00356EB3">
            <w:pPr>
              <w:keepNext/>
              <w:spacing w:line="480" w:lineRule="auto"/>
              <w:rPr>
                <w:sz w:val="16"/>
                <w:szCs w:val="16"/>
              </w:rPr>
            </w:pPr>
            <w:r w:rsidRPr="00A37F94">
              <w:rPr>
                <w:sz w:val="16"/>
                <w:szCs w:val="16"/>
              </w:rPr>
              <w:t>9.45</w:t>
            </w:r>
          </w:p>
          <w:p w14:paraId="5F12CCA5" w14:textId="77777777" w:rsidR="00D52A47" w:rsidRPr="00A37F94" w:rsidRDefault="00D52A47" w:rsidP="00356EB3">
            <w:pPr>
              <w:keepNext/>
              <w:spacing w:line="480" w:lineRule="auto"/>
              <w:rPr>
                <w:sz w:val="16"/>
                <w:szCs w:val="16"/>
              </w:rPr>
            </w:pPr>
            <w:r w:rsidRPr="00A37F94">
              <w:rPr>
                <w:sz w:val="16"/>
                <w:szCs w:val="16"/>
              </w:rPr>
              <w:t>6.12</w:t>
            </w:r>
          </w:p>
          <w:p w14:paraId="6F41B579" w14:textId="77777777" w:rsidR="00D52A47" w:rsidRPr="00A37F94" w:rsidRDefault="00D52A47" w:rsidP="00356EB3">
            <w:pPr>
              <w:keepNext/>
              <w:spacing w:line="480" w:lineRule="auto"/>
              <w:rPr>
                <w:sz w:val="16"/>
                <w:szCs w:val="16"/>
              </w:rPr>
            </w:pPr>
            <w:r w:rsidRPr="00A37F94">
              <w:rPr>
                <w:sz w:val="16"/>
                <w:szCs w:val="16"/>
              </w:rPr>
              <w:t>1.55</w:t>
            </w:r>
          </w:p>
          <w:p w14:paraId="46DBD380" w14:textId="77777777" w:rsidR="00D52A47" w:rsidRPr="00A37F94" w:rsidRDefault="00D52A47" w:rsidP="00356EB3">
            <w:pPr>
              <w:keepNext/>
              <w:spacing w:line="480" w:lineRule="auto"/>
              <w:rPr>
                <w:sz w:val="16"/>
                <w:szCs w:val="16"/>
              </w:rPr>
            </w:pPr>
            <w:r w:rsidRPr="00A37F94">
              <w:rPr>
                <w:sz w:val="16"/>
                <w:szCs w:val="16"/>
              </w:rPr>
              <w:t>16.85</w:t>
            </w:r>
          </w:p>
          <w:p w14:paraId="7A4DA8BE" w14:textId="77777777" w:rsidR="00D52A47" w:rsidRPr="00A37F94" w:rsidRDefault="00D52A47" w:rsidP="00356EB3">
            <w:pPr>
              <w:keepNext/>
              <w:spacing w:line="480" w:lineRule="auto"/>
              <w:rPr>
                <w:sz w:val="16"/>
                <w:szCs w:val="16"/>
              </w:rPr>
            </w:pPr>
          </w:p>
          <w:p w14:paraId="104F79A9" w14:textId="77777777" w:rsidR="00D52A47" w:rsidRPr="00A37F94" w:rsidRDefault="00D52A47" w:rsidP="00356EB3">
            <w:pPr>
              <w:keepNext/>
              <w:spacing w:line="480" w:lineRule="auto"/>
              <w:rPr>
                <w:sz w:val="16"/>
                <w:szCs w:val="16"/>
              </w:rPr>
            </w:pPr>
            <w:r w:rsidRPr="00A37F94">
              <w:rPr>
                <w:sz w:val="16"/>
                <w:szCs w:val="16"/>
              </w:rPr>
              <w:t>36.3</w:t>
            </w:r>
          </w:p>
        </w:tc>
        <w:tc>
          <w:tcPr>
            <w:tcW w:w="1472" w:type="dxa"/>
            <w:vMerge/>
          </w:tcPr>
          <w:p w14:paraId="53FB0CF4" w14:textId="77777777" w:rsidR="00D52A47" w:rsidRDefault="00D52A47" w:rsidP="00356EB3">
            <w:pPr>
              <w:keepNext/>
              <w:spacing w:line="480" w:lineRule="auto"/>
            </w:pPr>
          </w:p>
        </w:tc>
      </w:tr>
      <w:tr w:rsidR="00D52A47" w14:paraId="7950F43C" w14:textId="77777777" w:rsidTr="00356EB3">
        <w:tc>
          <w:tcPr>
            <w:tcW w:w="3255" w:type="dxa"/>
            <w:vAlign w:val="bottom"/>
          </w:tcPr>
          <w:p w14:paraId="0EEF410A" w14:textId="77777777" w:rsidR="00D52A47" w:rsidRPr="0008524E" w:rsidRDefault="00D52A47" w:rsidP="00356EB3">
            <w:pPr>
              <w:keepNext/>
              <w:spacing w:line="480" w:lineRule="auto"/>
              <w:jc w:val="center"/>
            </w:pPr>
            <w:r>
              <w:rPr>
                <w:rFonts w:ascii="Calibri" w:hAnsi="Calibri" w:cs="Calibri"/>
                <w:color w:val="000000"/>
              </w:rPr>
              <w:t>head_prob_112</w:t>
            </w:r>
          </w:p>
        </w:tc>
        <w:tc>
          <w:tcPr>
            <w:tcW w:w="1702" w:type="dxa"/>
          </w:tcPr>
          <w:p w14:paraId="0B9ECD31" w14:textId="77777777" w:rsidR="00D52A47" w:rsidRDefault="00D52A47" w:rsidP="00356EB3">
            <w:pPr>
              <w:keepNext/>
              <w:spacing w:line="480" w:lineRule="auto"/>
              <w:jc w:val="center"/>
            </w:pPr>
            <w:r>
              <w:t>Probability of an unspecified skull fracture</w:t>
            </w:r>
          </w:p>
        </w:tc>
        <w:tc>
          <w:tcPr>
            <w:tcW w:w="2587" w:type="dxa"/>
            <w:gridSpan w:val="2"/>
            <w:vAlign w:val="bottom"/>
          </w:tcPr>
          <w:p w14:paraId="663278E3" w14:textId="77777777" w:rsidR="00D52A47" w:rsidRPr="0008524E" w:rsidRDefault="00D52A47" w:rsidP="00356EB3">
            <w:pPr>
              <w:keepNext/>
              <w:spacing w:line="480" w:lineRule="auto"/>
              <w:jc w:val="center"/>
            </w:pPr>
            <w:r>
              <w:rPr>
                <w:rFonts w:ascii="Calibri" w:hAnsi="Calibri" w:cs="Calibri"/>
                <w:color w:val="000000"/>
              </w:rPr>
              <w:t>0.0455</w:t>
            </w:r>
          </w:p>
        </w:tc>
        <w:tc>
          <w:tcPr>
            <w:tcW w:w="1472" w:type="dxa"/>
          </w:tcPr>
          <w:p w14:paraId="39547D20" w14:textId="77777777" w:rsidR="00D52A47" w:rsidRPr="0008524E" w:rsidRDefault="00D52A47" w:rsidP="00356EB3">
            <w:pPr>
              <w:keepNext/>
              <w:spacing w:line="480" w:lineRule="auto"/>
              <w:jc w:val="center"/>
            </w:pPr>
            <w:r>
              <w:fldChar w:fldCharType="begin" w:fldLock="1"/>
            </w:r>
            <w:r>
              <w:instrText>ADDIN CSL_CITATION {"citationItems":[{"id":"ITEM-1","itemData":{"DOI":"10.1016/j.wneu.2017.09.084","ISSN":"18788769","abstract":"Background Trauma accounts for 4.7 million deaths each year, with an estimated 90% of these occurring in low- and middle-income countries (LMICs). Approximately half of trauma-related deaths are caused by central nervous system injury. Because a thorough understanding of traumatic brain injury (TBI) in LMICs is essential to mitigate TBI-related mortality, we established a clinical and radiographic database to characterize TBI in our low-income setting. Methods This is a review of prospectively collected data from Kamuzu Central Hospital, a tertiary care center in the capital of Malawi. All patients admitted from October 2016 through May 2017 with a history of head trauma, altered consciousness, and/or radiographic evidence TBI were included. We performed descriptive statistics, a Cox regression analysis, and a survival analysis. Results There were 280 patients who met inclusion criteria; of these, 80.5% were men. The mean age was 28.8 ± 16.3 years. Median Glasgow Coma Scale (GCS) score was 12 (interquartile range, 8–15). Road traffic crashes constituted the most common injury mechanism (60.7%). There were 148 (52.3%) patients who received a computed tomography scan, with the most common findings being contusions (26.1%). Of the patients, 88 (33.0%) had severe TBI, defined as a GCS score ≤8, of whom 27.6% were intubated and 10.3% received tracheostomies. Overall mortality was 30.9%. Of patients who survived, 80.1% made a good recovery. Female sex was protective, and the only significant predictor of poor functional outcome was presence of severe TBI (hazard ratio, 2.98; 95% confidence interval, 1.79–4.95). Conclusions TBI represents a significant part of the global neurosurgical burden of disease. Implementation of proven in-hospital interventions for these patients is critical to attenuate TBI-related morbidity and mortality.","author":[{"dropping-particle":"","family":"Eaton","given":"Jessica","non-dropping-particle":"","parse-names":false,"suffix":""},{"dropping-particle":"","family":"Hanif","given":"Asma Bilal","non-dropping-particle":"","parse-names":false,"suffix":""},{"dropping-particle":"","family":"Grudziak","given":"Joanna","non-dropping-particle":"","parse-names":false,"suffix":""},{"dropping-particle":"","family":"Charles","given":"Anthony","non-dropping-particle":"","parse-names":false,"suffix":""}],"container-title":"World Neurosurgery","id":"ITEM-1","issued":{"date-parts":[["2017","12","1"]]},"page":"650-655","publisher":"Elsevier Inc.","title":"Epidemiology, Management, and Functional Outcomes of Traumatic Brain Injury in Sub-Saharan Africa","type":"article-journal","volume":"108"},"uris":["http://www.mendeley.com/documents/?uuid=6a43943e-a11d-432e-b357-ccf32a4ba38e"]},{"id":"ITEM-2","itemData":{"ISSN":"15710661","abstract":"The cost of deploying a ubiquitous system to enhance a physical environment is likely to be considerable. The success of its deployment is highly dependent on its context: the physical environment and the activities that are to be carried out within it. This paper provides an initial exploration of whether stochastic process algebras (in particular PEPA with a Fluid Flow semantics) might be used to explore consequences before deployment. The focus of the exploration is to aid understanding of how a proposed system supports users within the environment. The challenge is to provide notations and techniques that will enable the analysis of potentially complex systems.","author":[{"dropping-particle":"","family":"Global Health Data","given":"","non-dropping-particle":"","parse-names":false,"suffix":""}],"container-title":"Institue for Health Metrics and Evaluation","id":"ITEM-2","issued":{"date-parts":[["2017"]]},"title":"GBD Results Tool | GHDx","type":"article-journal"},"uris":["http://www.mendeley.com/documents/?uuid=332eefb7-f956-486f-a7e0-95858fee8e38"]}],"mendeley":{"formattedCitation":"(Eaton et al. 2017; Global Health Data 2017)","plainTextFormattedCitation":"(Eaton et al. 2017; Global Health Data 2017)","previouslyFormattedCitation":"(Eaton et al. 2017; Global Health Data 2017)"},"properties":{"noteIndex":0},"schema":"https://github.com/citation-style-language/schema/raw/master/csl-citation.json"}</w:instrText>
            </w:r>
            <w:r>
              <w:fldChar w:fldCharType="separate"/>
            </w:r>
            <w:r w:rsidRPr="005B56EB">
              <w:rPr>
                <w:noProof/>
              </w:rPr>
              <w:t>(Eaton et al. 2017; Global Health Data 2017)</w:t>
            </w:r>
            <w:r>
              <w:fldChar w:fldCharType="end"/>
            </w:r>
          </w:p>
        </w:tc>
      </w:tr>
      <w:tr w:rsidR="00D52A47" w14:paraId="441843EB" w14:textId="77777777" w:rsidTr="00356EB3">
        <w:tc>
          <w:tcPr>
            <w:tcW w:w="3255" w:type="dxa"/>
            <w:vAlign w:val="bottom"/>
          </w:tcPr>
          <w:p w14:paraId="31B6AA2B" w14:textId="77777777" w:rsidR="00D52A47" w:rsidRPr="0008524E" w:rsidRDefault="00D52A47" w:rsidP="00356EB3">
            <w:pPr>
              <w:keepNext/>
              <w:spacing w:line="480" w:lineRule="auto"/>
              <w:jc w:val="center"/>
            </w:pPr>
            <w:r>
              <w:rPr>
                <w:rFonts w:ascii="Calibri" w:hAnsi="Calibri" w:cs="Calibri"/>
                <w:color w:val="000000"/>
              </w:rPr>
              <w:t>head_prob_113</w:t>
            </w:r>
          </w:p>
        </w:tc>
        <w:tc>
          <w:tcPr>
            <w:tcW w:w="1702" w:type="dxa"/>
          </w:tcPr>
          <w:p w14:paraId="47AAFD93" w14:textId="77777777" w:rsidR="00D52A47" w:rsidRDefault="00D52A47" w:rsidP="00356EB3">
            <w:pPr>
              <w:keepNext/>
              <w:spacing w:line="480" w:lineRule="auto"/>
              <w:jc w:val="center"/>
            </w:pPr>
            <w:r>
              <w:t>Probability of a basilar skull fracture</w:t>
            </w:r>
          </w:p>
        </w:tc>
        <w:tc>
          <w:tcPr>
            <w:tcW w:w="2587" w:type="dxa"/>
            <w:gridSpan w:val="2"/>
            <w:vAlign w:val="bottom"/>
          </w:tcPr>
          <w:p w14:paraId="05CED4F6" w14:textId="77777777" w:rsidR="00D52A47" w:rsidRPr="0008524E" w:rsidRDefault="00D52A47" w:rsidP="00356EB3">
            <w:pPr>
              <w:keepNext/>
              <w:spacing w:line="480" w:lineRule="auto"/>
              <w:jc w:val="center"/>
            </w:pPr>
            <w:r>
              <w:rPr>
                <w:rFonts w:ascii="Calibri" w:hAnsi="Calibri" w:cs="Calibri"/>
                <w:color w:val="000000"/>
              </w:rPr>
              <w:t>0.0045</w:t>
            </w:r>
          </w:p>
        </w:tc>
        <w:tc>
          <w:tcPr>
            <w:tcW w:w="1472" w:type="dxa"/>
          </w:tcPr>
          <w:p w14:paraId="6ACC8BB3" w14:textId="77777777" w:rsidR="00D52A47" w:rsidRPr="0008524E" w:rsidRDefault="00D52A47" w:rsidP="00356EB3">
            <w:pPr>
              <w:keepNext/>
              <w:spacing w:line="480" w:lineRule="auto"/>
              <w:jc w:val="center"/>
            </w:pPr>
            <w:r>
              <w:fldChar w:fldCharType="begin" w:fldLock="1"/>
            </w:r>
            <w:r>
              <w:instrText>ADDIN CSL_CITATION {"citationItems":[{"id":"ITEM-1","itemData":{"DOI":"10.1016/j.wneu.2017.09.084","ISSN":"18788769","abstract":"Background Trauma accounts for 4.7 million deaths each year, with an estimated 90% of these occurring in low- and middle-income countries (LMICs). Approximately half of trauma-related deaths are caused by central nervous system injury. Because a thorough understanding of traumatic brain injury (TBI) in LMICs is essential to mitigate TBI-related mortality, we established a clinical and radiographic database to characterize TBI in our low-income setting. Methods This is a review of prospectively collected data from Kamuzu Central Hospital, a tertiary care center in the capital of Malawi. All patients admitted from October 2016 through May 2017 with a history of head trauma, altered consciousness, and/or radiographic evidence TBI were included. We performed descriptive statistics, a Cox regression analysis, and a survival analysis. Results There were 280 patients who met inclusion criteria; of these, 80.5% were men. The mean age was 28.8 ± 16.3 years. Median Glasgow Coma Scale (GCS) score was 12 (interquartile range, 8–15). Road traffic crashes constituted the most common injury mechanism (60.7%). There were 148 (52.3%) patients who received a computed tomography scan, with the most common findings being contusions (26.1%). Of the patients, 88 (33.0%) had severe TBI, defined as a GCS score ≤8, of whom 27.6% were intubated and 10.3% received tracheostomies. Overall mortality was 30.9%. Of patients who survived, 80.1% made a good recovery. Female sex was protective, and the only significant predictor of poor functional outcome was presence of severe TBI (hazard ratio, 2.98; 95% confidence interval, 1.79–4.95). Conclusions TBI represents a significant part of the global neurosurgical burden of disease. Implementation of proven in-hospital interventions for these patients is critical to attenuate TBI-related morbidity and mortality.","author":[{"dropping-particle":"","family":"Eaton","given":"Jessica","non-dropping-particle":"","parse-names":false,"suffix":""},{"dropping-particle":"","family":"Hanif","given":"Asma Bilal","non-dropping-particle":"","parse-names":false,"suffix":""},{"dropping-particle":"","family":"Grudziak","given":"Joanna","non-dropping-particle":"","parse-names":false,"suffix":""},{"dropping-particle":"","family":"Charles","given":"Anthony","non-dropping-particle":"","parse-names":false,"suffix":""}],"container-title":"World Neurosurgery","id":"ITEM-1","issued":{"date-parts":[["2017","12","1"]]},"page":"650-655","publisher":"Elsevier Inc.","title":"Epidemiology, Management, and Functional Outcomes of Traumatic Brain Injury in Sub-Saharan Africa","type":"article-journal","volume":"108"},"uris":["http://www.mendeley.com/documents/?uuid=6a43943e-a11d-432e-b357-ccf32a4ba38e"]},{"id":"ITEM-2","itemData":{"ISSN":"15710661","abstract":"The cost of deploying a ubiquitous system to enhance a physical environment is likely to be considerable. The success of its deployment is highly dependent on its context: the physical environment and the activities that are to be carried out within it. This paper provides an initial exploration of whether stochastic process algebras (in particular PEPA with a Fluid Flow semantics) might be used to explore consequences before deployment. The focus of the exploration is to aid understanding of how a proposed system supports users within the environment. The challenge is to provide notations and techniques that will enable the analysis of potentially complex systems.","author":[{"dropping-particle":"","family":"Global Health Data","given":"","non-dropping-particle":"","parse-names":false,"suffix":""}],"container-title":"Institue for Health Metrics and Evaluation","id":"ITEM-2","issued":{"date-parts":[["2017"]]},"title":"GBD Results Tool | GHDx","type":"article-journal"},"uris":["http://www.mendeley.com/documents/?uuid=332eefb7-f956-486f-a7e0-95858fee8e38"]}],"mendeley":{"formattedCitation":"(Eaton et al. 2017; Global Health Data 2017)","plainTextFormattedCitation":"(Eaton et al. 2017; Global Health Data 2017)","previouslyFormattedCitation":"(Eaton et al. 2017; Global Health Data 2017)"},"properties":{"noteIndex":0},"schema":"https://github.com/citation-style-language/schema/raw/master/csl-citation.json"}</w:instrText>
            </w:r>
            <w:r>
              <w:fldChar w:fldCharType="separate"/>
            </w:r>
            <w:r w:rsidRPr="005B56EB">
              <w:rPr>
                <w:noProof/>
              </w:rPr>
              <w:t>(Eaton et al. 2017; Global Health Data 2017)</w:t>
            </w:r>
            <w:r>
              <w:fldChar w:fldCharType="end"/>
            </w:r>
          </w:p>
        </w:tc>
      </w:tr>
      <w:tr w:rsidR="00D52A47" w14:paraId="7BA13225" w14:textId="77777777" w:rsidTr="00356EB3">
        <w:tc>
          <w:tcPr>
            <w:tcW w:w="3255" w:type="dxa"/>
            <w:vAlign w:val="bottom"/>
          </w:tcPr>
          <w:p w14:paraId="71F26BCE" w14:textId="77777777" w:rsidR="00D52A47" w:rsidRPr="0008524E" w:rsidRDefault="00D52A47" w:rsidP="00356EB3">
            <w:pPr>
              <w:keepNext/>
              <w:spacing w:line="480" w:lineRule="auto"/>
              <w:jc w:val="center"/>
            </w:pPr>
            <w:r>
              <w:rPr>
                <w:rFonts w:ascii="Calibri" w:hAnsi="Calibri" w:cs="Calibri"/>
                <w:color w:val="000000"/>
              </w:rPr>
              <w:t>head_prob_133a</w:t>
            </w:r>
          </w:p>
        </w:tc>
        <w:tc>
          <w:tcPr>
            <w:tcW w:w="1702" w:type="dxa"/>
          </w:tcPr>
          <w:p w14:paraId="7C1EAB14" w14:textId="77777777" w:rsidR="00D52A47" w:rsidRDefault="00D52A47" w:rsidP="00356EB3">
            <w:pPr>
              <w:keepNext/>
              <w:spacing w:line="480" w:lineRule="auto"/>
              <w:jc w:val="center"/>
            </w:pPr>
            <w:r>
              <w:t>Probability of a subarachnoid hematoma</w:t>
            </w:r>
          </w:p>
        </w:tc>
        <w:tc>
          <w:tcPr>
            <w:tcW w:w="2587" w:type="dxa"/>
            <w:gridSpan w:val="2"/>
            <w:vAlign w:val="bottom"/>
          </w:tcPr>
          <w:p w14:paraId="3F96182D" w14:textId="77777777" w:rsidR="00D52A47" w:rsidRPr="0008524E" w:rsidRDefault="00D52A47" w:rsidP="00356EB3">
            <w:pPr>
              <w:keepNext/>
              <w:spacing w:line="480" w:lineRule="auto"/>
              <w:jc w:val="center"/>
            </w:pPr>
            <w:r>
              <w:rPr>
                <w:rFonts w:ascii="Calibri" w:hAnsi="Calibri" w:cs="Calibri"/>
                <w:color w:val="000000"/>
              </w:rPr>
              <w:t>0.09149906</w:t>
            </w:r>
          </w:p>
        </w:tc>
        <w:tc>
          <w:tcPr>
            <w:tcW w:w="1472" w:type="dxa"/>
          </w:tcPr>
          <w:p w14:paraId="7C2A3E33" w14:textId="77777777" w:rsidR="00D52A47" w:rsidRPr="0008524E" w:rsidRDefault="00D52A47" w:rsidP="00356EB3">
            <w:pPr>
              <w:keepNext/>
              <w:spacing w:line="480" w:lineRule="auto"/>
              <w:jc w:val="center"/>
            </w:pPr>
            <w:r>
              <w:fldChar w:fldCharType="begin" w:fldLock="1"/>
            </w:r>
            <w:r>
              <w:instrText>ADDIN CSL_CITATION {"citationItems":[{"id":"ITEM-1","itemData":{"ISSN":"1943-2461","PMID":"21050606","abstract":"The Abbreviated Injury Scale (AIS) is commonly used to score injury severity and describe types of injuries. In 2005, the AIS-Head section was revised to capture more detailed information about head injuries and to better reflect their clinical severity, but the impact of these changes is largely unknown. The purpose of this study was to compare AIS-1998 and AIS-2005 coding of traumatic brain injuries (TBI) using medical records at a single Level I trauma center. We included patients with severe TBI (Glasgow Coma Scale 3-8) after blunt injury, excluding those who were missing medical records. Detailed descriptions of injuries were collected, then manually coded into AIS-1998 and AIS-2005 by the same Certified AIS Specialist. Compared to AIS-1998, AIS-2005 coded the same injuries with lower severity scores [p&lt;0.01] and with decreased mean and maximum AIS-Head scores [p&lt;0.01]. Of the types of traumatic brain injuries, most of the changes occurred among cerebellar and cerebral injuries. Traumatic hypoxic brain injury secondary to systemic dysfunction was captured by AIS-2005 but not by AIS-1998. However, AIS-2005 captured fewer loss of consciousness cases due to changes in criteria for coding concussive injury. In conclusion, changes from AIS-1998 to AIS-2005 result in significant differences in severity scores and types of injuries captured. This may complicate future TBI research by precluding direct comparison to datasets using AIS-1998. TBIs should be coded into the same AIS-version for comparison or evaluation of trends, and specify which AIS-version is used.","author":[{"dropping-particle":"","family":"Carroll","given":"Christopher P","non-dropping-particle":"","parse-names":false,"suffix":""},{"dropping-particle":"","family":"Cochran","given":"Joseph A","non-dropping-particle":"","parse-names":false,"suffix":""},{"dropping-particle":"","family":"Price","given":"Janet P","non-dropping-particle":"","parse-names":false,"suffix":""},{"dropping-particle":"","family":"Guse","given":"Clare E","non-dropping-particle":"","parse-names":false,"suffix":""},{"dropping-particle":"","family":"Wang","given":"Marjorie C","non-dropping-particle":"","parse-names":false,"suffix":""}],"container-title":"Annals of Advances in Automotive Medicine - 54th Annual Scientific Conference","id":"ITEM-1","issued":{"date-parts":[["2010"]]},"page":"233-238","title":"The AIS-2005 revision in severe traumatic brain injury: Mission accomplished or problems for future research?","type":"paper-conference"},"uris":["http://www.mendeley.com/documents/?uuid=494f48db-9c31-33e3-9cf9-35395ee994e3"]},{"id":"ITEM-2","itemData":{"ISSN":"15710661","abstract":"The cost of deploying a ubiquitous system to enhance a physical environment is likely to be considerable. The success of its deployment is highly dependent on its context: the physical environment and the activities that are to be carried out within it. This paper provides an initial exploration of whether stochastic process algebras (in particular PEPA with a Fluid Flow semantics) might be used to explore consequences before deployment. The focus of the exploration is to aid understanding of how a proposed system supports users within the environment. The challenge is to provide notations and techniques that will enable the analysis of potentially complex systems.","author":[{"dropping-particle":"","family":"Global Health Data","given":"","non-dropping-particle":"","parse-names":false,"suffix":""}],"container-title":"Institue for Health Metrics and Evaluation","id":"ITEM-2","issued":{"date-parts":[["2017"]]},"title":"GBD Results Tool | GHDx","type":"article-journal"},"uris":["http://www.mendeley.com/documents/?uuid=332eefb7-f956-486f-a7e0-95858fee8e38"]},{"id":"ITEM-3","itemData":{"DOI":"10.1016/j.wneu.2017.09.084","ISSN":"18788769","abstract":"Background Trauma accounts for 4.7 million deaths each year, with an estimated 90% of these occurring in low- and middle-income countries (LMICs). Approximately half of trauma-related deaths are caused by central nervous system injury. Because a thorough understanding of traumatic brain injury (TBI) in LMICs is essential to mitigate TBI-related mortality, we established a clinical and radiographic database to characterize TBI in our low-income setting. Methods This is a review of prospectively collected data from Kamuzu Central Hospital, a tertiary care center in the capital of Malawi. All patients admitted from October 2016 through May 2017 with a history of head trauma, altered consciousness, and/or radiographic evidence TBI were included. We performed descriptive statistics, a Cox regression analysis, and a survival analysis. Results There were 280 patients who met inclusion criteria; of these, 80.5% were men. The mean age was 28.8 ± 16.3 years. Median Glasgow Coma Scale (GCS) score was 12 (interquartile range, 8–15). Road traffic crashes constituted the most common injury mechanism (60.7%). There were 148 (52.3%) patients who received a computed tomography scan, with the most common findings being contusions (26.1%). Of the patients, 88 (33.0%) had severe TBI, defined as a GCS score ≤8, of whom 27.6% were intubated and 10.3% received tracheostomies. Overall mortality was 30.9%. Of patients who survived, 80.1% made a good recovery. Female sex was protective, and the only significant predictor of poor functional outcome was presence of severe TBI (hazard ratio, 2.98; 95% confidence interval, 1.79–4.95). Conclusions TBI represents a significant part of the global neurosurgical burden of disease. Implementation of proven in-hospital interventions for these patients is critical to attenuate TBI-related morbidity and mortality.","author":[{"dropping-particle":"","family":"Eaton","given":"Jessica","non-dropping-particle":"","parse-names":false,"suffix":""},{"dropping-particle":"","family":"Hanif","given":"Asma Bilal","non-dropping-particle":"","parse-names":false,"suffix":""},{"dropping-particle":"","family":"Grudziak","given":"Joanna","non-dropping-particle":"","parse-names":false,"suffix":""},{"dropping-particle":"","family":"Charles","given":"Anthony","non-dropping-particle":"","parse-names":false,"suffix":""}],"container-title":"World Neurosurgery","id":"ITEM-3","issued":{"date-parts":[["2017","12","1"]]},"page":"650-655","publisher":"Elsevier Inc.","title":"Epidemiology, Management, and Functional Outcomes of Traumatic Brain Injury in Sub-Saharan Africa","type":"article-journal","volume":"108"},"uris":["http://www.mendeley.com/documents/?uuid=6a43943e-a11d-432e-b357-ccf32a4ba38e"]}],"mendeley":{"formattedCitation":"(Carroll et al. 2010; Global Health Data 2017; Eaton et al. 2017)","plainTextFormattedCitation":"(Carroll et al. 2010; Global Health Data 2017; Eaton et al. 2017)","previouslyFormattedCitation":"(Carroll et al. 2010; Global Health Data 2017; Eaton et al. 2017)"},"properties":{"noteIndex":0},"schema":"https://github.com/citation-style-language/schema/raw/master/csl-citation.json"}</w:instrText>
            </w:r>
            <w:r>
              <w:fldChar w:fldCharType="separate"/>
            </w:r>
            <w:r w:rsidRPr="005137A1">
              <w:rPr>
                <w:noProof/>
              </w:rPr>
              <w:t>(Carroll et al. 2010; Global Health Data 2017; Eaton et al. 2017)</w:t>
            </w:r>
            <w:r>
              <w:fldChar w:fldCharType="end"/>
            </w:r>
          </w:p>
        </w:tc>
      </w:tr>
      <w:tr w:rsidR="00D52A47" w14:paraId="316C20B2" w14:textId="77777777" w:rsidTr="00356EB3">
        <w:tc>
          <w:tcPr>
            <w:tcW w:w="3255" w:type="dxa"/>
            <w:vAlign w:val="bottom"/>
          </w:tcPr>
          <w:p w14:paraId="720DACF3" w14:textId="77777777" w:rsidR="00D52A47" w:rsidRPr="0008524E" w:rsidRDefault="00D52A47" w:rsidP="00356EB3">
            <w:pPr>
              <w:keepNext/>
              <w:spacing w:line="480" w:lineRule="auto"/>
              <w:jc w:val="center"/>
            </w:pPr>
            <w:r>
              <w:rPr>
                <w:rFonts w:ascii="Calibri" w:hAnsi="Calibri" w:cs="Calibri"/>
                <w:color w:val="000000"/>
              </w:rPr>
              <w:lastRenderedPageBreak/>
              <w:t>head_prob_133b</w:t>
            </w:r>
          </w:p>
        </w:tc>
        <w:tc>
          <w:tcPr>
            <w:tcW w:w="1702" w:type="dxa"/>
          </w:tcPr>
          <w:p w14:paraId="11B0DBB1" w14:textId="77777777" w:rsidR="00D52A47" w:rsidRDefault="00D52A47" w:rsidP="00356EB3">
            <w:pPr>
              <w:keepNext/>
              <w:spacing w:line="480" w:lineRule="auto"/>
              <w:jc w:val="center"/>
            </w:pPr>
            <w:r>
              <w:t>Probability of a b</w:t>
            </w:r>
            <w:r w:rsidRPr="005B56EB">
              <w:t>rain contusion</w:t>
            </w:r>
          </w:p>
        </w:tc>
        <w:tc>
          <w:tcPr>
            <w:tcW w:w="2587" w:type="dxa"/>
            <w:gridSpan w:val="2"/>
            <w:vAlign w:val="bottom"/>
          </w:tcPr>
          <w:p w14:paraId="48E8E10E" w14:textId="77777777" w:rsidR="00D52A47" w:rsidRPr="0008524E" w:rsidRDefault="00D52A47" w:rsidP="00356EB3">
            <w:pPr>
              <w:keepNext/>
              <w:spacing w:line="480" w:lineRule="auto"/>
              <w:jc w:val="center"/>
            </w:pPr>
            <w:r>
              <w:rPr>
                <w:rFonts w:ascii="Calibri" w:hAnsi="Calibri" w:cs="Calibri"/>
                <w:color w:val="000000"/>
              </w:rPr>
              <w:t>0.301946898</w:t>
            </w:r>
          </w:p>
        </w:tc>
        <w:tc>
          <w:tcPr>
            <w:tcW w:w="1472" w:type="dxa"/>
          </w:tcPr>
          <w:p w14:paraId="290EA211" w14:textId="77777777" w:rsidR="00D52A47" w:rsidRPr="0008524E" w:rsidRDefault="00D52A47" w:rsidP="00356EB3">
            <w:pPr>
              <w:keepNext/>
              <w:spacing w:line="480" w:lineRule="auto"/>
              <w:jc w:val="center"/>
            </w:pPr>
            <w:r>
              <w:fldChar w:fldCharType="begin" w:fldLock="1"/>
            </w:r>
            <w:r>
              <w:instrText>ADDIN CSL_CITATION {"citationItems":[{"id":"ITEM-1","itemData":{"ISSN":"1943-2461","PMID":"21050606","abstract":"The Abbreviated Injury Scale (AIS) is commonly used to score injury severity and describe types of injuries. In 2005, the AIS-Head section was revised to capture more detailed information about head injuries and to better reflect their clinical severity, but the impact of these changes is largely unknown. The purpose of this study was to compare AIS-1998 and AIS-2005 coding of traumatic brain injuries (TBI) using medical records at a single Level I trauma center. We included patients with severe TBI (Glasgow Coma Scale 3-8) after blunt injury, excluding those who were missing medical records. Detailed descriptions of injuries were collected, then manually coded into AIS-1998 and AIS-2005 by the same Certified AIS Specialist. Compared to AIS-1998, AIS-2005 coded the same injuries with lower severity scores [p&lt;0.01] and with decreased mean and maximum AIS-Head scores [p&lt;0.01]. Of the types of traumatic brain injuries, most of the changes occurred among cerebellar and cerebral injuries. Traumatic hypoxic brain injury secondary to systemic dysfunction was captured by AIS-2005 but not by AIS-1998. However, AIS-2005 captured fewer loss of consciousness cases due to changes in criteria for coding concussive injury. In conclusion, changes from AIS-1998 to AIS-2005 result in significant differences in severity scores and types of injuries captured. This may complicate future TBI research by precluding direct comparison to datasets using AIS-1998. TBIs should be coded into the same AIS-version for comparison or evaluation of trends, and specify which AIS-version is used.","author":[{"dropping-particle":"","family":"Carroll","given":"Christopher P","non-dropping-particle":"","parse-names":false,"suffix":""},{"dropping-particle":"","family":"Cochran","given":"Joseph A","non-dropping-particle":"","parse-names":false,"suffix":""},{"dropping-particle":"","family":"Price","given":"Janet P","non-dropping-particle":"","parse-names":false,"suffix":""},{"dropping-particle":"","family":"Guse","given":"Clare E","non-dropping-particle":"","parse-names":false,"suffix":""},{"dropping-particle":"","family":"Wang","given":"Marjorie C","non-dropping-particle":"","parse-names":false,"suffix":""}],"container-title":"Annals of Advances in Automotive Medicine - 54th Annual Scientific Conference","id":"ITEM-1","issued":{"date-parts":[["2010"]]},"page":"233-238","title":"The AIS-2005 revision in severe traumatic brain injury: Mission accomplished or problems for future research?","type":"paper-conference"},"uris":["http://www.mendeley.com/documents/?uuid=494f48db-9c31-33e3-9cf9-35395ee994e3"]},{"id":"ITEM-2","itemData":{"ISSN":"15710661","abstract":"The cost of deploying a ubiquitous system to enhance a physical environment is likely to be considerable. The success of its deployment is highly dependent on its context: the physical environment and the activities that are to be carried out within it. This paper provides an initial exploration of whether stochastic process algebras (in particular PEPA with a Fluid Flow semantics) might be used to explore consequences before deployment. The focus of the exploration is to aid understanding of how a proposed system supports users within the environment. The challenge is to provide notations and techniques that will enable the analysis of potentially complex systems.","author":[{"dropping-particle":"","family":"Global Health Data","given":"","non-dropping-particle":"","parse-names":false,"suffix":""}],"container-title":"Institue for Health Metrics and Evaluation","id":"ITEM-2","issued":{"date-parts":[["2017"]]},"title":"GBD Results Tool | GHDx","type":"article-journal"},"uris":["http://www.mendeley.com/documents/?uuid=332eefb7-f956-486f-a7e0-95858fee8e38"]},{"id":"ITEM-3","itemData":{"DOI":"10.1016/j.wneu.2017.09.084","ISSN":"18788769","abstract":"Background Trauma accounts for 4.7 million deaths each year, with an estimated 90% of these occurring in low- and middle-income countries (LMICs). Approximately half of trauma-related deaths are caused by central nervous system injury. Because a thorough understanding of traumatic brain injury (TBI) in LMICs is essential to mitigate TBI-related mortality, we established a clinical and radiographic database to characterize TBI in our low-income setting. Methods This is a review of prospectively collected data from Kamuzu Central Hospital, a tertiary care center in the capital of Malawi. All patients admitted from October 2016 through May 2017 with a history of head trauma, altered consciousness, and/or radiographic evidence TBI were included. We performed descriptive statistics, a Cox regression analysis, and a survival analysis. Results There were 280 patients who met inclusion criteria; of these, 80.5% were men. The mean age was 28.8 ± 16.3 years. Median Glasgow Coma Scale (GCS) score was 12 (interquartile range, 8–15). Road traffic crashes constituted the most common injury mechanism (60.7%). There were 148 (52.3%) patients who received a computed tomography scan, with the most common findings being contusions (26.1%). Of the patients, 88 (33.0%) had severe TBI, defined as a GCS score ≤8, of whom 27.6% were intubated and 10.3% received tracheostomies. Overall mortality was 30.9%. Of patients who survived, 80.1% made a good recovery. Female sex was protective, and the only significant predictor of poor functional outcome was presence of severe TBI (hazard ratio, 2.98; 95% confidence interval, 1.79–4.95). Conclusions TBI represents a significant part of the global neurosurgical burden of disease. Implementation of proven in-hospital interventions for these patients is critical to attenuate TBI-related morbidity and mortality.","author":[{"dropping-particle":"","family":"Eaton","given":"Jessica","non-dropping-particle":"","parse-names":false,"suffix":""},{"dropping-particle":"","family":"Hanif","given":"Asma Bilal","non-dropping-particle":"","parse-names":false,"suffix":""},{"dropping-particle":"","family":"Grudziak","given":"Joanna","non-dropping-particle":"","parse-names":false,"suffix":""},{"dropping-particle":"","family":"Charles","given":"Anthony","non-dropping-particle":"","parse-names":false,"suffix":""}],"container-title":"World Neurosurgery","id":"ITEM-3","issued":{"date-parts":[["2017","12","1"]]},"page":"650-655","publisher":"Elsevier Inc.","title":"Epidemiology, Management, and Functional Outcomes of Traumatic Brain Injury in Sub-Saharan Africa","type":"article-journal","volume":"108"},"uris":["http://www.mendeley.com/documents/?uuid=6a43943e-a11d-432e-b357-ccf32a4ba38e"]}],"mendeley":{"formattedCitation":"(Carroll et al. 2010; Global Health Data 2017; Eaton et al. 2017)","plainTextFormattedCitation":"(Carroll et al. 2010; Global Health Data 2017; Eaton et al. 2017)","previouslyFormattedCitation":"(Carroll et al. 2010; Global Health Data 2017; Eaton et al. 2017)"},"properties":{"noteIndex":0},"schema":"https://github.com/citation-style-language/schema/raw/master/csl-citation.json"}</w:instrText>
            </w:r>
            <w:r>
              <w:fldChar w:fldCharType="separate"/>
            </w:r>
            <w:r w:rsidRPr="005137A1">
              <w:rPr>
                <w:noProof/>
              </w:rPr>
              <w:t>(Carroll et al. 2010; Global Health Data 2017; Eaton et al. 2017)</w:t>
            </w:r>
            <w:r>
              <w:fldChar w:fldCharType="end"/>
            </w:r>
          </w:p>
        </w:tc>
      </w:tr>
      <w:tr w:rsidR="00D52A47" w14:paraId="6D54E9E3" w14:textId="77777777" w:rsidTr="00356EB3">
        <w:tc>
          <w:tcPr>
            <w:tcW w:w="3255" w:type="dxa"/>
            <w:vAlign w:val="bottom"/>
          </w:tcPr>
          <w:p w14:paraId="1C2F2130" w14:textId="77777777" w:rsidR="00D52A47" w:rsidRPr="0008524E" w:rsidRDefault="00D52A47" w:rsidP="00356EB3">
            <w:pPr>
              <w:keepNext/>
              <w:spacing w:line="480" w:lineRule="auto"/>
              <w:jc w:val="center"/>
            </w:pPr>
            <w:r>
              <w:rPr>
                <w:rFonts w:ascii="Calibri" w:hAnsi="Calibri" w:cs="Calibri"/>
                <w:color w:val="000000"/>
              </w:rPr>
              <w:t>head_prob_133c</w:t>
            </w:r>
          </w:p>
        </w:tc>
        <w:tc>
          <w:tcPr>
            <w:tcW w:w="1702" w:type="dxa"/>
          </w:tcPr>
          <w:p w14:paraId="5718DDB7" w14:textId="77777777" w:rsidR="00D52A47" w:rsidRDefault="00D52A47" w:rsidP="00356EB3">
            <w:pPr>
              <w:keepNext/>
              <w:spacing w:line="480" w:lineRule="auto"/>
              <w:jc w:val="center"/>
            </w:pPr>
            <w:r>
              <w:t>Probability of an i</w:t>
            </w:r>
            <w:r w:rsidRPr="005B56EB">
              <w:t>ntraventricular haemorrhage</w:t>
            </w:r>
          </w:p>
        </w:tc>
        <w:tc>
          <w:tcPr>
            <w:tcW w:w="2587" w:type="dxa"/>
            <w:gridSpan w:val="2"/>
            <w:vAlign w:val="bottom"/>
          </w:tcPr>
          <w:p w14:paraId="6FFEA6EB" w14:textId="77777777" w:rsidR="00D52A47" w:rsidRPr="0008524E" w:rsidRDefault="00D52A47" w:rsidP="00356EB3">
            <w:pPr>
              <w:keepNext/>
              <w:spacing w:line="480" w:lineRule="auto"/>
              <w:jc w:val="center"/>
            </w:pPr>
            <w:r>
              <w:rPr>
                <w:rFonts w:ascii="Calibri" w:hAnsi="Calibri" w:cs="Calibri"/>
                <w:color w:val="000000"/>
              </w:rPr>
              <w:t>0.013724859</w:t>
            </w:r>
          </w:p>
        </w:tc>
        <w:tc>
          <w:tcPr>
            <w:tcW w:w="1472" w:type="dxa"/>
          </w:tcPr>
          <w:p w14:paraId="175685BA" w14:textId="77777777" w:rsidR="00D52A47" w:rsidRPr="0008524E" w:rsidRDefault="00D52A47" w:rsidP="00356EB3">
            <w:pPr>
              <w:keepNext/>
              <w:spacing w:line="480" w:lineRule="auto"/>
              <w:jc w:val="center"/>
            </w:pPr>
            <w:r>
              <w:fldChar w:fldCharType="begin" w:fldLock="1"/>
            </w:r>
            <w:r>
              <w:instrText>ADDIN CSL_CITATION {"citationItems":[{"id":"ITEM-1","itemData":{"ISSN":"1943-2461","PMID":"21050606","abstract":"The Abbreviated Injury Scale (AIS) is commonly used to score injury severity and describe types of injuries. In 2005, the AIS-Head section was revised to capture more detailed information about head injuries and to better reflect their clinical severity, but the impact of these changes is largely unknown. The purpose of this study was to compare AIS-1998 and AIS-2005 coding of traumatic brain injuries (TBI) using medical records at a single Level I trauma center. We included patients with severe TBI (Glasgow Coma Scale 3-8) after blunt injury, excluding those who were missing medical records. Detailed descriptions of injuries were collected, then manually coded into AIS-1998 and AIS-2005 by the same Certified AIS Specialist. Compared to AIS-1998, AIS-2005 coded the same injuries with lower severity scores [p&lt;0.01] and with decreased mean and maximum AIS-Head scores [p&lt;0.01]. Of the types of traumatic brain injuries, most of the changes occurred among cerebellar and cerebral injuries. Traumatic hypoxic brain injury secondary to systemic dysfunction was captured by AIS-2005 but not by AIS-1998. However, AIS-2005 captured fewer loss of consciousness cases due to changes in criteria for coding concussive injury. In conclusion, changes from AIS-1998 to AIS-2005 result in significant differences in severity scores and types of injuries captured. This may complicate future TBI research by precluding direct comparison to datasets using AIS-1998. TBIs should be coded into the same AIS-version for comparison or evaluation of trends, and specify which AIS-version is used.","author":[{"dropping-particle":"","family":"Carroll","given":"Christopher P","non-dropping-particle":"","parse-names":false,"suffix":""},{"dropping-particle":"","family":"Cochran","given":"Joseph A","non-dropping-particle":"","parse-names":false,"suffix":""},{"dropping-particle":"","family":"Price","given":"Janet P","non-dropping-particle":"","parse-names":false,"suffix":""},{"dropping-particle":"","family":"Guse","given":"Clare E","non-dropping-particle":"","parse-names":false,"suffix":""},{"dropping-particle":"","family":"Wang","given":"Marjorie C","non-dropping-particle":"","parse-names":false,"suffix":""}],"container-title":"Annals of Advances in Automotive Medicine - 54th Annual Scientific Conference","id":"ITEM-1","issued":{"date-parts":[["2010"]]},"page":"233-238","title":"The AIS-2005 revision in severe traumatic brain injury: Mission accomplished or problems for future research?","type":"paper-conference"},"uris":["http://www.mendeley.com/documents/?uuid=494f48db-9c31-33e3-9cf9-35395ee994e3"]},{"id":"ITEM-2","itemData":{"ISSN":"15710661","abstract":"The cost of deploying a ubiquitous system to enhance a physical environment is likely to be considerable. The success of its deployment is highly dependent on its context: the physical environment and the activities that are to be carried out within it. This paper provides an initial exploration of whether stochastic process algebras (in particular PEPA with a Fluid Flow semantics) might be used to explore consequences before deployment. The focus of the exploration is to aid understanding of how a proposed system supports users within the environment. The challenge is to provide notations and techniques that will enable the analysis of potentially complex systems.","author":[{"dropping-particle":"","family":"Global Health Data","given":"","non-dropping-particle":"","parse-names":false,"suffix":""}],"container-title":"Institue for Health Metrics and Evaluation","id":"ITEM-2","issued":{"date-parts":[["2017"]]},"title":"GBD Results Tool | GHDx","type":"article-journal"},"uris":["http://www.mendeley.com/documents/?uuid=332eefb7-f956-486f-a7e0-95858fee8e38"]},{"id":"ITEM-3","itemData":{"DOI":"10.1016/j.wneu.2017.09.084","ISSN":"18788769","abstract":"Background Trauma accounts for 4.7 million deaths each year, with an estimated 90% of these occurring in low- and middle-income countries (LMICs). Approximately half of trauma-related deaths are caused by central nervous system injury. Because a thorough understanding of traumatic brain injury (TBI) in LMICs is essential to mitigate TBI-related mortality, we established a clinical and radiographic database to characterize TBI in our low-income setting. Methods This is a review of prospectively collected data from Kamuzu Central Hospital, a tertiary care center in the capital of Malawi. All patients admitted from October 2016 through May 2017 with a history of head trauma, altered consciousness, and/or radiographic evidence TBI were included. We performed descriptive statistics, a Cox regression analysis, and a survival analysis. Results There were 280 patients who met inclusion criteria; of these, 80.5% were men. The mean age was 28.8 ± 16.3 years. Median Glasgow Coma Scale (GCS) score was 12 (interquartile range, 8–15). Road traffic crashes constituted the most common injury mechanism (60.7%). There were 148 (52.3%) patients who received a computed tomography scan, with the most common findings being contusions (26.1%). Of the patients, 88 (33.0%) had severe TBI, defined as a GCS score ≤8, of whom 27.6% were intubated and 10.3% received tracheostomies. Overall mortality was 30.9%. Of patients who survived, 80.1% made a good recovery. Female sex was protective, and the only significant predictor of poor functional outcome was presence of severe TBI (hazard ratio, 2.98; 95% confidence interval, 1.79–4.95). Conclusions TBI represents a significant part of the global neurosurgical burden of disease. Implementation of proven in-hospital interventions for these patients is critical to attenuate TBI-related morbidity and mortality.","author":[{"dropping-particle":"","family":"Eaton","given":"Jessica","non-dropping-particle":"","parse-names":false,"suffix":""},{"dropping-particle":"","family":"Hanif","given":"Asma Bilal","non-dropping-particle":"","parse-names":false,"suffix":""},{"dropping-particle":"","family":"Grudziak","given":"Joanna","non-dropping-particle":"","parse-names":false,"suffix":""},{"dropping-particle":"","family":"Charles","given":"Anthony","non-dropping-particle":"","parse-names":false,"suffix":""}],"container-title":"World Neurosurgery","id":"ITEM-3","issued":{"date-parts":[["2017","12","1"]]},"page":"650-655","publisher":"Elsevier Inc.","title":"Epidemiology, Management, and Functional Outcomes of Traumatic Brain Injury in Sub-Saharan Africa","type":"article-journal","volume":"108"},"uris":["http://www.mendeley.com/documents/?uuid=6a43943e-a11d-432e-b357-ccf32a4ba38e"]}],"mendeley":{"formattedCitation":"(Carroll et al. 2010; Global Health Data 2017; Eaton et al. 2017)","plainTextFormattedCitation":"(Carroll et al. 2010; Global Health Data 2017; Eaton et al. 2017)","previouslyFormattedCitation":"(Carroll et al. 2010; Global Health Data 2017; Eaton et al. 2017)"},"properties":{"noteIndex":0},"schema":"https://github.com/citation-style-language/schema/raw/master/csl-citation.json"}</w:instrText>
            </w:r>
            <w:r>
              <w:fldChar w:fldCharType="separate"/>
            </w:r>
            <w:r w:rsidRPr="005137A1">
              <w:rPr>
                <w:noProof/>
              </w:rPr>
              <w:t>(Carroll et al. 2010; Global Health Data 2017; Eaton et al. 2017)</w:t>
            </w:r>
            <w:r>
              <w:fldChar w:fldCharType="end"/>
            </w:r>
          </w:p>
        </w:tc>
      </w:tr>
      <w:tr w:rsidR="00D52A47" w14:paraId="7602B0B4" w14:textId="77777777" w:rsidTr="00356EB3">
        <w:tc>
          <w:tcPr>
            <w:tcW w:w="3255" w:type="dxa"/>
            <w:vAlign w:val="bottom"/>
          </w:tcPr>
          <w:p w14:paraId="6D9DA7F1" w14:textId="77777777" w:rsidR="00D52A47" w:rsidRPr="0008524E" w:rsidRDefault="00D52A47" w:rsidP="00356EB3">
            <w:pPr>
              <w:keepNext/>
              <w:spacing w:line="480" w:lineRule="auto"/>
              <w:jc w:val="center"/>
            </w:pPr>
            <w:r>
              <w:rPr>
                <w:rFonts w:ascii="Calibri" w:hAnsi="Calibri" w:cs="Calibri"/>
                <w:color w:val="000000"/>
              </w:rPr>
              <w:t>head_prob_133d</w:t>
            </w:r>
          </w:p>
        </w:tc>
        <w:tc>
          <w:tcPr>
            <w:tcW w:w="1702" w:type="dxa"/>
          </w:tcPr>
          <w:p w14:paraId="5440B9C4" w14:textId="77777777" w:rsidR="00D52A47" w:rsidRDefault="00D52A47" w:rsidP="00356EB3">
            <w:pPr>
              <w:keepNext/>
              <w:spacing w:line="480" w:lineRule="auto"/>
              <w:jc w:val="center"/>
            </w:pPr>
            <w:r>
              <w:t>Probability of a s</w:t>
            </w:r>
            <w:r w:rsidRPr="005B56EB">
              <w:t>ubgaleal hematoma</w:t>
            </w:r>
          </w:p>
        </w:tc>
        <w:tc>
          <w:tcPr>
            <w:tcW w:w="2587" w:type="dxa"/>
            <w:gridSpan w:val="2"/>
            <w:vAlign w:val="bottom"/>
          </w:tcPr>
          <w:p w14:paraId="52237FB9" w14:textId="77777777" w:rsidR="00D52A47" w:rsidRPr="0008524E" w:rsidRDefault="00D52A47" w:rsidP="00356EB3">
            <w:pPr>
              <w:keepNext/>
              <w:spacing w:line="480" w:lineRule="auto"/>
              <w:jc w:val="center"/>
            </w:pPr>
            <w:r>
              <w:rPr>
                <w:rFonts w:ascii="Calibri" w:hAnsi="Calibri" w:cs="Calibri"/>
                <w:color w:val="000000"/>
              </w:rPr>
              <w:t>0.050324483</w:t>
            </w:r>
          </w:p>
        </w:tc>
        <w:tc>
          <w:tcPr>
            <w:tcW w:w="1472" w:type="dxa"/>
          </w:tcPr>
          <w:p w14:paraId="36E7CF26" w14:textId="77777777" w:rsidR="00D52A47" w:rsidRPr="0008524E" w:rsidRDefault="00D52A47" w:rsidP="00356EB3">
            <w:pPr>
              <w:keepNext/>
              <w:spacing w:line="480" w:lineRule="auto"/>
              <w:jc w:val="center"/>
            </w:pPr>
            <w:r>
              <w:fldChar w:fldCharType="begin" w:fldLock="1"/>
            </w:r>
            <w:r>
              <w:instrText>ADDIN CSL_CITATION {"citationItems":[{"id":"ITEM-1","itemData":{"ISSN":"1943-2461","PMID":"21050606","abstract":"The Abbreviated Injury Scale (AIS) is commonly used to score injury severity and describe types of injuries. In 2005, the AIS-Head section was revised to capture more detailed information about head injuries and to better reflect their clinical severity, but the impact of these changes is largely unknown. The purpose of this study was to compare AIS-1998 and AIS-2005 coding of traumatic brain injuries (TBI) using medical records at a single Level I trauma center. We included patients with severe TBI (Glasgow Coma Scale 3-8) after blunt injury, excluding those who were missing medical records. Detailed descriptions of injuries were collected, then manually coded into AIS-1998 and AIS-2005 by the same Certified AIS Specialist. Compared to AIS-1998, AIS-2005 coded the same injuries with lower severity scores [p&lt;0.01] and with decreased mean and maximum AIS-Head scores [p&lt;0.01]. Of the types of traumatic brain injuries, most of the changes occurred among cerebellar and cerebral injuries. Traumatic hypoxic brain injury secondary to systemic dysfunction was captured by AIS-2005 but not by AIS-1998. However, AIS-2005 captured fewer loss of consciousness cases due to changes in criteria for coding concussive injury. In conclusion, changes from AIS-1998 to AIS-2005 result in significant differences in severity scores and types of injuries captured. This may complicate future TBI research by precluding direct comparison to datasets using AIS-1998. TBIs should be coded into the same AIS-version for comparison or evaluation of trends, and specify which AIS-version is used.","author":[{"dropping-particle":"","family":"Carroll","given":"Christopher P","non-dropping-particle":"","parse-names":false,"suffix":""},{"dropping-particle":"","family":"Cochran","given":"Joseph A","non-dropping-particle":"","parse-names":false,"suffix":""},{"dropping-particle":"","family":"Price","given":"Janet P","non-dropping-particle":"","parse-names":false,"suffix":""},{"dropping-particle":"","family":"Guse","given":"Clare E","non-dropping-particle":"","parse-names":false,"suffix":""},{"dropping-particle":"","family":"Wang","given":"Marjorie C","non-dropping-particle":"","parse-names":false,"suffix":""}],"container-title":"Annals of Advances in Automotive Medicine - 54th Annual Scientific Conference","id":"ITEM-1","issued":{"date-parts":[["2010"]]},"page":"233-238","title":"The AIS-2005 revision in severe traumatic brain injury: Mission accomplished or problems for future research?","type":"paper-conference"},"uris":["http://www.mendeley.com/documents/?uuid=494f48db-9c31-33e3-9cf9-35395ee994e3"]},{"id":"ITEM-2","itemData":{"ISSN":"15710661","abstract":"The cost of deploying a ubiquitous system to enhance a physical environment is likely to be considerable. The success of its deployment is highly dependent on its context: the physical environment and the activities that are to be carried out within it. This paper provides an initial exploration of whether stochastic process algebras (in particular PEPA with a Fluid Flow semantics) might be used to explore consequences before deployment. The focus of the exploration is to aid understanding of how a proposed system supports users within the environment. The challenge is to provide notations and techniques that will enable the analysis of potentially complex systems.","author":[{"dropping-particle":"","family":"Global Health Data","given":"","non-dropping-particle":"","parse-names":false,"suffix":""}],"container-title":"Institue for Health Metrics and Evaluation","id":"ITEM-2","issued":{"date-parts":[["2017"]]},"title":"GBD Results Tool | GHDx","type":"article-journal"},"uris":["http://www.mendeley.com/documents/?uuid=332eefb7-f956-486f-a7e0-95858fee8e38"]},{"id":"ITEM-3","itemData":{"DOI":"10.1016/j.wneu.2017.09.084","ISSN":"18788769","abstract":"Background Trauma accounts for 4.7 million deaths each year, with an estimated 90% of these occurring in low- and middle-income countries (LMICs). Approximately half of trauma-related deaths are caused by central nervous system injury. Because a thorough understanding of traumatic brain injury (TBI) in LMICs is essential to mitigate TBI-related mortality, we established a clinical and radiographic database to characterize TBI in our low-income setting. Methods This is a review of prospectively collected data from Kamuzu Central Hospital, a tertiary care center in the capital of Malawi. All patients admitted from October 2016 through May 2017 with a history of head trauma, altered consciousness, and/or radiographic evidence TBI were included. We performed descriptive statistics, a Cox regression analysis, and a survival analysis. Results There were 280 patients who met inclusion criteria; of these, 80.5% were men. The mean age was 28.8 ± 16.3 years. Median Glasgow Coma Scale (GCS) score was 12 (interquartile range, 8–15). Road traffic crashes constituted the most common injury mechanism (60.7%). There were 148 (52.3%) patients who received a computed tomography scan, with the most common findings being contusions (26.1%). Of the patients, 88 (33.0%) had severe TBI, defined as a GCS score ≤8, of whom 27.6% were intubated and 10.3% received tracheostomies. Overall mortality was 30.9%. Of patients who survived, 80.1% made a good recovery. Female sex was protective, and the only significant predictor of poor functional outcome was presence of severe TBI (hazard ratio, 2.98; 95% confidence interval, 1.79–4.95). Conclusions TBI represents a significant part of the global neurosurgical burden of disease. Implementation of proven in-hospital interventions for these patients is critical to attenuate TBI-related morbidity and mortality.","author":[{"dropping-particle":"","family":"Eaton","given":"Jessica","non-dropping-particle":"","parse-names":false,"suffix":""},{"dropping-particle":"","family":"Hanif","given":"Asma Bilal","non-dropping-particle":"","parse-names":false,"suffix":""},{"dropping-particle":"","family":"Grudziak","given":"Joanna","non-dropping-particle":"","parse-names":false,"suffix":""},{"dropping-particle":"","family":"Charles","given":"Anthony","non-dropping-particle":"","parse-names":false,"suffix":""}],"container-title":"World Neurosurgery","id":"ITEM-3","issued":{"date-parts":[["2017","12","1"]]},"page":"650-655","publisher":"Elsevier Inc.","title":"Epidemiology, Management, and Functional Outcomes of Traumatic Brain Injury in Sub-Saharan Africa","type":"article-journal","volume":"108"},"uris":["http://www.mendeley.com/documents/?uuid=6a43943e-a11d-432e-b357-ccf32a4ba38e"]}],"mendeley":{"formattedCitation":"(Carroll et al. 2010; Global Health Data 2017; Eaton et al. 2017)","plainTextFormattedCitation":"(Carroll et al. 2010; Global Health Data 2017; Eaton et al. 2017)","previouslyFormattedCitation":"(Carroll et al. 2010; Global Health Data 2017; Eaton et al. 2017)"},"properties":{"noteIndex":0},"schema":"https://github.com/citation-style-language/schema/raw/master/csl-citation.json"}</w:instrText>
            </w:r>
            <w:r>
              <w:fldChar w:fldCharType="separate"/>
            </w:r>
            <w:r w:rsidRPr="005137A1">
              <w:rPr>
                <w:noProof/>
              </w:rPr>
              <w:t>(Carroll et al. 2010; Global Health Data 2017; Eaton et al. 2017)</w:t>
            </w:r>
            <w:r>
              <w:fldChar w:fldCharType="end"/>
            </w:r>
          </w:p>
        </w:tc>
      </w:tr>
      <w:tr w:rsidR="00D52A47" w14:paraId="00C1032A" w14:textId="77777777" w:rsidTr="00356EB3">
        <w:tc>
          <w:tcPr>
            <w:tcW w:w="3255" w:type="dxa"/>
            <w:vAlign w:val="bottom"/>
          </w:tcPr>
          <w:p w14:paraId="6041E9AB" w14:textId="77777777" w:rsidR="00D52A47" w:rsidRPr="0008524E" w:rsidRDefault="00D52A47" w:rsidP="00356EB3">
            <w:pPr>
              <w:keepNext/>
              <w:spacing w:line="480" w:lineRule="auto"/>
              <w:jc w:val="center"/>
            </w:pPr>
            <w:r>
              <w:rPr>
                <w:rFonts w:ascii="Calibri" w:hAnsi="Calibri" w:cs="Calibri"/>
                <w:color w:val="000000"/>
              </w:rPr>
              <w:t>head_prob_134a</w:t>
            </w:r>
          </w:p>
        </w:tc>
        <w:tc>
          <w:tcPr>
            <w:tcW w:w="1702" w:type="dxa"/>
          </w:tcPr>
          <w:p w14:paraId="5BAE1DC3" w14:textId="77777777" w:rsidR="00D52A47" w:rsidRDefault="00D52A47" w:rsidP="00356EB3">
            <w:pPr>
              <w:keepNext/>
              <w:spacing w:line="480" w:lineRule="auto"/>
              <w:jc w:val="center"/>
            </w:pPr>
            <w:r>
              <w:t>Probability of an e</w:t>
            </w:r>
            <w:r w:rsidRPr="005B56EB">
              <w:t>pidural hematoma</w:t>
            </w:r>
          </w:p>
        </w:tc>
        <w:tc>
          <w:tcPr>
            <w:tcW w:w="2587" w:type="dxa"/>
            <w:gridSpan w:val="2"/>
            <w:vAlign w:val="bottom"/>
          </w:tcPr>
          <w:p w14:paraId="41B8971C" w14:textId="77777777" w:rsidR="00D52A47" w:rsidRPr="0008524E" w:rsidRDefault="00D52A47" w:rsidP="00356EB3">
            <w:pPr>
              <w:keepNext/>
              <w:spacing w:line="480" w:lineRule="auto"/>
              <w:jc w:val="center"/>
            </w:pPr>
            <w:r>
              <w:rPr>
                <w:rFonts w:ascii="Calibri" w:hAnsi="Calibri" w:cs="Calibri"/>
                <w:color w:val="000000"/>
              </w:rPr>
              <w:t>0.086670324</w:t>
            </w:r>
          </w:p>
        </w:tc>
        <w:tc>
          <w:tcPr>
            <w:tcW w:w="1472" w:type="dxa"/>
          </w:tcPr>
          <w:p w14:paraId="6189DBC5" w14:textId="77777777" w:rsidR="00D52A47" w:rsidRPr="0008524E" w:rsidRDefault="00D52A47" w:rsidP="00356EB3">
            <w:pPr>
              <w:keepNext/>
              <w:spacing w:line="480" w:lineRule="auto"/>
              <w:jc w:val="center"/>
            </w:pPr>
            <w:r>
              <w:fldChar w:fldCharType="begin" w:fldLock="1"/>
            </w:r>
            <w:r>
              <w:instrText>ADDIN CSL_CITATION {"citationItems":[{"id":"ITEM-1","itemData":{"ISSN":"1943-2461","PMID":"21050606","abstract":"The Abbreviated Injury Scale (AIS) is commonly used to score injury severity and describe types of injuries. In 2005, the AIS-Head section was revised to capture more detailed information about head injuries and to better reflect their clinical severity, but the impact of these changes is largely unknown. The purpose of this study was to compare AIS-1998 and AIS-2005 coding of traumatic brain injuries (TBI) using medical records at a single Level I trauma center. We included patients with severe TBI (Glasgow Coma Scale 3-8) after blunt injury, excluding those who were missing medical records. Detailed descriptions of injuries were collected, then manually coded into AIS-1998 and AIS-2005 by the same Certified AIS Specialist. Compared to AIS-1998, AIS-2005 coded the same injuries with lower severity scores [p&lt;0.01] and with decreased mean and maximum AIS-Head scores [p&lt;0.01]. Of the types of traumatic brain injuries, most of the changes occurred among cerebellar and cerebral injuries. Traumatic hypoxic brain injury secondary to systemic dysfunction was captured by AIS-2005 but not by AIS-1998. However, AIS-2005 captured fewer loss of consciousness cases due to changes in criteria for coding concussive injury. In conclusion, changes from AIS-1998 to AIS-2005 result in significant differences in severity scores and types of injuries captured. This may complicate future TBI research by precluding direct comparison to datasets using AIS-1998. TBIs should be coded into the same AIS-version for comparison or evaluation of trends, and specify which AIS-version is used.","author":[{"dropping-particle":"","family":"Carroll","given":"Christopher P","non-dropping-particle":"","parse-names":false,"suffix":""},{"dropping-particle":"","family":"Cochran","given":"Joseph A","non-dropping-particle":"","parse-names":false,"suffix":""},{"dropping-particle":"","family":"Price","given":"Janet P","non-dropping-particle":"","parse-names":false,"suffix":""},{"dropping-particle":"","family":"Guse","given":"Clare E","non-dropping-particle":"","parse-names":false,"suffix":""},{"dropping-particle":"","family":"Wang","given":"Marjorie C","non-dropping-particle":"","parse-names":false,"suffix":""}],"container-title":"Annals of Advances in Automotive Medicine - 54th Annual Scientific Conference","id":"ITEM-1","issued":{"date-parts":[["2010"]]},"page":"233-238","title":"The AIS-2005 revision in severe traumatic brain injury: Mission accomplished or problems for future research?","type":"paper-conference"},"uris":["http://www.mendeley.com/documents/?uuid=494f48db-9c31-33e3-9cf9-35395ee994e3"]},{"id":"ITEM-2","itemData":{"ISSN":"15710661","abstract":"The cost of deploying a ubiquitous system to enhance a physical environment is likely to be considerable. The success of its deployment is highly dependent on its context: the physical environment and the activities that are to be carried out within it. This paper provides an initial exploration of whether stochastic process algebras (in particular PEPA with a Fluid Flow semantics) might be used to explore consequences before deployment. The focus of the exploration is to aid understanding of how a proposed system supports users within the environment. The challenge is to provide notations and techniques that will enable the analysis of potentially complex systems.","author":[{"dropping-particle":"","family":"Global Health Data","given":"","non-dropping-particle":"","parse-names":false,"suffix":""}],"container-title":"Institue for Health Metrics and Evaluation","id":"ITEM-2","issued":{"date-parts":[["2017"]]},"title":"GBD Results Tool | GHDx","type":"article-journal"},"uris":["http://www.mendeley.com/documents/?uuid=332eefb7-f956-486f-a7e0-95858fee8e38"]},{"id":"ITEM-3","itemData":{"DOI":"10.1016/j.wneu.2017.09.084","ISSN":"18788769","abstract":"Background Trauma accounts for 4.7 million deaths each year, with an estimated 90% of these occurring in low- and middle-income countries (LMICs). Approximately half of trauma-related deaths are caused by central nervous system injury. Because a thorough understanding of traumatic brain injury (TBI) in LMICs is essential to mitigate TBI-related mortality, we established a clinical and radiographic database to characterize TBI in our low-income setting. Methods This is a review of prospectively collected data from Kamuzu Central Hospital, a tertiary care center in the capital of Malawi. All patients admitted from October 2016 through May 2017 with a history of head trauma, altered consciousness, and/or radiographic evidence TBI were included. We performed descriptive statistics, a Cox regression analysis, and a survival analysis. Results There were 280 patients who met inclusion criteria; of these, 80.5% were men. The mean age was 28.8 ± 16.3 years. Median Glasgow Coma Scale (GCS) score was 12 (interquartile range, 8–15). Road traffic crashes constituted the most common injury mechanism (60.7%). There were 148 (52.3%) patients who received a computed tomography scan, with the most common findings being contusions (26.1%). Of the patients, 88 (33.0%) had severe TBI, defined as a GCS score ≤8, of whom 27.6% were intubated and 10.3% received tracheostomies. Overall mortality was 30.9%. Of patients who survived, 80.1% made a good recovery. Female sex was protective, and the only significant predictor of poor functional outcome was presence of severe TBI (hazard ratio, 2.98; 95% confidence interval, 1.79–4.95). Conclusions TBI represents a significant part of the global neurosurgical burden of disease. Implementation of proven in-hospital interventions for these patients is critical to attenuate TBI-related morbidity and mortality.","author":[{"dropping-particle":"","family":"Eaton","given":"Jessica","non-dropping-particle":"","parse-names":false,"suffix":""},{"dropping-particle":"","family":"Hanif","given":"Asma Bilal","non-dropping-particle":"","parse-names":false,"suffix":""},{"dropping-particle":"","family":"Grudziak","given":"Joanna","non-dropping-particle":"","parse-names":false,"suffix":""},{"dropping-particle":"","family":"Charles","given":"Anthony","non-dropping-particle":"","parse-names":false,"suffix":""}],"container-title":"World Neurosurgery","id":"ITEM-3","issued":{"date-parts":[["2017","12","1"]]},"page":"650-655","publisher":"Elsevier Inc.","title":"Epidemiology, Management, and Functional Outcomes of Traumatic Brain Injury in Sub-Saharan Africa","type":"article-journal","volume":"108"},"uris":["http://www.mendeley.com/documents/?uuid=6a43943e-a11d-432e-b357-ccf32a4ba38e"]}],"mendeley":{"formattedCitation":"(Carroll et al. 2010; Global Health Data 2017; Eaton et al. 2017)","plainTextFormattedCitation":"(Carroll et al. 2010; Global Health Data 2017; Eaton et al. 2017)","previouslyFormattedCitation":"(Carroll et al. 2010; Global Health Data 2017; Eaton et al. 2017)"},"properties":{"noteIndex":0},"schema":"https://github.com/citation-style-language/schema/raw/master/csl-citation.json"}</w:instrText>
            </w:r>
            <w:r>
              <w:fldChar w:fldCharType="separate"/>
            </w:r>
            <w:r w:rsidRPr="005137A1">
              <w:rPr>
                <w:noProof/>
              </w:rPr>
              <w:t>(Carroll et al. 2010; Global Health Data 2017; Eaton et al. 2017)</w:t>
            </w:r>
            <w:r>
              <w:fldChar w:fldCharType="end"/>
            </w:r>
          </w:p>
        </w:tc>
      </w:tr>
      <w:tr w:rsidR="00D52A47" w14:paraId="279BEE97" w14:textId="77777777" w:rsidTr="00356EB3">
        <w:tc>
          <w:tcPr>
            <w:tcW w:w="3255" w:type="dxa"/>
            <w:vAlign w:val="bottom"/>
          </w:tcPr>
          <w:p w14:paraId="07A319A2" w14:textId="77777777" w:rsidR="00D52A47" w:rsidRPr="0008524E" w:rsidRDefault="00D52A47" w:rsidP="00356EB3">
            <w:pPr>
              <w:keepNext/>
              <w:spacing w:line="480" w:lineRule="auto"/>
              <w:jc w:val="center"/>
            </w:pPr>
            <w:r>
              <w:rPr>
                <w:rFonts w:ascii="Calibri" w:hAnsi="Calibri" w:cs="Calibri"/>
                <w:color w:val="000000"/>
              </w:rPr>
              <w:t>head_prob_134b</w:t>
            </w:r>
          </w:p>
        </w:tc>
        <w:tc>
          <w:tcPr>
            <w:tcW w:w="1702" w:type="dxa"/>
          </w:tcPr>
          <w:p w14:paraId="171B183F" w14:textId="77777777" w:rsidR="00D52A47" w:rsidRDefault="00D52A47" w:rsidP="00356EB3">
            <w:pPr>
              <w:keepNext/>
              <w:spacing w:line="480" w:lineRule="auto"/>
              <w:jc w:val="center"/>
            </w:pPr>
            <w:r>
              <w:t>Probability of a s</w:t>
            </w:r>
            <w:r w:rsidRPr="005B56EB">
              <w:t>ubdural hematoma</w:t>
            </w:r>
          </w:p>
        </w:tc>
        <w:tc>
          <w:tcPr>
            <w:tcW w:w="2587" w:type="dxa"/>
            <w:gridSpan w:val="2"/>
            <w:vAlign w:val="bottom"/>
          </w:tcPr>
          <w:p w14:paraId="057DF74E" w14:textId="77777777" w:rsidR="00D52A47" w:rsidRPr="0008524E" w:rsidRDefault="00D52A47" w:rsidP="00356EB3">
            <w:pPr>
              <w:keepNext/>
              <w:spacing w:line="480" w:lineRule="auto"/>
              <w:jc w:val="center"/>
            </w:pPr>
            <w:r>
              <w:rPr>
                <w:rFonts w:ascii="Calibri" w:hAnsi="Calibri" w:cs="Calibri"/>
                <w:color w:val="000000"/>
              </w:rPr>
              <w:t>0.080003376</w:t>
            </w:r>
          </w:p>
        </w:tc>
        <w:tc>
          <w:tcPr>
            <w:tcW w:w="1472" w:type="dxa"/>
          </w:tcPr>
          <w:p w14:paraId="4C850EF7" w14:textId="77777777" w:rsidR="00D52A47" w:rsidRPr="0008524E" w:rsidRDefault="00D52A47" w:rsidP="00356EB3">
            <w:pPr>
              <w:keepNext/>
              <w:spacing w:line="480" w:lineRule="auto"/>
              <w:jc w:val="center"/>
            </w:pPr>
            <w:r>
              <w:fldChar w:fldCharType="begin" w:fldLock="1"/>
            </w:r>
            <w:r>
              <w:instrText>ADDIN CSL_CITATION {"citationItems":[{"id":"ITEM-1","itemData":{"ISSN":"1943-2461","PMID":"21050606","abstract":"The Abbreviated Injury Scale (AIS) is commonly used to score injury severity and describe types of injuries. In 2005, the AIS-Head section was revised to capture more detailed information about head injuries and to better reflect their clinical severity, but the impact of these changes is largely unknown. The purpose of this study was to compare AIS-1998 and AIS-2005 coding of traumatic brain injuries (TBI) using medical records at a single Level I trauma center. We included patients with severe TBI (Glasgow Coma Scale 3-8) after blunt injury, excluding those who were missing medical records. Detailed descriptions of injuries were collected, then manually coded into AIS-1998 and AIS-2005 by the same Certified AIS Specialist. Compared to AIS-1998, AIS-2005 coded the same injuries with lower severity scores [p&lt;0.01] and with decreased mean and maximum AIS-Head scores [p&lt;0.01]. Of the types of traumatic brain injuries, most of the changes occurred among cerebellar and cerebral injuries. Traumatic hypoxic brain injury secondary to systemic dysfunction was captured by AIS-2005 but not by AIS-1998. However, AIS-2005 captured fewer loss of consciousness cases due to changes in criteria for coding concussive injury. In conclusion, changes from AIS-1998 to AIS-2005 result in significant differences in severity scores and types of injuries captured. This may complicate future TBI research by precluding direct comparison to datasets using AIS-1998. TBIs should be coded into the same AIS-version for comparison or evaluation of trends, and specify which AIS-version is used.","author":[{"dropping-particle":"","family":"Carroll","given":"Christopher P","non-dropping-particle":"","parse-names":false,"suffix":""},{"dropping-particle":"","family":"Cochran","given":"Joseph A","non-dropping-particle":"","parse-names":false,"suffix":""},{"dropping-particle":"","family":"Price","given":"Janet P","non-dropping-particle":"","parse-names":false,"suffix":""},{"dropping-particle":"","family":"Guse","given":"Clare E","non-dropping-particle":"","parse-names":false,"suffix":""},{"dropping-particle":"","family":"Wang","given":"Marjorie C","non-dropping-particle":"","parse-names":false,"suffix":""}],"container-title":"Annals of Advances in Automotive Medicine - 54th Annual Scientific Conference","id":"ITEM-1","issued":{"date-parts":[["2010"]]},"page":"233-238","title":"The AIS-2005 revision in severe traumatic brain injury: Mission accomplished or problems for future research?","type":"paper-conference"},"uris":["http://www.mendeley.com/documents/?uuid=494f48db-9c31-33e3-9cf9-35395ee994e3"]},{"id":"ITEM-2","itemData":{"ISSN":"15710661","abstract":"The cost of deploying a ubiquitous system to enhance a physical environment is likely to be considerable. The success of its deployment is highly dependent on its context: the physical environment and the activities that are to be carried out within it. This paper provides an initial exploration of whether stochastic process algebras (in particular PEPA with a Fluid Flow semantics) might be used to explore consequences before deployment. The focus of the exploration is to aid understanding of how a proposed system supports users within the environment. The challenge is to provide notations and techniques that will enable the analysis of potentially complex systems.","author":[{"dropping-particle":"","family":"Global Health Data","given":"","non-dropping-particle":"","parse-names":false,"suffix":""}],"container-title":"Institue for Health Metrics and Evaluation","id":"ITEM-2","issued":{"date-parts":[["2017"]]},"title":"GBD Results Tool | GHDx","type":"article-journal"},"uris":["http://www.mendeley.com/documents/?uuid=332eefb7-f956-486f-a7e0-95858fee8e38"]},{"id":"ITEM-3","itemData":{"DOI":"10.1016/j.wneu.2017.09.084","ISSN":"18788769","abstract":"Background Trauma accounts for 4.7 million deaths each year, with an estimated 90% of these occurring in low- and middle-income countries (LMICs). Approximately half of trauma-related deaths are caused by central nervous system injury. Because a thorough understanding of traumatic brain injury (TBI) in LMICs is essential to mitigate TBI-related mortality, we established a clinical and radiographic database to characterize TBI in our low-income setting. Methods This is a review of prospectively collected data from Kamuzu Central Hospital, a tertiary care center in the capital of Malawi. All patients admitted from October 2016 through May 2017 with a history of head trauma, altered consciousness, and/or radiographic evidence TBI were included. We performed descriptive statistics, a Cox regression analysis, and a survival analysis. Results There were 280 patients who met inclusion criteria; of these, 80.5% were men. The mean age was 28.8 ± 16.3 years. Median Glasgow Coma Scale (GCS) score was 12 (interquartile range, 8–15). Road traffic crashes constituted the most common injury mechanism (60.7%). There were 148 (52.3%) patients who received a computed tomography scan, with the most common findings being contusions (26.1%). Of the patients, 88 (33.0%) had severe TBI, defined as a GCS score ≤8, of whom 27.6% were intubated and 10.3% received tracheostomies. Overall mortality was 30.9%. Of patients who survived, 80.1% made a good recovery. Female sex was protective, and the only significant predictor of poor functional outcome was presence of severe TBI (hazard ratio, 2.98; 95% confidence interval, 1.79–4.95). Conclusions TBI represents a significant part of the global neurosurgical burden of disease. Implementation of proven in-hospital interventions for these patients is critical to attenuate TBI-related morbidity and mortality.","author":[{"dropping-particle":"","family":"Eaton","given":"Jessica","non-dropping-particle":"","parse-names":false,"suffix":""},{"dropping-particle":"","family":"Hanif","given":"Asma Bilal","non-dropping-particle":"","parse-names":false,"suffix":""},{"dropping-particle":"","family":"Grudziak","given":"Joanna","non-dropping-particle":"","parse-names":false,"suffix":""},{"dropping-particle":"","family":"Charles","given":"Anthony","non-dropping-particle":"","parse-names":false,"suffix":""}],"container-title":"World Neurosurgery","id":"ITEM-3","issued":{"date-parts":[["2017","12","1"]]},"page":"650-655","publisher":"Elsevier Inc.","title":"Epidemiology, Management, and Functional Outcomes of Traumatic Brain Injury in Sub-Saharan Africa","type":"article-journal","volume":"108"},"uris":["http://www.mendeley.com/documents/?uuid=6a43943e-a11d-432e-b357-ccf32a4ba38e"]}],"mendeley":{"formattedCitation":"(Carroll et al. 2010; Global Health Data 2017; Eaton et al. 2017)","plainTextFormattedCitation":"(Carroll et al. 2010; Global Health Data 2017; Eaton et al. 2017)","previouslyFormattedCitation":"(Carroll et al. 2010; Global Health Data 2017; Eaton et al. 2017)"},"properties":{"noteIndex":0},"schema":"https://github.com/citation-style-language/schema/raw/master/csl-citation.json"}</w:instrText>
            </w:r>
            <w:r>
              <w:fldChar w:fldCharType="separate"/>
            </w:r>
            <w:r w:rsidRPr="005137A1">
              <w:rPr>
                <w:noProof/>
              </w:rPr>
              <w:t>(Carroll et al. 2010; Global Health Data 2017; Eaton et al. 2017)</w:t>
            </w:r>
            <w:r>
              <w:fldChar w:fldCharType="end"/>
            </w:r>
          </w:p>
        </w:tc>
      </w:tr>
      <w:tr w:rsidR="00D52A47" w14:paraId="6397C113" w14:textId="77777777" w:rsidTr="00356EB3">
        <w:tc>
          <w:tcPr>
            <w:tcW w:w="3255" w:type="dxa"/>
            <w:vAlign w:val="bottom"/>
          </w:tcPr>
          <w:p w14:paraId="241CD25A" w14:textId="77777777" w:rsidR="00D52A47" w:rsidRPr="0008524E" w:rsidRDefault="00D52A47" w:rsidP="00356EB3">
            <w:pPr>
              <w:keepNext/>
              <w:spacing w:line="480" w:lineRule="auto"/>
              <w:jc w:val="center"/>
            </w:pPr>
            <w:r>
              <w:rPr>
                <w:rFonts w:ascii="Calibri" w:hAnsi="Calibri" w:cs="Calibri"/>
                <w:color w:val="000000"/>
              </w:rPr>
              <w:lastRenderedPageBreak/>
              <w:t>head_prob_135</w:t>
            </w:r>
          </w:p>
        </w:tc>
        <w:tc>
          <w:tcPr>
            <w:tcW w:w="1702" w:type="dxa"/>
          </w:tcPr>
          <w:p w14:paraId="00BE82B8" w14:textId="77777777" w:rsidR="00D52A47" w:rsidRDefault="00D52A47" w:rsidP="00356EB3">
            <w:pPr>
              <w:keepNext/>
              <w:spacing w:line="480" w:lineRule="auto"/>
              <w:jc w:val="center"/>
            </w:pPr>
            <w:r>
              <w:t>Probability of a d</w:t>
            </w:r>
            <w:r w:rsidRPr="005B56EB">
              <w:t>iffuse axonal injury/midline shift</w:t>
            </w:r>
          </w:p>
        </w:tc>
        <w:tc>
          <w:tcPr>
            <w:tcW w:w="2587" w:type="dxa"/>
            <w:gridSpan w:val="2"/>
            <w:vAlign w:val="bottom"/>
          </w:tcPr>
          <w:p w14:paraId="27A96CEA" w14:textId="77777777" w:rsidR="00D52A47" w:rsidRPr="0008524E" w:rsidRDefault="00D52A47" w:rsidP="00356EB3">
            <w:pPr>
              <w:keepNext/>
              <w:spacing w:line="480" w:lineRule="auto"/>
              <w:jc w:val="center"/>
            </w:pPr>
            <w:r>
              <w:rPr>
                <w:rFonts w:ascii="Calibri" w:hAnsi="Calibri" w:cs="Calibri"/>
                <w:color w:val="000000"/>
              </w:rPr>
              <w:t>0.061731</w:t>
            </w:r>
          </w:p>
        </w:tc>
        <w:tc>
          <w:tcPr>
            <w:tcW w:w="1472" w:type="dxa"/>
          </w:tcPr>
          <w:p w14:paraId="29C41CF6" w14:textId="77777777" w:rsidR="00D52A47" w:rsidRPr="0008524E" w:rsidRDefault="00D52A47" w:rsidP="00356EB3">
            <w:pPr>
              <w:keepNext/>
              <w:spacing w:line="480" w:lineRule="auto"/>
              <w:jc w:val="center"/>
            </w:pPr>
            <w:r>
              <w:fldChar w:fldCharType="begin" w:fldLock="1"/>
            </w:r>
            <w:r>
              <w:instrText>ADDIN CSL_CITATION {"citationItems":[{"id":"ITEM-1","itemData":{"ISSN":"1943-2461","PMID":"21050606","abstract":"The Abbreviated Injury Scale (AIS) is commonly used to score injury severity and describe types of injuries. In 2005, the AIS-Head section was revised to capture more detailed information about head injuries and to better reflect their clinical severity, but the impact of these changes is largely unknown. The purpose of this study was to compare AIS-1998 and AIS-2005 coding of traumatic brain injuries (TBI) using medical records at a single Level I trauma center. We included patients with severe TBI (Glasgow Coma Scale 3-8) after blunt injury, excluding those who were missing medical records. Detailed descriptions of injuries were collected, then manually coded into AIS-1998 and AIS-2005 by the same Certified AIS Specialist. Compared to AIS-1998, AIS-2005 coded the same injuries with lower severity scores [p&lt;0.01] and with decreased mean and maximum AIS-Head scores [p&lt;0.01]. Of the types of traumatic brain injuries, most of the changes occurred among cerebellar and cerebral injuries. Traumatic hypoxic brain injury secondary to systemic dysfunction was captured by AIS-2005 but not by AIS-1998. However, AIS-2005 captured fewer loss of consciousness cases due to changes in criteria for coding concussive injury. In conclusion, changes from AIS-1998 to AIS-2005 result in significant differences in severity scores and types of injuries captured. This may complicate future TBI research by precluding direct comparison to datasets using AIS-1998. TBIs should be coded into the same AIS-version for comparison or evaluation of trends, and specify which AIS-version is used.","author":[{"dropping-particle":"","family":"Carroll","given":"Christopher P","non-dropping-particle":"","parse-names":false,"suffix":""},{"dropping-particle":"","family":"Cochran","given":"Joseph A","non-dropping-particle":"","parse-names":false,"suffix":""},{"dropping-particle":"","family":"Price","given":"Janet P","non-dropping-particle":"","parse-names":false,"suffix":""},{"dropping-particle":"","family":"Guse","given":"Clare E","non-dropping-particle":"","parse-names":false,"suffix":""},{"dropping-particle":"","family":"Wang","given":"Marjorie C","non-dropping-particle":"","parse-names":false,"suffix":""}],"container-title":"Annals of Advances in Automotive Medicine - 54th Annual Scientific Conference","id":"ITEM-1","issued":{"date-parts":[["2010"]]},"page":"233-238","title":"The AIS-2005 revision in severe traumatic brain injury: Mission accomplished or problems for future research?","type":"paper-conference"},"uris":["http://www.mendeley.com/documents/?uuid=494f48db-9c31-33e3-9cf9-35395ee994e3"]},{"id":"ITEM-2","itemData":{"ISSN":"15710661","abstract":"The cost of deploying a ubiquitous system to enhance a physical environment is likely to be considerable. The success of its deployment is highly dependent on its context: the physical environment and the activities that are to be carried out within it. This paper provides an initial exploration of whether stochastic process algebras (in particular PEPA with a Fluid Flow semantics) might be used to explore consequences before deployment. The focus of the exploration is to aid understanding of how a proposed system supports users within the environment. The challenge is to provide notations and techniques that will enable the analysis of potentially complex systems.","author":[{"dropping-particle":"","family":"Global Health Data","given":"","non-dropping-particle":"","parse-names":false,"suffix":""}],"container-title":"Institue for Health Metrics and Evaluation","id":"ITEM-2","issued":{"date-parts":[["2017"]]},"title":"GBD Results Tool | GHDx","type":"article-journal"},"uris":["http://www.mendeley.com/documents/?uuid=332eefb7-f956-486f-a7e0-95858fee8e38"]},{"id":"ITEM-3","itemData":{"DOI":"10.1016/j.wneu.2017.09.084","ISSN":"18788769","abstract":"Background Trauma accounts for 4.7 million deaths each year, with an estimated 90% of these occurring in low- and middle-income countries (LMICs). Approximately half of trauma-related deaths are caused by central nervous system injury. Because a thorough understanding of traumatic brain injury (TBI) in LMICs is essential to mitigate TBI-related mortality, we established a clinical and radiographic database to characterize TBI in our low-income setting. Methods This is a review of prospectively collected data from Kamuzu Central Hospital, a tertiary care center in the capital of Malawi. All patients admitted from October 2016 through May 2017 with a history of head trauma, altered consciousness, and/or radiographic evidence TBI were included. We performed descriptive statistics, a Cox regression analysis, and a survival analysis. Results There were 280 patients who met inclusion criteria; of these, 80.5% were men. The mean age was 28.8 ± 16.3 years. Median Glasgow Coma Scale (GCS) score was 12 (interquartile range, 8–15). Road traffic crashes constituted the most common injury mechanism (60.7%). There were 148 (52.3%) patients who received a computed tomography scan, with the most common findings being contusions (26.1%). Of the patients, 88 (33.0%) had severe TBI, defined as a GCS score ≤8, of whom 27.6% were intubated and 10.3% received tracheostomies. Overall mortality was 30.9%. Of patients who survived, 80.1% made a good recovery. Female sex was protective, and the only significant predictor of poor functional outcome was presence of severe TBI (hazard ratio, 2.98; 95% confidence interval, 1.79–4.95). Conclusions TBI represents a significant part of the global neurosurgical burden of disease. Implementation of proven in-hospital interventions for these patients is critical to attenuate TBI-related morbidity and mortality.","author":[{"dropping-particle":"","family":"Eaton","given":"Jessica","non-dropping-particle":"","parse-names":false,"suffix":""},{"dropping-particle":"","family":"Hanif","given":"Asma Bilal","non-dropping-particle":"","parse-names":false,"suffix":""},{"dropping-particle":"","family":"Grudziak","given":"Joanna","non-dropping-particle":"","parse-names":false,"suffix":""},{"dropping-particle":"","family":"Charles","given":"Anthony","non-dropping-particle":"","parse-names":false,"suffix":""}],"container-title":"World Neurosurgery","id":"ITEM-3","issued":{"date-parts":[["2017","12","1"]]},"page":"650-655","publisher":"Elsevier Inc.","title":"Epidemiology, Management, and Functional Outcomes of Traumatic Brain Injury in Sub-Saharan Africa","type":"article-journal","volume":"108"},"uris":["http://www.mendeley.com/documents/?uuid=6a43943e-a11d-432e-b357-ccf32a4ba38e"]}],"mendeley":{"formattedCitation":"(Carroll et al. 2010; Global Health Data 2017; Eaton et al. 2017)","plainTextFormattedCitation":"(Carroll et al. 2010; Global Health Data 2017; Eaton et al. 2017)","previouslyFormattedCitation":"(Carroll et al. 2010; Global Health Data 2017; Eaton et al. 2017)"},"properties":{"noteIndex":0},"schema":"https://github.com/citation-style-language/schema/raw/master/csl-citation.json"}</w:instrText>
            </w:r>
            <w:r>
              <w:fldChar w:fldCharType="separate"/>
            </w:r>
            <w:r w:rsidRPr="005137A1">
              <w:rPr>
                <w:noProof/>
              </w:rPr>
              <w:t>(Carroll et al. 2010; Global Health Data 2017; Eaton et al. 2017)</w:t>
            </w:r>
            <w:r>
              <w:fldChar w:fldCharType="end"/>
            </w:r>
          </w:p>
        </w:tc>
      </w:tr>
      <w:tr w:rsidR="00D52A47" w14:paraId="6E8C6C4A" w14:textId="77777777" w:rsidTr="00356EB3">
        <w:tc>
          <w:tcPr>
            <w:tcW w:w="3255" w:type="dxa"/>
            <w:vAlign w:val="bottom"/>
          </w:tcPr>
          <w:p w14:paraId="4FD6E4D5" w14:textId="77777777" w:rsidR="00D52A47" w:rsidRPr="0008524E" w:rsidRDefault="00D52A47" w:rsidP="00356EB3">
            <w:pPr>
              <w:keepNext/>
              <w:spacing w:line="480" w:lineRule="auto"/>
              <w:jc w:val="center"/>
            </w:pPr>
            <w:r>
              <w:rPr>
                <w:rFonts w:ascii="Calibri" w:hAnsi="Calibri" w:cs="Calibri"/>
                <w:color w:val="000000"/>
              </w:rPr>
              <w:t>head_prob_1101</w:t>
            </w:r>
          </w:p>
        </w:tc>
        <w:tc>
          <w:tcPr>
            <w:tcW w:w="1702" w:type="dxa"/>
          </w:tcPr>
          <w:p w14:paraId="0215A955" w14:textId="77777777" w:rsidR="00D52A47" w:rsidRDefault="00D52A47" w:rsidP="00356EB3">
            <w:pPr>
              <w:keepNext/>
              <w:spacing w:line="480" w:lineRule="auto"/>
              <w:jc w:val="center"/>
            </w:pPr>
            <w:r>
              <w:t>Probability of a l</w:t>
            </w:r>
            <w:r w:rsidRPr="005B56EB">
              <w:t>aceration to the head</w:t>
            </w:r>
          </w:p>
        </w:tc>
        <w:tc>
          <w:tcPr>
            <w:tcW w:w="2587" w:type="dxa"/>
            <w:gridSpan w:val="2"/>
            <w:vAlign w:val="bottom"/>
          </w:tcPr>
          <w:p w14:paraId="140DCF37" w14:textId="77777777" w:rsidR="00D52A47" w:rsidRPr="0008524E" w:rsidRDefault="00D52A47" w:rsidP="00356EB3">
            <w:pPr>
              <w:keepNext/>
              <w:spacing w:line="480" w:lineRule="auto"/>
              <w:jc w:val="center"/>
            </w:pPr>
            <w:r>
              <w:rPr>
                <w:rFonts w:ascii="Calibri" w:hAnsi="Calibri" w:cs="Calibri"/>
                <w:color w:val="000000"/>
              </w:rPr>
              <w:t>0.253536</w:t>
            </w:r>
          </w:p>
        </w:tc>
        <w:tc>
          <w:tcPr>
            <w:tcW w:w="1472" w:type="dxa"/>
          </w:tcPr>
          <w:p w14:paraId="70D32056" w14:textId="77777777" w:rsidR="00D52A47" w:rsidRPr="0008524E" w:rsidRDefault="00D52A47" w:rsidP="00356EB3">
            <w:pPr>
              <w:keepNext/>
              <w:spacing w:line="480" w:lineRule="auto"/>
              <w:jc w:val="center"/>
            </w:pPr>
            <w:r>
              <w:fldChar w:fldCharType="begin" w:fldLock="1"/>
            </w:r>
            <w:r>
              <w:instrText>ADDIN CSL_CITATION {"citationItems":[{"id":"ITEM-1","itemData":{"ISSN":"1943-2461","PMID":"19026226","abstract":"In addition to investigating risk of death due to road traffic injuries, there is a need to better describe the risk of serious consequences. This study assessed risk of permanent medical impairment based on road traffic injuries classified according to AIS-2005. Injured car occupants were followed for at least 5 years to assess permanent medical impairment. After an initial injury, the risk of permanent impairment was established for injuries to different body regions and AIS levels. Degree of impairment was assessed according to a manual used by all Swedish insurance companies. Those included in the study were 20,484 car occupants injured in crashes that occurred between 1995 and 2001. Three risk levels of sustaining a permanent medical impairment (RPMI) were made. It was concluded that almost 10% of all car occupants with AISl injuries sustained a permanent medical impairment. It is therefore important to include minor injuries leading to impairment when measuring loss of health due to road traffic crashes. Furthermore the highest risk of sustaining a permanent medical impairment from an AISl injury was associated with injuries to the cervical spine and upper and lower extremities. One third of AIS3 head and cervical spine injuries led to the highest RPMI level of impairment. Injuries to the thorax and abdomen gave the lowest risk of permanent medical impairment on all AIS levels and all impairment levels. The result can be used for road transport system strategies, and for making priority decisions in vehicle design.","author":[{"dropping-particle":"","family":"Malm","given":"Sigrun","non-dropping-particle":"","parse-names":false,"suffix":""},{"dropping-particle":"","family":"Krafft","given":"Maria","non-dropping-particle":"","parse-names":false,"suffix":""},{"dropping-particle":"","family":"Kullgren","given":"Anders","non-dropping-particle":"","parse-names":false,"suffix":""},{"dropping-particle":"","family":"Ydenius","given":"Anders","non-dropping-particle":"","parse-names":false,"suffix":""},{"dropping-particle":"","family":"Tingvall","given":"Claes","non-dropping-particle":"","parse-names":false,"suffix":""}],"container-title":"Annals of Advances in Automotive Medicine - 52nd Annual Scientific Conference","id":"ITEM-1","issued":{"date-parts":[["2008"]]},"page":"93-100","title":"Risk of permanent medical impairment (RPMI) in road traffic accidents","type":"paper-conference","volume":"52"},"uris":["http://www.mendeley.com/documents/?uuid=1a59c942-dcac-3c10-88a7-d12e806e32e0"]},{"id":"ITEM-2","itemData":{"ISSN":"15710661","abstract":"The cost of deploying a ubiquitous system to enhance a physical environment is likely to be considerable. The success of its deployment is highly dependent on its context: the physical environment and the activities that are to be carried out within it. This paper provides an initial exploration of whether stochastic process algebras (in particular PEPA with a Fluid Flow semantics) might be used to explore consequences before deployment. The focus of the exploration is to aid understanding of how a proposed system supports users within the environment. The challenge is to provide notations and techniques that will enable the analysis of potentially complex systems.","author":[{"dropping-particle":"","family":"Global Health Data","given":"","non-dropping-particle":"","parse-names":false,"suffix":""}],"container-title":"Institue for Health Metrics and Evaluation","id":"ITEM-2","issued":{"date-parts":[["2017"]]},"title":"GBD Results Tool | GHDx","type":"article-journal"},"uris":["http://www.mendeley.com/documents/?uuid=332eefb7-f956-486f-a7e0-95858fee8e38"]}],"mendeley":{"formattedCitation":"(Malm et al. 2008; Global Health Data 2017)","plainTextFormattedCitation":"(Malm et al. 2008; Global Health Data 2017)","previouslyFormattedCitation":"(Malm et al. 2008; Global Health Data 2017)"},"properties":{"noteIndex":0},"schema":"https://github.com/citation-style-language/schema/raw/master/csl-citation.json"}</w:instrText>
            </w:r>
            <w:r>
              <w:fldChar w:fldCharType="separate"/>
            </w:r>
            <w:r w:rsidRPr="00BB6083">
              <w:rPr>
                <w:noProof/>
              </w:rPr>
              <w:t>(Malm et al. 2008; Global Health Data 2017)</w:t>
            </w:r>
            <w:r>
              <w:fldChar w:fldCharType="end"/>
            </w:r>
          </w:p>
        </w:tc>
      </w:tr>
      <w:tr w:rsidR="00D52A47" w14:paraId="5C949A65" w14:textId="77777777" w:rsidTr="00356EB3">
        <w:tc>
          <w:tcPr>
            <w:tcW w:w="3255" w:type="dxa"/>
            <w:vAlign w:val="bottom"/>
          </w:tcPr>
          <w:p w14:paraId="1C234633" w14:textId="77777777" w:rsidR="00D52A47" w:rsidRPr="0008524E" w:rsidRDefault="00D52A47" w:rsidP="00356EB3">
            <w:pPr>
              <w:keepNext/>
              <w:spacing w:line="480" w:lineRule="auto"/>
              <w:jc w:val="center"/>
            </w:pPr>
            <w:r>
              <w:rPr>
                <w:rFonts w:ascii="Calibri" w:hAnsi="Calibri" w:cs="Calibri"/>
                <w:color w:val="000000"/>
              </w:rPr>
              <w:t>head_prob_1114</w:t>
            </w:r>
          </w:p>
        </w:tc>
        <w:tc>
          <w:tcPr>
            <w:tcW w:w="1702" w:type="dxa"/>
          </w:tcPr>
          <w:p w14:paraId="1048DAFC" w14:textId="77777777" w:rsidR="00D52A47" w:rsidRDefault="00D52A47" w:rsidP="00356EB3">
            <w:pPr>
              <w:keepNext/>
              <w:spacing w:line="480" w:lineRule="auto"/>
              <w:jc w:val="center"/>
            </w:pPr>
            <w:r>
              <w:t>Probability of a burn to the head</w:t>
            </w:r>
          </w:p>
        </w:tc>
        <w:tc>
          <w:tcPr>
            <w:tcW w:w="2587" w:type="dxa"/>
            <w:gridSpan w:val="2"/>
            <w:vAlign w:val="bottom"/>
          </w:tcPr>
          <w:p w14:paraId="5605C1D3" w14:textId="77777777" w:rsidR="00D52A47" w:rsidRPr="0008524E" w:rsidRDefault="00D52A47" w:rsidP="00356EB3">
            <w:pPr>
              <w:keepNext/>
              <w:spacing w:line="480" w:lineRule="auto"/>
              <w:jc w:val="center"/>
            </w:pPr>
            <w:r>
              <w:rPr>
                <w:rFonts w:ascii="Calibri" w:hAnsi="Calibri" w:cs="Calibri"/>
                <w:color w:val="000000"/>
              </w:rPr>
              <w:t>0.010564</w:t>
            </w:r>
          </w:p>
        </w:tc>
        <w:tc>
          <w:tcPr>
            <w:tcW w:w="1472" w:type="dxa"/>
          </w:tcPr>
          <w:p w14:paraId="35E9920C" w14:textId="77777777" w:rsidR="00D52A47" w:rsidRPr="0008524E" w:rsidRDefault="00D52A47" w:rsidP="00356EB3">
            <w:pPr>
              <w:keepNext/>
              <w:spacing w:line="480" w:lineRule="auto"/>
              <w:jc w:val="center"/>
            </w:pPr>
            <w:r w:rsidRPr="0008524E">
              <w:t>(Tian et al. 2018; Global Health Data 2017)</w:t>
            </w:r>
          </w:p>
        </w:tc>
      </w:tr>
      <w:tr w:rsidR="00D52A47" w14:paraId="2DD47A72" w14:textId="77777777" w:rsidTr="00356EB3">
        <w:tc>
          <w:tcPr>
            <w:tcW w:w="3255" w:type="dxa"/>
            <w:vAlign w:val="bottom"/>
          </w:tcPr>
          <w:p w14:paraId="4BF3EBD5" w14:textId="77777777" w:rsidR="00D52A47" w:rsidRPr="0008524E" w:rsidRDefault="00D52A47" w:rsidP="00356EB3">
            <w:pPr>
              <w:keepNext/>
              <w:spacing w:line="480" w:lineRule="auto"/>
              <w:jc w:val="center"/>
            </w:pPr>
            <w:r>
              <w:rPr>
                <w:rFonts w:ascii="Calibri" w:hAnsi="Calibri" w:cs="Calibri"/>
                <w:color w:val="000000"/>
              </w:rPr>
              <w:t>face_prob_211</w:t>
            </w:r>
          </w:p>
        </w:tc>
        <w:tc>
          <w:tcPr>
            <w:tcW w:w="1702" w:type="dxa"/>
          </w:tcPr>
          <w:p w14:paraId="67AB2DBB" w14:textId="77777777" w:rsidR="00D52A47" w:rsidRDefault="00D52A47" w:rsidP="00356EB3">
            <w:pPr>
              <w:keepNext/>
              <w:spacing w:line="480" w:lineRule="auto"/>
              <w:jc w:val="center"/>
            </w:pPr>
            <w:r>
              <w:t>Probability of a f</w:t>
            </w:r>
            <w:r w:rsidRPr="005137A1">
              <w:t>acial fracture (nasal/unspecified)</w:t>
            </w:r>
          </w:p>
        </w:tc>
        <w:tc>
          <w:tcPr>
            <w:tcW w:w="2587" w:type="dxa"/>
            <w:gridSpan w:val="2"/>
            <w:vAlign w:val="bottom"/>
          </w:tcPr>
          <w:p w14:paraId="2D065998" w14:textId="77777777" w:rsidR="00D52A47" w:rsidRPr="0008524E" w:rsidRDefault="00D52A47" w:rsidP="00356EB3">
            <w:pPr>
              <w:keepNext/>
              <w:spacing w:line="480" w:lineRule="auto"/>
              <w:jc w:val="center"/>
            </w:pPr>
            <w:r>
              <w:rPr>
                <w:rFonts w:ascii="Calibri" w:hAnsi="Calibri" w:cs="Calibri"/>
                <w:color w:val="000000"/>
              </w:rPr>
              <w:t>0.158585</w:t>
            </w:r>
          </w:p>
        </w:tc>
        <w:tc>
          <w:tcPr>
            <w:tcW w:w="1472" w:type="dxa"/>
          </w:tcPr>
          <w:p w14:paraId="67A7DCF4" w14:textId="77777777" w:rsidR="00D52A47" w:rsidRPr="0008524E" w:rsidRDefault="00D52A47" w:rsidP="00356EB3">
            <w:pPr>
              <w:keepNext/>
              <w:spacing w:line="480" w:lineRule="auto"/>
              <w:jc w:val="center"/>
            </w:pPr>
            <w:r>
              <w:fldChar w:fldCharType="begin" w:fldLock="1"/>
            </w:r>
            <w:r>
              <w:instrText>ADDIN CSL_CITATION {"citationItems":[{"id":"ITEM-1","itemData":{"author":[{"dropping-particle":"","family":"Hassan","given":"Saidi","non-dropping-particle":"","parse-names":false,"suffix":""}],"id":"ITEM-1","issued":{"date-parts":[["2016"]]},"number-of-pages":"1-186","publisher":"University of Nairobi","title":"Major injury cases in Nairobi: characterization of contexts, outcomes and injury documentation","type":"thesis"},"uris":["http://www.mendeley.com/documents/?uuid=c5a0be6d-a5ff-30d9-a672-64f80e618425"]}],"mendeley":{"formattedCitation":"(Hassan 2016)","plainTextFormattedCitation":"(Hassan 2016)","previouslyFormattedCitation":"(Hassan 2016)"},"properties":{"noteIndex":0},"schema":"https://github.com/citation-style-language/schema/raw/master/csl-citation.json"}</w:instrText>
            </w:r>
            <w:r>
              <w:fldChar w:fldCharType="separate"/>
            </w:r>
            <w:r w:rsidRPr="00725574">
              <w:rPr>
                <w:noProof/>
              </w:rPr>
              <w:t>(Hassan 2016)</w:t>
            </w:r>
            <w:r>
              <w:fldChar w:fldCharType="end"/>
            </w:r>
          </w:p>
        </w:tc>
      </w:tr>
      <w:tr w:rsidR="00D52A47" w14:paraId="7CC9CBF7" w14:textId="77777777" w:rsidTr="00356EB3">
        <w:tc>
          <w:tcPr>
            <w:tcW w:w="3255" w:type="dxa"/>
            <w:vAlign w:val="bottom"/>
          </w:tcPr>
          <w:p w14:paraId="4B6A4047" w14:textId="77777777" w:rsidR="00D52A47" w:rsidRPr="0008524E" w:rsidRDefault="00D52A47" w:rsidP="00356EB3">
            <w:pPr>
              <w:keepNext/>
              <w:spacing w:line="480" w:lineRule="auto"/>
              <w:jc w:val="center"/>
            </w:pPr>
            <w:r>
              <w:rPr>
                <w:rFonts w:ascii="Calibri" w:hAnsi="Calibri" w:cs="Calibri"/>
                <w:color w:val="000000"/>
              </w:rPr>
              <w:t>face_prob_212</w:t>
            </w:r>
          </w:p>
        </w:tc>
        <w:tc>
          <w:tcPr>
            <w:tcW w:w="1702" w:type="dxa"/>
          </w:tcPr>
          <w:p w14:paraId="4630CDF7" w14:textId="77777777" w:rsidR="00D52A47" w:rsidRDefault="00D52A47" w:rsidP="00356EB3">
            <w:pPr>
              <w:keepNext/>
              <w:spacing w:line="480" w:lineRule="auto"/>
              <w:jc w:val="center"/>
            </w:pPr>
            <w:r>
              <w:t>Probability of a f</w:t>
            </w:r>
            <w:r w:rsidRPr="005137A1">
              <w:t>acial fracture (mandible/zygomatic)</w:t>
            </w:r>
          </w:p>
        </w:tc>
        <w:tc>
          <w:tcPr>
            <w:tcW w:w="2587" w:type="dxa"/>
            <w:gridSpan w:val="2"/>
            <w:vAlign w:val="bottom"/>
          </w:tcPr>
          <w:p w14:paraId="595A6554" w14:textId="77777777" w:rsidR="00D52A47" w:rsidRPr="0008524E" w:rsidRDefault="00D52A47" w:rsidP="00356EB3">
            <w:pPr>
              <w:keepNext/>
              <w:spacing w:line="480" w:lineRule="auto"/>
              <w:jc w:val="center"/>
            </w:pPr>
            <w:r>
              <w:rPr>
                <w:rFonts w:ascii="Calibri" w:hAnsi="Calibri" w:cs="Calibri"/>
                <w:color w:val="000000"/>
              </w:rPr>
              <w:t>0.294515</w:t>
            </w:r>
          </w:p>
        </w:tc>
        <w:tc>
          <w:tcPr>
            <w:tcW w:w="1472" w:type="dxa"/>
          </w:tcPr>
          <w:p w14:paraId="7BEE373B" w14:textId="77777777" w:rsidR="00D52A47" w:rsidRPr="0008524E" w:rsidRDefault="00D52A47" w:rsidP="00356EB3">
            <w:pPr>
              <w:keepNext/>
              <w:spacing w:line="480" w:lineRule="auto"/>
              <w:jc w:val="center"/>
            </w:pPr>
            <w:r>
              <w:fldChar w:fldCharType="begin" w:fldLock="1"/>
            </w:r>
            <w:r>
              <w:instrText>ADDIN CSL_CITATION {"citationItems":[{"id":"ITEM-1","itemData":{"author":[{"dropping-particle":"","family":"Hassan","given":"Saidi","non-dropping-particle":"","parse-names":false,"suffix":""}],"id":"ITEM-1","issued":{"date-parts":[["2016"]]},"number-of-pages":"1-186","publisher":"University of Nairobi","title":"Major injury cases in Nairobi: characterization of contexts, outcomes and injury documentation","type":"thesis"},"uris":["http://www.mendeley.com/documents/?uuid=c5a0be6d-a5ff-30d9-a672-64f80e618425"]}],"mendeley":{"formattedCitation":"(Hassan 2016)","plainTextFormattedCitation":"(Hassan 2016)","previouslyFormattedCitation":"(Hassan 2016)"},"properties":{"noteIndex":0},"schema":"https://github.com/citation-style-language/schema/raw/master/csl-citation.json"}</w:instrText>
            </w:r>
            <w:r>
              <w:fldChar w:fldCharType="separate"/>
            </w:r>
            <w:r w:rsidRPr="00725574">
              <w:rPr>
                <w:noProof/>
              </w:rPr>
              <w:t>(Hassan 2016)</w:t>
            </w:r>
            <w:r>
              <w:fldChar w:fldCharType="end"/>
            </w:r>
          </w:p>
        </w:tc>
      </w:tr>
      <w:tr w:rsidR="00D52A47" w14:paraId="0DAE662E" w14:textId="77777777" w:rsidTr="00356EB3">
        <w:tc>
          <w:tcPr>
            <w:tcW w:w="3255" w:type="dxa"/>
            <w:vAlign w:val="bottom"/>
          </w:tcPr>
          <w:p w14:paraId="64A2B48B" w14:textId="77777777" w:rsidR="00D52A47" w:rsidRPr="0008524E" w:rsidRDefault="00D52A47" w:rsidP="00356EB3">
            <w:pPr>
              <w:keepNext/>
              <w:spacing w:line="480" w:lineRule="auto"/>
              <w:jc w:val="center"/>
            </w:pPr>
            <w:r>
              <w:rPr>
                <w:rFonts w:ascii="Calibri" w:hAnsi="Calibri" w:cs="Calibri"/>
                <w:color w:val="000000"/>
              </w:rPr>
              <w:t>face_prob_241</w:t>
            </w:r>
          </w:p>
        </w:tc>
        <w:tc>
          <w:tcPr>
            <w:tcW w:w="1702" w:type="dxa"/>
          </w:tcPr>
          <w:p w14:paraId="50F53567" w14:textId="77777777" w:rsidR="00D52A47" w:rsidRDefault="00D52A47" w:rsidP="00356EB3">
            <w:pPr>
              <w:keepNext/>
              <w:spacing w:line="480" w:lineRule="auto"/>
              <w:jc w:val="center"/>
            </w:pPr>
            <w:r>
              <w:t>Probability of a s</w:t>
            </w:r>
            <w:r w:rsidRPr="005137A1">
              <w:t>oft tissue injury to face</w:t>
            </w:r>
          </w:p>
        </w:tc>
        <w:tc>
          <w:tcPr>
            <w:tcW w:w="2587" w:type="dxa"/>
            <w:gridSpan w:val="2"/>
            <w:vAlign w:val="bottom"/>
          </w:tcPr>
          <w:p w14:paraId="6A0E8263" w14:textId="77777777" w:rsidR="00D52A47" w:rsidRPr="0008524E" w:rsidRDefault="00D52A47" w:rsidP="00356EB3">
            <w:pPr>
              <w:keepNext/>
              <w:spacing w:line="480" w:lineRule="auto"/>
              <w:jc w:val="center"/>
            </w:pPr>
            <w:r>
              <w:rPr>
                <w:rFonts w:ascii="Calibri" w:hAnsi="Calibri" w:cs="Calibri"/>
                <w:color w:val="000000"/>
              </w:rPr>
              <w:t>0.339</w:t>
            </w:r>
          </w:p>
        </w:tc>
        <w:tc>
          <w:tcPr>
            <w:tcW w:w="1472" w:type="dxa"/>
          </w:tcPr>
          <w:p w14:paraId="49AD053A" w14:textId="77777777" w:rsidR="00D52A47" w:rsidRPr="0008524E" w:rsidRDefault="00D52A47" w:rsidP="00356EB3">
            <w:pPr>
              <w:keepNext/>
              <w:spacing w:line="480" w:lineRule="auto"/>
              <w:jc w:val="center"/>
            </w:pPr>
            <w:r>
              <w:fldChar w:fldCharType="begin" w:fldLock="1"/>
            </w:r>
            <w:r>
              <w:instrText>ADDIN CSL_CITATION {"citationItems":[{"id":"ITEM-1","itemData":{"author":[{"dropping-particle":"","family":"Hassan","given":"Saidi","non-dropping-particle":"","parse-names":false,"suffix":""}],"id":"ITEM-1","issued":{"date-parts":[["2016"]]},"number-of-pages":"1-186","publisher":"University of Nairobi","title":"Major injury cases in Nairobi: characterization of contexts, outcomes and injury documentation","type":"thesis"},"uris":["http://www.mendeley.com/documents/?uuid=c5a0be6d-a5ff-30d9-a672-64f80e618425"]}],"mendeley":{"formattedCitation":"(Hassan 2016)","plainTextFormattedCitation":"(Hassan 2016)","previouslyFormattedCitation":"(Hassan 2016)"},"properties":{"noteIndex":0},"schema":"https://github.com/citation-style-language/schema/raw/master/csl-citation.json"}</w:instrText>
            </w:r>
            <w:r>
              <w:fldChar w:fldCharType="separate"/>
            </w:r>
            <w:r w:rsidRPr="00725574">
              <w:rPr>
                <w:noProof/>
              </w:rPr>
              <w:t>(Hassan 2016)</w:t>
            </w:r>
            <w:r>
              <w:fldChar w:fldCharType="end"/>
            </w:r>
          </w:p>
        </w:tc>
      </w:tr>
      <w:tr w:rsidR="00D52A47" w14:paraId="4FEDA98C" w14:textId="77777777" w:rsidTr="00356EB3">
        <w:tc>
          <w:tcPr>
            <w:tcW w:w="3255" w:type="dxa"/>
            <w:vAlign w:val="bottom"/>
          </w:tcPr>
          <w:p w14:paraId="76929999" w14:textId="77777777" w:rsidR="00D52A47" w:rsidRPr="0008524E" w:rsidRDefault="00D52A47" w:rsidP="00356EB3">
            <w:pPr>
              <w:keepNext/>
              <w:spacing w:line="480" w:lineRule="auto"/>
              <w:jc w:val="center"/>
            </w:pPr>
            <w:r>
              <w:rPr>
                <w:rFonts w:ascii="Calibri" w:hAnsi="Calibri" w:cs="Calibri"/>
                <w:color w:val="000000"/>
              </w:rPr>
              <w:t>face_prob_2101</w:t>
            </w:r>
          </w:p>
        </w:tc>
        <w:tc>
          <w:tcPr>
            <w:tcW w:w="1702" w:type="dxa"/>
          </w:tcPr>
          <w:p w14:paraId="711B66D5" w14:textId="77777777" w:rsidR="00D52A47" w:rsidRDefault="00D52A47" w:rsidP="00356EB3">
            <w:pPr>
              <w:keepNext/>
              <w:spacing w:line="480" w:lineRule="auto"/>
              <w:jc w:val="center"/>
            </w:pPr>
            <w:r>
              <w:t>Probability of a laceration to the face</w:t>
            </w:r>
          </w:p>
        </w:tc>
        <w:tc>
          <w:tcPr>
            <w:tcW w:w="2587" w:type="dxa"/>
            <w:gridSpan w:val="2"/>
            <w:vAlign w:val="bottom"/>
          </w:tcPr>
          <w:p w14:paraId="4344FB14" w14:textId="77777777" w:rsidR="00D52A47" w:rsidRPr="0008524E" w:rsidRDefault="00D52A47" w:rsidP="00356EB3">
            <w:pPr>
              <w:keepNext/>
              <w:spacing w:line="480" w:lineRule="auto"/>
              <w:jc w:val="center"/>
            </w:pPr>
            <w:r>
              <w:rPr>
                <w:rFonts w:ascii="Calibri" w:hAnsi="Calibri" w:cs="Calibri"/>
                <w:color w:val="000000"/>
              </w:rPr>
              <w:t>0.194845</w:t>
            </w:r>
          </w:p>
        </w:tc>
        <w:tc>
          <w:tcPr>
            <w:tcW w:w="1472" w:type="dxa"/>
          </w:tcPr>
          <w:p w14:paraId="4861184A" w14:textId="77777777" w:rsidR="00D52A47" w:rsidRPr="0008524E" w:rsidRDefault="00D52A47" w:rsidP="00356EB3">
            <w:pPr>
              <w:keepNext/>
              <w:spacing w:line="480" w:lineRule="auto"/>
              <w:jc w:val="center"/>
            </w:pPr>
            <w:r>
              <w:fldChar w:fldCharType="begin" w:fldLock="1"/>
            </w:r>
            <w:r>
              <w:instrText>ADDIN CSL_CITATION {"citationItems":[{"id":"ITEM-1","itemData":{"ISSN":"1943-2461","PMID":"19026226","abstract":"In addition to investigating risk of death due to road traffic injuries, there is a need to better describe the risk of serious consequences. This study assessed risk of permanent medical impairment based on road traffic injuries classified according to AIS-2005. Injured car occupants were followed for at least 5 years to assess permanent medical impairment. After an initial injury, the risk of permanent impairment was established for injuries to different body regions and AIS levels. Degree of impairment was assessed according to a manual used by all Swedish insurance companies. Those included in the study were 20,484 car occupants injured in crashes that occurred between 1995 and 2001. Three risk levels of sustaining a permanent medical impairment (RPMI) were made. It was concluded that almost 10% of all car occupants with AISl injuries sustained a permanent medical impairment. It is therefore important to include minor injuries leading to impairment when measuring loss of health due to road traffic crashes. Furthermore the highest risk of sustaining a permanent medical impairment from an AISl injury was associated with injuries to the cervical spine and upper and lower extremities. One third of AIS3 head and cervical spine injuries led to the highest RPMI level of impairment. Injuries to the thorax and abdomen gave the lowest risk of permanent medical impairment on all AIS levels and all impairment levels. The result can be used for road transport system strategies, and for making priority decisions in vehicle design.","author":[{"dropping-particle":"","family":"Malm","given":"Sigrun","non-dropping-particle":"","parse-names":false,"suffix":""},{"dropping-particle":"","family":"Krafft","given":"Maria","non-dropping-particle":"","parse-names":false,"suffix":""},{"dropping-particle":"","family":"Kullgren","given":"Anders","non-dropping-particle":"","parse-names":false,"suffix":""},{"dropping-particle":"","family":"Ydenius","given":"Anders","non-dropping-particle":"","parse-names":false,"suffix":""},{"dropping-particle":"","family":"Tingvall","given":"Claes","non-dropping-particle":"","parse-names":false,"suffix":""}],"container-title":"Annals of Advances in Automotive Medicine - 52nd Annual Scientific Conference","id":"ITEM-1","issued":{"date-parts":[["2008"]]},"page":"93-100","title":"Risk of permanent medical impairment (RPMI) in road traffic accidents","type":"paper-conference","volume":"52"},"uris":["http://www.mendeley.com/documents/?uuid=1a59c942-dcac-3c10-88a7-d12e806e32e0"]},{"id":"ITEM-2","itemData":{"ISSN":"15710661","abstract":"The cost of deploying a ubiquitous system to enhance a physical environment is likely to be considerable. The success of its deployment is highly dependent on its context: the physical environment and the activities that are to be carried out within it. This paper provides an initial exploration of whether stochastic process algebras (in particular PEPA with a Fluid Flow semantics) might be used to explore consequences before deployment. The focus of the exploration is to aid understanding of how a proposed system supports users within the environment. The challenge is to provide notations and techniques that will enable the analysis of potentially complex systems.","author":[{"dropping-particle":"","family":"Global Health Data","given":"","non-dropping-particle":"","parse-names":false,"suffix":""}],"container-title":"Institue for Health Metrics and Evaluation","id":"ITEM-2","issued":{"date-parts":[["2017"]]},"title":"GBD Results Tool | GHDx","type":"article-journal"},"uris":["http://www.mendeley.com/documents/?uuid=332eefb7-f956-486f-a7e0-95858fee8e38"]}],"mendeley":{"formattedCitation":"(Malm et al. 2008; Global Health Data 2017)","plainTextFormattedCitation":"(Malm et al. 2008; Global Health Data 2017)","previouslyFormattedCitation":"(Malm et al. 2008; Global Health Data 2017)"},"properties":{"noteIndex":0},"schema":"https://github.com/citation-style-language/schema/raw/master/csl-citation.json"}</w:instrText>
            </w:r>
            <w:r>
              <w:fldChar w:fldCharType="separate"/>
            </w:r>
            <w:r w:rsidRPr="00BB6083">
              <w:rPr>
                <w:noProof/>
              </w:rPr>
              <w:t>(Malm et al. 2008; Global Health Data 2017)</w:t>
            </w:r>
            <w:r>
              <w:fldChar w:fldCharType="end"/>
            </w:r>
          </w:p>
        </w:tc>
      </w:tr>
      <w:tr w:rsidR="00D52A47" w14:paraId="276BE466" w14:textId="77777777" w:rsidTr="00356EB3">
        <w:tc>
          <w:tcPr>
            <w:tcW w:w="3255" w:type="dxa"/>
            <w:vAlign w:val="bottom"/>
          </w:tcPr>
          <w:p w14:paraId="6B8E3174" w14:textId="77777777" w:rsidR="00D52A47" w:rsidRPr="0008524E" w:rsidRDefault="00D52A47" w:rsidP="00356EB3">
            <w:pPr>
              <w:keepNext/>
              <w:spacing w:line="480" w:lineRule="auto"/>
              <w:jc w:val="center"/>
            </w:pPr>
            <w:r>
              <w:rPr>
                <w:rFonts w:ascii="Calibri" w:hAnsi="Calibri" w:cs="Calibri"/>
                <w:color w:val="000000"/>
              </w:rPr>
              <w:lastRenderedPageBreak/>
              <w:t>face_prob_2114</w:t>
            </w:r>
          </w:p>
        </w:tc>
        <w:tc>
          <w:tcPr>
            <w:tcW w:w="1702" w:type="dxa"/>
          </w:tcPr>
          <w:p w14:paraId="490C27ED" w14:textId="77777777" w:rsidR="00D52A47" w:rsidRDefault="00D52A47" w:rsidP="00356EB3">
            <w:pPr>
              <w:keepNext/>
              <w:spacing w:line="480" w:lineRule="auto"/>
              <w:jc w:val="center"/>
            </w:pPr>
            <w:r>
              <w:t>Probability of a burn to the face</w:t>
            </w:r>
          </w:p>
        </w:tc>
        <w:tc>
          <w:tcPr>
            <w:tcW w:w="2587" w:type="dxa"/>
            <w:gridSpan w:val="2"/>
            <w:vAlign w:val="bottom"/>
          </w:tcPr>
          <w:p w14:paraId="72648171" w14:textId="77777777" w:rsidR="00D52A47" w:rsidRPr="0008524E" w:rsidRDefault="00D52A47" w:rsidP="00356EB3">
            <w:pPr>
              <w:keepNext/>
              <w:spacing w:line="480" w:lineRule="auto"/>
              <w:jc w:val="center"/>
            </w:pPr>
            <w:r>
              <w:rPr>
                <w:rFonts w:ascii="Calibri" w:hAnsi="Calibri" w:cs="Calibri"/>
                <w:color w:val="000000"/>
              </w:rPr>
              <w:t>0.010255</w:t>
            </w:r>
          </w:p>
        </w:tc>
        <w:tc>
          <w:tcPr>
            <w:tcW w:w="1472" w:type="dxa"/>
          </w:tcPr>
          <w:p w14:paraId="14C6BDCB" w14:textId="77777777" w:rsidR="00D52A47" w:rsidRPr="0008524E" w:rsidRDefault="00D52A47" w:rsidP="00356EB3">
            <w:pPr>
              <w:keepNext/>
              <w:spacing w:line="480" w:lineRule="auto"/>
              <w:jc w:val="center"/>
            </w:pPr>
            <w:r w:rsidRPr="0008524E">
              <w:t>(Tian et al. 2018; Global Health Data 2017)</w:t>
            </w:r>
          </w:p>
        </w:tc>
      </w:tr>
      <w:tr w:rsidR="00D52A47" w14:paraId="5764DC7C" w14:textId="77777777" w:rsidTr="00356EB3">
        <w:tc>
          <w:tcPr>
            <w:tcW w:w="3255" w:type="dxa"/>
            <w:vAlign w:val="bottom"/>
          </w:tcPr>
          <w:p w14:paraId="7125D3C0" w14:textId="77777777" w:rsidR="00D52A47" w:rsidRDefault="00D52A47" w:rsidP="00356EB3">
            <w:pPr>
              <w:keepNext/>
              <w:spacing w:line="480" w:lineRule="auto"/>
              <w:jc w:val="center"/>
            </w:pPr>
            <w:r>
              <w:rPr>
                <w:rFonts w:ascii="Calibri" w:hAnsi="Calibri" w:cs="Calibri"/>
                <w:color w:val="000000"/>
              </w:rPr>
              <w:t>face_prob_291</w:t>
            </w:r>
          </w:p>
        </w:tc>
        <w:tc>
          <w:tcPr>
            <w:tcW w:w="1702" w:type="dxa"/>
          </w:tcPr>
          <w:p w14:paraId="53395D84" w14:textId="77777777" w:rsidR="00D52A47" w:rsidRDefault="00D52A47" w:rsidP="00356EB3">
            <w:pPr>
              <w:keepNext/>
              <w:spacing w:line="480" w:lineRule="auto"/>
              <w:jc w:val="center"/>
            </w:pPr>
            <w:r>
              <w:t>Probability of an eye injury</w:t>
            </w:r>
          </w:p>
        </w:tc>
        <w:tc>
          <w:tcPr>
            <w:tcW w:w="2587" w:type="dxa"/>
            <w:gridSpan w:val="2"/>
            <w:vAlign w:val="bottom"/>
          </w:tcPr>
          <w:p w14:paraId="5AC57907" w14:textId="77777777" w:rsidR="00D52A47" w:rsidRDefault="00D52A47" w:rsidP="00356EB3">
            <w:pPr>
              <w:keepNext/>
              <w:spacing w:line="480" w:lineRule="auto"/>
              <w:jc w:val="center"/>
            </w:pPr>
            <w:r>
              <w:rPr>
                <w:rFonts w:ascii="Calibri" w:hAnsi="Calibri" w:cs="Calibri"/>
                <w:color w:val="000000"/>
              </w:rPr>
              <w:t>0.0028</w:t>
            </w:r>
          </w:p>
        </w:tc>
        <w:tc>
          <w:tcPr>
            <w:tcW w:w="1472" w:type="dxa"/>
          </w:tcPr>
          <w:p w14:paraId="64C0E6D8" w14:textId="77777777" w:rsidR="00D52A47" w:rsidRDefault="00D52A47" w:rsidP="00356EB3">
            <w:pPr>
              <w:keepNext/>
              <w:spacing w:line="480" w:lineRule="auto"/>
              <w:jc w:val="center"/>
            </w:pPr>
            <w:r>
              <w:fldChar w:fldCharType="begin" w:fldLock="1"/>
            </w:r>
            <w:r>
              <w:instrText>ADDIN CSL_CITATION {"citationItems":[{"id":"ITEM-1","itemData":{"author":[{"dropping-particle":"","family":"Hassan","given":"Saidi","non-dropping-particle":"","parse-names":false,"suffix":""}],"id":"ITEM-1","issued":{"date-parts":[["2016"]]},"number-of-pages":"1-186","publisher":"University of Nairobi","title":"Major injury cases in Nairobi: characterization of contexts, outcomes and injury documentation","type":"thesis"},"uris":["http://www.mendeley.com/documents/?uuid=c5a0be6d-a5ff-30d9-a672-64f80e618425"]}],"mendeley":{"formattedCitation":"(Hassan 2016)","plainTextFormattedCitation":"(Hassan 2016)","previouslyFormattedCitation":"(Hassan 2016)"},"properties":{"noteIndex":0},"schema":"https://github.com/citation-style-language/schema/raw/master/csl-citation.json"}</w:instrText>
            </w:r>
            <w:r>
              <w:fldChar w:fldCharType="separate"/>
            </w:r>
            <w:r w:rsidRPr="00725574">
              <w:rPr>
                <w:noProof/>
              </w:rPr>
              <w:t>(Hassan 2016)</w:t>
            </w:r>
            <w:r>
              <w:fldChar w:fldCharType="end"/>
            </w:r>
          </w:p>
        </w:tc>
      </w:tr>
      <w:tr w:rsidR="00D52A47" w14:paraId="5638EC72" w14:textId="77777777" w:rsidTr="00356EB3">
        <w:tc>
          <w:tcPr>
            <w:tcW w:w="3255" w:type="dxa"/>
            <w:vAlign w:val="bottom"/>
          </w:tcPr>
          <w:p w14:paraId="536B7017" w14:textId="77777777" w:rsidR="00D52A47" w:rsidRPr="0008524E" w:rsidRDefault="00D52A47" w:rsidP="00356EB3">
            <w:pPr>
              <w:keepNext/>
              <w:spacing w:line="480" w:lineRule="auto"/>
              <w:jc w:val="center"/>
            </w:pPr>
            <w:r>
              <w:rPr>
                <w:rFonts w:ascii="Calibri" w:hAnsi="Calibri" w:cs="Calibri"/>
                <w:color w:val="000000"/>
              </w:rPr>
              <w:t>neck_prob_3101</w:t>
            </w:r>
          </w:p>
        </w:tc>
        <w:tc>
          <w:tcPr>
            <w:tcW w:w="1702" w:type="dxa"/>
          </w:tcPr>
          <w:p w14:paraId="5BB80389" w14:textId="77777777" w:rsidR="00D52A47" w:rsidRDefault="00D52A47" w:rsidP="00356EB3">
            <w:pPr>
              <w:keepNext/>
              <w:spacing w:line="480" w:lineRule="auto"/>
              <w:jc w:val="center"/>
            </w:pPr>
            <w:r>
              <w:t>Probability of a laceration to the neck</w:t>
            </w:r>
          </w:p>
        </w:tc>
        <w:tc>
          <w:tcPr>
            <w:tcW w:w="2587" w:type="dxa"/>
            <w:gridSpan w:val="2"/>
            <w:vAlign w:val="bottom"/>
          </w:tcPr>
          <w:p w14:paraId="3D6C8F2A" w14:textId="77777777" w:rsidR="00D52A47" w:rsidRPr="0008524E" w:rsidRDefault="00D52A47" w:rsidP="00356EB3">
            <w:pPr>
              <w:keepNext/>
              <w:spacing w:line="480" w:lineRule="auto"/>
              <w:jc w:val="center"/>
            </w:pPr>
            <w:r>
              <w:rPr>
                <w:rFonts w:ascii="Calibri" w:hAnsi="Calibri" w:cs="Calibri"/>
                <w:color w:val="000000"/>
              </w:rPr>
              <w:t>0.06972</w:t>
            </w:r>
          </w:p>
        </w:tc>
        <w:tc>
          <w:tcPr>
            <w:tcW w:w="1472" w:type="dxa"/>
          </w:tcPr>
          <w:p w14:paraId="08BD036C" w14:textId="77777777" w:rsidR="00D52A47" w:rsidRPr="0008524E" w:rsidRDefault="00D52A47" w:rsidP="00356EB3">
            <w:pPr>
              <w:keepNext/>
              <w:spacing w:line="480" w:lineRule="auto"/>
              <w:jc w:val="center"/>
            </w:pPr>
            <w:r>
              <w:fldChar w:fldCharType="begin" w:fldLock="1"/>
            </w:r>
            <w:r>
              <w:instrText>ADDIN CSL_CITATION {"citationItems":[{"id":"ITEM-1","itemData":{"ISSN":"1943-2461","PMID":"19026226","abstract":"In addition to investigating risk of death due to road traffic injuries, there is a need to better describe the risk of serious consequences. This study assessed risk of permanent medical impairment based on road traffic injuries classified according to AIS-2005. Injured car occupants were followed for at least 5 years to assess permanent medical impairment. After an initial injury, the risk of permanent impairment was established for injuries to different body regions and AIS levels. Degree of impairment was assessed according to a manual used by all Swedish insurance companies. Those included in the study were 20,484 car occupants injured in crashes that occurred between 1995 and 2001. Three risk levels of sustaining a permanent medical impairment (RPMI) were made. It was concluded that almost 10% of all car occupants with AISl injuries sustained a permanent medical impairment. It is therefore important to include minor injuries leading to impairment when measuring loss of health due to road traffic crashes. Furthermore the highest risk of sustaining a permanent medical impairment from an AISl injury was associated with injuries to the cervical spine and upper and lower extremities. One third of AIS3 head and cervical spine injuries led to the highest RPMI level of impairment. Injuries to the thorax and abdomen gave the lowest risk of permanent medical impairment on all AIS levels and all impairment levels. The result can be used for road transport system strategies, and for making priority decisions in vehicle design.","author":[{"dropping-particle":"","family":"Malm","given":"Sigrun","non-dropping-particle":"","parse-names":false,"suffix":""},{"dropping-particle":"","family":"Krafft","given":"Maria","non-dropping-particle":"","parse-names":false,"suffix":""},{"dropping-particle":"","family":"Kullgren","given":"Anders","non-dropping-particle":"","parse-names":false,"suffix":""},{"dropping-particle":"","family":"Ydenius","given":"Anders","non-dropping-particle":"","parse-names":false,"suffix":""},{"dropping-particle":"","family":"Tingvall","given":"Claes","non-dropping-particle":"","parse-names":false,"suffix":""}],"container-title":"Annals of Advances in Automotive Medicine - 52nd Annual Scientific Conference","id":"ITEM-1","issued":{"date-parts":[["2008"]]},"page":"93-100","title":"Risk of permanent medical impairment (RPMI) in road traffic accidents","type":"paper-conference","volume":"52"},"uris":["http://www.mendeley.com/documents/?uuid=1a59c942-dcac-3c10-88a7-d12e806e32e0"]},{"id":"ITEM-2","itemData":{"ISSN":"15710661","abstract":"The cost of deploying a ubiquitous system to enhance a physical environment is likely to be considerable. The success of its deployment is highly dependent on its context: the physical environment and the activities that are to be carried out within it. This paper provides an initial exploration of whether stochastic process algebras (in particular PEPA with a Fluid Flow semantics) might be used to explore consequences before deployment. The focus of the exploration is to aid understanding of how a proposed system supports users within the environment. The challenge is to provide notations and techniques that will enable the analysis of potentially complex systems.","author":[{"dropping-particle":"","family":"Global Health Data","given":"","non-dropping-particle":"","parse-names":false,"suffix":""}],"container-title":"Institue for Health Metrics and Evaluation","id":"ITEM-2","issued":{"date-parts":[["2017"]]},"title":"GBD Results Tool | GHDx","type":"article-journal"},"uris":["http://www.mendeley.com/documents/?uuid=332eefb7-f956-486f-a7e0-95858fee8e38"]}],"mendeley":{"formattedCitation":"(Malm et al. 2008; Global Health Data 2017)","plainTextFormattedCitation":"(Malm et al. 2008; Global Health Data 2017)","previouslyFormattedCitation":"(Malm et al. 2008; Global Health Data 2017)"},"properties":{"noteIndex":0},"schema":"https://github.com/citation-style-language/schema/raw/master/csl-citation.json"}</w:instrText>
            </w:r>
            <w:r>
              <w:fldChar w:fldCharType="separate"/>
            </w:r>
            <w:r w:rsidRPr="00BB6083">
              <w:rPr>
                <w:noProof/>
              </w:rPr>
              <w:t>(Malm et al. 2008; Global Health Data 2017)</w:t>
            </w:r>
            <w:r>
              <w:fldChar w:fldCharType="end"/>
            </w:r>
          </w:p>
        </w:tc>
      </w:tr>
      <w:tr w:rsidR="00D52A47" w14:paraId="687C880E" w14:textId="77777777" w:rsidTr="00356EB3">
        <w:tc>
          <w:tcPr>
            <w:tcW w:w="3255" w:type="dxa"/>
            <w:vAlign w:val="bottom"/>
          </w:tcPr>
          <w:p w14:paraId="60D3C3AE" w14:textId="77777777" w:rsidR="00D52A47" w:rsidRPr="0008524E" w:rsidRDefault="00D52A47" w:rsidP="00356EB3">
            <w:pPr>
              <w:keepNext/>
              <w:spacing w:line="480" w:lineRule="auto"/>
              <w:jc w:val="center"/>
            </w:pPr>
            <w:r>
              <w:rPr>
                <w:rFonts w:ascii="Calibri" w:hAnsi="Calibri" w:cs="Calibri"/>
                <w:color w:val="000000"/>
              </w:rPr>
              <w:t>neck_prob_3113</w:t>
            </w:r>
          </w:p>
        </w:tc>
        <w:tc>
          <w:tcPr>
            <w:tcW w:w="1702" w:type="dxa"/>
          </w:tcPr>
          <w:p w14:paraId="3706C420" w14:textId="77777777" w:rsidR="00D52A47" w:rsidRDefault="00D52A47" w:rsidP="00356EB3">
            <w:pPr>
              <w:keepNext/>
              <w:spacing w:line="480" w:lineRule="auto"/>
              <w:jc w:val="center"/>
            </w:pPr>
            <w:r>
              <w:t>Probability of a burn to the neck</w:t>
            </w:r>
          </w:p>
        </w:tc>
        <w:tc>
          <w:tcPr>
            <w:tcW w:w="2587" w:type="dxa"/>
            <w:gridSpan w:val="2"/>
            <w:vAlign w:val="bottom"/>
          </w:tcPr>
          <w:p w14:paraId="199ED845" w14:textId="77777777" w:rsidR="00D52A47" w:rsidRPr="0008524E" w:rsidRDefault="00D52A47" w:rsidP="00356EB3">
            <w:pPr>
              <w:keepNext/>
              <w:spacing w:line="480" w:lineRule="auto"/>
              <w:jc w:val="center"/>
            </w:pPr>
            <w:r>
              <w:rPr>
                <w:rFonts w:ascii="Calibri" w:hAnsi="Calibri" w:cs="Calibri"/>
                <w:color w:val="000000"/>
              </w:rPr>
              <w:t>0.01428</w:t>
            </w:r>
          </w:p>
        </w:tc>
        <w:tc>
          <w:tcPr>
            <w:tcW w:w="1472" w:type="dxa"/>
          </w:tcPr>
          <w:p w14:paraId="7DDB7DF8" w14:textId="77777777" w:rsidR="00D52A47" w:rsidRPr="0008524E" w:rsidRDefault="00D52A47" w:rsidP="00356EB3">
            <w:pPr>
              <w:keepNext/>
              <w:spacing w:line="480" w:lineRule="auto"/>
              <w:jc w:val="center"/>
            </w:pPr>
            <w:r w:rsidRPr="0008524E">
              <w:t>(Tian et al. 2018; Global Health Data 2017)</w:t>
            </w:r>
          </w:p>
        </w:tc>
      </w:tr>
      <w:tr w:rsidR="00D52A47" w14:paraId="1939C5C5" w14:textId="77777777" w:rsidTr="00356EB3">
        <w:tc>
          <w:tcPr>
            <w:tcW w:w="3255" w:type="dxa"/>
            <w:vAlign w:val="bottom"/>
          </w:tcPr>
          <w:p w14:paraId="0C7C6FC2" w14:textId="77777777" w:rsidR="00D52A47" w:rsidRPr="007B7749" w:rsidRDefault="00D52A47" w:rsidP="00356EB3">
            <w:pPr>
              <w:keepNext/>
              <w:spacing w:line="480" w:lineRule="auto"/>
              <w:jc w:val="center"/>
            </w:pPr>
            <w:r>
              <w:rPr>
                <w:rFonts w:ascii="Calibri" w:hAnsi="Calibri" w:cs="Calibri"/>
                <w:color w:val="000000"/>
              </w:rPr>
              <w:t>neck_prob_342</w:t>
            </w:r>
          </w:p>
        </w:tc>
        <w:tc>
          <w:tcPr>
            <w:tcW w:w="1702" w:type="dxa"/>
          </w:tcPr>
          <w:p w14:paraId="1CD823D2" w14:textId="77777777" w:rsidR="00D52A47" w:rsidRDefault="00D52A47" w:rsidP="00356EB3">
            <w:pPr>
              <w:keepNext/>
              <w:spacing w:line="480" w:lineRule="auto"/>
              <w:jc w:val="center"/>
            </w:pPr>
            <w:r>
              <w:t>Probability of a s</w:t>
            </w:r>
            <w:r w:rsidRPr="00CA2262">
              <w:t>oft tissue injury in neck (vertebral artery laceration)</w:t>
            </w:r>
          </w:p>
        </w:tc>
        <w:tc>
          <w:tcPr>
            <w:tcW w:w="2587" w:type="dxa"/>
            <w:gridSpan w:val="2"/>
            <w:vAlign w:val="bottom"/>
          </w:tcPr>
          <w:p w14:paraId="2AE2E790" w14:textId="77777777" w:rsidR="00D52A47" w:rsidRPr="007B7749" w:rsidRDefault="00D52A47" w:rsidP="00356EB3">
            <w:pPr>
              <w:keepNext/>
              <w:spacing w:line="480" w:lineRule="auto"/>
              <w:jc w:val="center"/>
            </w:pPr>
            <w:r>
              <w:rPr>
                <w:rFonts w:ascii="Calibri" w:hAnsi="Calibri" w:cs="Calibri"/>
                <w:color w:val="000000"/>
              </w:rPr>
              <w:t>0.004</w:t>
            </w:r>
          </w:p>
        </w:tc>
        <w:tc>
          <w:tcPr>
            <w:tcW w:w="1472" w:type="dxa"/>
          </w:tcPr>
          <w:p w14:paraId="5DDA4299" w14:textId="77777777" w:rsidR="00D52A47" w:rsidRPr="0008524E" w:rsidRDefault="00D52A47" w:rsidP="00356EB3">
            <w:pPr>
              <w:keepNext/>
              <w:spacing w:line="480" w:lineRule="auto"/>
              <w:jc w:val="center"/>
            </w:pPr>
            <w:r>
              <w:fldChar w:fldCharType="begin" w:fldLock="1"/>
            </w:r>
            <w:r>
              <w:instrText>ADDIN CSL_CITATION {"citationItems":[{"id":"ITEM-1","itemData":{"DOI":"10.1080/15389580309878","ISSN":"15389588","abstract":"Detailed layer-by-layer autopsy of the head and neck was performed on a prospective series of 73 fatally injured motorcyclists in order to identify occult injuries, particularly soft tissue neck injuries such as hemorrhage of vertebral and carotid arteries. The fatal cases were gathered as part of a larger study of 1,082 on-scene in-depth motorcycle crash investigations in Thailand. Detailed neck dissection was done on nearly all fatal cases. Injuries were coded using the 1990 revision of the Abbreviated Injury Scale (AIS 90) and an Injury Severity Score (ISS) was determined for each case. Additional AIS codes are proposed for neck injuries that were often identified during the detailed autopsy procedures, but which are not listed explicitly among existing AIS codes. Helmet use was determined based on analysis of injury patterns and helmet damage with consideration also given to witness statements. Both helmeted and unhelmeted motorcyclists showed a high frequency of occult neck injuries such as hemorrhages in the carotid sheath or surrounding the vertebral arteries, phrenic nerve, or brachial plexus. These soft tissue neck injuries sometimes accompanied more obvious injuries to cervical vertebrae or spinal cord, but about one-third of riders had no obvious injury to suggest the presence of occult neck injury. Twenty-eight motorcyclists had been wearing a helmet at the start of the collision sequence, but only nine helmets remained in place through the entire collision event. Helmeted riders showed more severe somatic (below-the-neck) injuries than unhelmeted riders, suggesting helmeted riders are less likely to die in low-threat accidents with somatic injuries below AIS-3. The most significant finding of this study was the identification of serious internal neck injuries despite the absence of external physical evidence of trauma to the neck. Virtually all riders with significant head injuries showed some of these soft tissue neck injuries. Approximately one-third of the critically injured riders who survived at least a few hours before death showed serious occult soft tissue neck injuries.","author":[{"dropping-particle":"","family":"Kasantikul","given":"Vira","non-dropping-particle":"","parse-names":false,"suffix":""},{"dropping-particle":"V.","family":"Ouellet","given":"James","non-dropping-particle":"","parse-names":false,"suffix":""},{"dropping-particle":"","family":"Smith","given":"T. A.","non-dropping-particle":"","parse-names":false,"suffix":""}],"container-title":"Traffic Injury Prevention","id":"ITEM-1","issue":"3","issued":{"date-parts":[["2003","9"]]},"page":"255-262","publisher":" Taylor &amp; Francis Group ","title":"Head and neck injuries in fatal motorcycle collisions as determined by detailed autopsy","type":"article-journal","volume":"4"},"uris":["http://www.mendeley.com/documents/?uuid=c9cea143-26e7-37c6-abec-bfde2eb2b68d"]}],"mendeley":{"formattedCitation":"(Kasantikul, Ouellet, and Smith 2003)","plainTextFormattedCitation":"(Kasantikul, Ouellet, and Smith 2003)","previouslyFormattedCitation":"(Kasantikul, Ouellet, and Smith 2003)"},"properties":{"noteIndex":0},"schema":"https://github.com/citation-style-language/schema/raw/master/csl-citation.json"}</w:instrText>
            </w:r>
            <w:r>
              <w:fldChar w:fldCharType="separate"/>
            </w:r>
            <w:r w:rsidRPr="000D3EE0">
              <w:rPr>
                <w:noProof/>
              </w:rPr>
              <w:t>(Kasantikul, Ouellet, and Smith 2003)</w:t>
            </w:r>
            <w:r>
              <w:fldChar w:fldCharType="end"/>
            </w:r>
          </w:p>
        </w:tc>
      </w:tr>
      <w:tr w:rsidR="00D52A47" w14:paraId="6C727E8F" w14:textId="77777777" w:rsidTr="00356EB3">
        <w:tc>
          <w:tcPr>
            <w:tcW w:w="3255" w:type="dxa"/>
            <w:vAlign w:val="bottom"/>
          </w:tcPr>
          <w:p w14:paraId="5864D667" w14:textId="77777777" w:rsidR="00D52A47" w:rsidRPr="007B7749" w:rsidRDefault="00D52A47" w:rsidP="00356EB3">
            <w:pPr>
              <w:keepNext/>
              <w:spacing w:line="480" w:lineRule="auto"/>
              <w:jc w:val="center"/>
            </w:pPr>
            <w:r>
              <w:rPr>
                <w:rFonts w:ascii="Calibri" w:hAnsi="Calibri" w:cs="Calibri"/>
                <w:color w:val="000000"/>
              </w:rPr>
              <w:t>neck_prob_343</w:t>
            </w:r>
          </w:p>
        </w:tc>
        <w:tc>
          <w:tcPr>
            <w:tcW w:w="1702" w:type="dxa"/>
          </w:tcPr>
          <w:p w14:paraId="2F822455" w14:textId="77777777" w:rsidR="00D52A47" w:rsidRDefault="00D52A47" w:rsidP="00356EB3">
            <w:pPr>
              <w:keepNext/>
              <w:spacing w:line="480" w:lineRule="auto"/>
              <w:jc w:val="center"/>
            </w:pPr>
            <w:r>
              <w:t>Probability of a s</w:t>
            </w:r>
            <w:r w:rsidRPr="00CA2262">
              <w:t>oft tissue injury in neck (pharynx contusion)</w:t>
            </w:r>
          </w:p>
        </w:tc>
        <w:tc>
          <w:tcPr>
            <w:tcW w:w="2587" w:type="dxa"/>
            <w:gridSpan w:val="2"/>
            <w:vAlign w:val="bottom"/>
          </w:tcPr>
          <w:p w14:paraId="2EB88E79" w14:textId="77777777" w:rsidR="00D52A47" w:rsidRPr="007B7749" w:rsidRDefault="00D52A47" w:rsidP="00356EB3">
            <w:pPr>
              <w:keepNext/>
              <w:spacing w:line="480" w:lineRule="auto"/>
              <w:jc w:val="center"/>
            </w:pPr>
            <w:r>
              <w:rPr>
                <w:rFonts w:ascii="Calibri" w:hAnsi="Calibri" w:cs="Calibri"/>
                <w:color w:val="000000"/>
              </w:rPr>
              <w:t>0.004</w:t>
            </w:r>
          </w:p>
        </w:tc>
        <w:tc>
          <w:tcPr>
            <w:tcW w:w="1472" w:type="dxa"/>
          </w:tcPr>
          <w:p w14:paraId="793E7745" w14:textId="77777777" w:rsidR="00D52A47" w:rsidRPr="0008524E" w:rsidRDefault="00D52A47" w:rsidP="00356EB3">
            <w:pPr>
              <w:keepNext/>
              <w:spacing w:line="480" w:lineRule="auto"/>
              <w:jc w:val="center"/>
            </w:pPr>
            <w:r>
              <w:fldChar w:fldCharType="begin" w:fldLock="1"/>
            </w:r>
            <w:r>
              <w:instrText>ADDIN CSL_CITATION {"citationItems":[{"id":"ITEM-1","itemData":{"DOI":"10.1080/15389580309878","ISSN":"15389588","abstract":"Detailed layer-by-layer autopsy of the head and neck was performed on a prospective series of 73 fatally injured motorcyclists in order to identify occult injuries, particularly soft tissue neck injuries such as hemorrhage of vertebral and carotid arteries. The fatal cases were gathered as part of a larger study of 1,082 on-scene in-depth motorcycle crash investigations in Thailand. Detailed neck dissection was done on nearly all fatal cases. Injuries were coded using the 1990 revision of the Abbreviated Injury Scale (AIS 90) and an Injury Severity Score (ISS) was determined for each case. Additional AIS codes are proposed for neck injuries that were often identified during the detailed autopsy procedures, but which are not listed explicitly among existing AIS codes. Helmet use was determined based on analysis of injury patterns and helmet damage with consideration also given to witness statements. Both helmeted and unhelmeted motorcyclists showed a high frequency of occult neck injuries such as hemorrhages in the carotid sheath or surrounding the vertebral arteries, phrenic nerve, or brachial plexus. These soft tissue neck injuries sometimes accompanied more obvious injuries to cervical vertebrae or spinal cord, but about one-third of riders had no obvious injury to suggest the presence of occult neck injury. Twenty-eight motorcyclists had been wearing a helmet at the start of the collision sequence, but only nine helmets remained in place through the entire collision event. Helmeted riders showed more severe somatic (below-the-neck) injuries than unhelmeted riders, suggesting helmeted riders are less likely to die in low-threat accidents with somatic injuries below AIS-3. The most significant finding of this study was the identification of serious internal neck injuries despite the absence of external physical evidence of trauma to the neck. Virtually all riders with significant head injuries showed some of these soft tissue neck injuries. Approximately one-third of the critically injured riders who survived at least a few hours before death showed serious occult soft tissue neck injuries.","author":[{"dropping-particle":"","family":"Kasantikul","given":"Vira","non-dropping-particle":"","parse-names":false,"suffix":""},{"dropping-particle":"V.","family":"Ouellet","given":"James","non-dropping-particle":"","parse-names":false,"suffix":""},{"dropping-particle":"","family":"Smith","given":"T. A.","non-dropping-particle":"","parse-names":false,"suffix":""}],"container-title":"Traffic Injury Prevention","id":"ITEM-1","issue":"3","issued":{"date-parts":[["2003","9"]]},"page":"255-262","publisher":" Taylor &amp; Francis Group ","title":"Head and neck injuries in fatal motorcycle collisions as determined by detailed autopsy","type":"article-journal","volume":"4"},"uris":["http://www.mendeley.com/documents/?uuid=c9cea143-26e7-37c6-abec-bfde2eb2b68d"]}],"mendeley":{"formattedCitation":"(Kasantikul, Ouellet, and Smith 2003)","plainTextFormattedCitation":"(Kasantikul, Ouellet, and Smith 2003)","previouslyFormattedCitation":"(Kasantikul, Ouellet, and Smith 2003)"},"properties":{"noteIndex":0},"schema":"https://github.com/citation-style-language/schema/raw/master/csl-citation.json"}</w:instrText>
            </w:r>
            <w:r>
              <w:fldChar w:fldCharType="separate"/>
            </w:r>
            <w:r w:rsidRPr="000D3EE0">
              <w:rPr>
                <w:noProof/>
              </w:rPr>
              <w:t>(Kasantikul, Ouellet, and Smith 2003)</w:t>
            </w:r>
            <w:r>
              <w:fldChar w:fldCharType="end"/>
            </w:r>
          </w:p>
        </w:tc>
      </w:tr>
      <w:tr w:rsidR="00D52A47" w14:paraId="7BE5EB90" w14:textId="77777777" w:rsidTr="00356EB3">
        <w:tc>
          <w:tcPr>
            <w:tcW w:w="3255" w:type="dxa"/>
            <w:vAlign w:val="bottom"/>
          </w:tcPr>
          <w:p w14:paraId="7F6E34BF" w14:textId="77777777" w:rsidR="00D52A47" w:rsidRPr="007B7749" w:rsidRDefault="00D52A47" w:rsidP="00356EB3">
            <w:pPr>
              <w:keepNext/>
              <w:spacing w:line="480" w:lineRule="auto"/>
              <w:jc w:val="center"/>
            </w:pPr>
            <w:r>
              <w:rPr>
                <w:rFonts w:ascii="Calibri" w:hAnsi="Calibri" w:cs="Calibri"/>
                <w:color w:val="000000"/>
              </w:rPr>
              <w:lastRenderedPageBreak/>
              <w:t>neck_prob_361</w:t>
            </w:r>
          </w:p>
        </w:tc>
        <w:tc>
          <w:tcPr>
            <w:tcW w:w="1702" w:type="dxa"/>
          </w:tcPr>
          <w:p w14:paraId="41EA8CE1" w14:textId="77777777" w:rsidR="00D52A47" w:rsidRDefault="00D52A47" w:rsidP="00356EB3">
            <w:pPr>
              <w:keepNext/>
              <w:spacing w:line="480" w:lineRule="auto"/>
              <w:jc w:val="center"/>
            </w:pPr>
            <w:r>
              <w:t>Probability of a Sternomastoid m. hemorrhage/ Hemorrhage, supraclavicular triangle/</w:t>
            </w:r>
          </w:p>
          <w:p w14:paraId="5E2B7990" w14:textId="77777777" w:rsidR="00D52A47" w:rsidRDefault="00D52A47" w:rsidP="00356EB3">
            <w:pPr>
              <w:keepNext/>
              <w:spacing w:line="480" w:lineRule="auto"/>
              <w:jc w:val="center"/>
            </w:pPr>
            <w:r>
              <w:t>Hemorrhage, posterior triangle/</w:t>
            </w:r>
          </w:p>
          <w:p w14:paraId="44E383BF" w14:textId="77777777" w:rsidR="00D52A47" w:rsidRDefault="00D52A47" w:rsidP="00356EB3">
            <w:pPr>
              <w:keepNext/>
              <w:spacing w:line="480" w:lineRule="auto"/>
              <w:jc w:val="center"/>
            </w:pPr>
            <w:r>
              <w:t>Anterior vertebral vessel hemorrhage/ Neck muscle hemorrhage</w:t>
            </w:r>
          </w:p>
        </w:tc>
        <w:tc>
          <w:tcPr>
            <w:tcW w:w="2587" w:type="dxa"/>
            <w:gridSpan w:val="2"/>
            <w:vAlign w:val="bottom"/>
          </w:tcPr>
          <w:p w14:paraId="67420895" w14:textId="77777777" w:rsidR="00D52A47" w:rsidRPr="007B7749" w:rsidRDefault="00D52A47" w:rsidP="00356EB3">
            <w:pPr>
              <w:keepNext/>
              <w:spacing w:line="480" w:lineRule="auto"/>
              <w:jc w:val="center"/>
            </w:pPr>
            <w:r>
              <w:rPr>
                <w:rFonts w:ascii="Calibri" w:hAnsi="Calibri" w:cs="Calibri"/>
                <w:color w:val="000000"/>
              </w:rPr>
              <w:t>0.495</w:t>
            </w:r>
          </w:p>
        </w:tc>
        <w:tc>
          <w:tcPr>
            <w:tcW w:w="1472" w:type="dxa"/>
          </w:tcPr>
          <w:p w14:paraId="6B501FEE" w14:textId="77777777" w:rsidR="00D52A47" w:rsidRPr="0008524E" w:rsidRDefault="00D52A47" w:rsidP="00356EB3">
            <w:pPr>
              <w:keepNext/>
              <w:spacing w:line="480" w:lineRule="auto"/>
              <w:jc w:val="center"/>
            </w:pPr>
            <w:r>
              <w:fldChar w:fldCharType="begin" w:fldLock="1"/>
            </w:r>
            <w:r>
              <w:instrText>ADDIN CSL_CITATION {"citationItems":[{"id":"ITEM-1","itemData":{"DOI":"10.1080/15389580309878","ISSN":"15389588","abstract":"Detailed layer-by-layer autopsy of the head and neck was performed on a prospective series of 73 fatally injured motorcyclists in order to identify occult injuries, particularly soft tissue neck injuries such as hemorrhage of vertebral and carotid arteries. The fatal cases were gathered as part of a larger study of 1,082 on-scene in-depth motorcycle crash investigations in Thailand. Detailed neck dissection was done on nearly all fatal cases. Injuries were coded using the 1990 revision of the Abbreviated Injury Scale (AIS 90) and an Injury Severity Score (ISS) was determined for each case. Additional AIS codes are proposed for neck injuries that were often identified during the detailed autopsy procedures, but which are not listed explicitly among existing AIS codes. Helmet use was determined based on analysis of injury patterns and helmet damage with consideration also given to witness statements. Both helmeted and unhelmeted motorcyclists showed a high frequency of occult neck injuries such as hemorrhages in the carotid sheath or surrounding the vertebral arteries, phrenic nerve, or brachial plexus. These soft tissue neck injuries sometimes accompanied more obvious injuries to cervical vertebrae or spinal cord, but about one-third of riders had no obvious injury to suggest the presence of occult neck injury. Twenty-eight motorcyclists had been wearing a helmet at the start of the collision sequence, but only nine helmets remained in place through the entire collision event. Helmeted riders showed more severe somatic (below-the-neck) injuries than unhelmeted riders, suggesting helmeted riders are less likely to die in low-threat accidents with somatic injuries below AIS-3. The most significant finding of this study was the identification of serious internal neck injuries despite the absence of external physical evidence of trauma to the neck. Virtually all riders with significant head injuries showed some of these soft tissue neck injuries. Approximately one-third of the critically injured riders who survived at least a few hours before death showed serious occult soft tissue neck injuries.","author":[{"dropping-particle":"","family":"Kasantikul","given":"Vira","non-dropping-particle":"","parse-names":false,"suffix":""},{"dropping-particle":"V.","family":"Ouellet","given":"James","non-dropping-particle":"","parse-names":false,"suffix":""},{"dropping-particle":"","family":"Smith","given":"T. A.","non-dropping-particle":"","parse-names":false,"suffix":""}],"container-title":"Traffic Injury Prevention","id":"ITEM-1","issue":"3","issued":{"date-parts":[["2003","9"]]},"page":"255-262","publisher":" Taylor &amp; Francis Group ","title":"Head and neck injuries in fatal motorcycle collisions as determined by detailed autopsy","type":"article-journal","volume":"4"},"uris":["http://www.mendeley.com/documents/?uuid=c9cea143-26e7-37c6-abec-bfde2eb2b68d"]}],"mendeley":{"formattedCitation":"(Kasantikul, Ouellet, and Smith 2003)","plainTextFormattedCitation":"(Kasantikul, Ouellet, and Smith 2003)","previouslyFormattedCitation":"(Kasantikul, Ouellet, and Smith 2003)"},"properties":{"noteIndex":0},"schema":"https://github.com/citation-style-language/schema/raw/master/csl-citation.json"}</w:instrText>
            </w:r>
            <w:r>
              <w:fldChar w:fldCharType="separate"/>
            </w:r>
            <w:r w:rsidRPr="000D3EE0">
              <w:rPr>
                <w:noProof/>
              </w:rPr>
              <w:t>(Kasantikul, Ouellet, and Smith 2003)</w:t>
            </w:r>
            <w:r>
              <w:fldChar w:fldCharType="end"/>
            </w:r>
          </w:p>
        </w:tc>
      </w:tr>
      <w:tr w:rsidR="00D52A47" w14:paraId="3D0247BB" w14:textId="77777777" w:rsidTr="00356EB3">
        <w:tc>
          <w:tcPr>
            <w:tcW w:w="3255" w:type="dxa"/>
            <w:vAlign w:val="bottom"/>
          </w:tcPr>
          <w:p w14:paraId="3E8AE820" w14:textId="77777777" w:rsidR="00D52A47" w:rsidRPr="0008524E" w:rsidRDefault="00D52A47" w:rsidP="00356EB3">
            <w:pPr>
              <w:keepNext/>
              <w:spacing w:line="480" w:lineRule="auto"/>
              <w:jc w:val="center"/>
            </w:pPr>
            <w:r>
              <w:rPr>
                <w:rFonts w:ascii="Calibri" w:hAnsi="Calibri" w:cs="Calibri"/>
                <w:color w:val="000000"/>
              </w:rPr>
              <w:t>neck_prob_363</w:t>
            </w:r>
          </w:p>
        </w:tc>
        <w:tc>
          <w:tcPr>
            <w:tcW w:w="1702" w:type="dxa"/>
          </w:tcPr>
          <w:p w14:paraId="71F7F45B" w14:textId="77777777" w:rsidR="00D52A47" w:rsidRDefault="00D52A47" w:rsidP="00356EB3">
            <w:pPr>
              <w:keepNext/>
              <w:spacing w:line="480" w:lineRule="auto"/>
              <w:jc w:val="center"/>
            </w:pPr>
            <w:r>
              <w:t>Probability of a Hematoma in carotid sheath/</w:t>
            </w:r>
          </w:p>
          <w:p w14:paraId="50663401" w14:textId="77777777" w:rsidR="00D52A47" w:rsidRDefault="00D52A47" w:rsidP="00356EB3">
            <w:pPr>
              <w:keepNext/>
              <w:spacing w:line="480" w:lineRule="auto"/>
              <w:jc w:val="center"/>
            </w:pPr>
            <w:r>
              <w:t>Carotid sheath hemorrhage</w:t>
            </w:r>
          </w:p>
        </w:tc>
        <w:tc>
          <w:tcPr>
            <w:tcW w:w="2587" w:type="dxa"/>
            <w:gridSpan w:val="2"/>
            <w:vAlign w:val="bottom"/>
          </w:tcPr>
          <w:p w14:paraId="7BE5E865" w14:textId="77777777" w:rsidR="00D52A47" w:rsidRPr="0008524E" w:rsidRDefault="00D52A47" w:rsidP="00356EB3">
            <w:pPr>
              <w:keepNext/>
              <w:spacing w:line="480" w:lineRule="auto"/>
              <w:jc w:val="center"/>
            </w:pPr>
            <w:r>
              <w:rPr>
                <w:rFonts w:ascii="Calibri" w:hAnsi="Calibri" w:cs="Calibri"/>
                <w:color w:val="000000"/>
              </w:rPr>
              <w:t>0.405</w:t>
            </w:r>
          </w:p>
        </w:tc>
        <w:tc>
          <w:tcPr>
            <w:tcW w:w="1472" w:type="dxa"/>
          </w:tcPr>
          <w:p w14:paraId="3E116952" w14:textId="77777777" w:rsidR="00D52A47" w:rsidRPr="0008524E" w:rsidRDefault="00D52A47" w:rsidP="00356EB3">
            <w:pPr>
              <w:keepNext/>
              <w:spacing w:line="480" w:lineRule="auto"/>
              <w:jc w:val="center"/>
            </w:pPr>
            <w:r>
              <w:fldChar w:fldCharType="begin" w:fldLock="1"/>
            </w:r>
            <w:r>
              <w:instrText>ADDIN CSL_CITATION {"citationItems":[{"id":"ITEM-1","itemData":{"DOI":"10.1080/15389580309878","ISSN":"15389588","abstract":"Detailed layer-by-layer autopsy of the head and neck was performed on a prospective series of 73 fatally injured motorcyclists in order to identify occult injuries, particularly soft tissue neck injuries such as hemorrhage of vertebral and carotid arteries. The fatal cases were gathered as part of a larger study of 1,082 on-scene in-depth motorcycle crash investigations in Thailand. Detailed neck dissection was done on nearly all fatal cases. Injuries were coded using the 1990 revision of the Abbreviated Injury Scale (AIS 90) and an Injury Severity Score (ISS) was determined for each case. Additional AIS codes are proposed for neck injuries that were often identified during the detailed autopsy procedures, but which are not listed explicitly among existing AIS codes. Helmet use was determined based on analysis of injury patterns and helmet damage with consideration also given to witness statements. Both helmeted and unhelmeted motorcyclists showed a high frequency of occult neck injuries such as hemorrhages in the carotid sheath or surrounding the vertebral arteries, phrenic nerve, or brachial plexus. These soft tissue neck injuries sometimes accompanied more obvious injuries to cervical vertebrae or spinal cord, but about one-third of riders had no obvious injury to suggest the presence of occult neck injury. Twenty-eight motorcyclists had been wearing a helmet at the start of the collision sequence, but only nine helmets remained in place through the entire collision event. Helmeted riders showed more severe somatic (below-the-neck) injuries than unhelmeted riders, suggesting helmeted riders are less likely to die in low-threat accidents with somatic injuries below AIS-3. The most significant finding of this study was the identification of serious internal neck injuries despite the absence of external physical evidence of trauma to the neck. Virtually all riders with significant head injuries showed some of these soft tissue neck injuries. Approximately one-third of the critically injured riders who survived at least a few hours before death showed serious occult soft tissue neck injuries.","author":[{"dropping-particle":"","family":"Kasantikul","given":"Vira","non-dropping-particle":"","parse-names":false,"suffix":""},{"dropping-particle":"V.","family":"Ouellet","given":"James","non-dropping-particle":"","parse-names":false,"suffix":""},{"dropping-particle":"","family":"Smith","given":"T. A.","non-dropping-particle":"","parse-names":false,"suffix":""}],"container-title":"Traffic Injury Prevention","id":"ITEM-1","issue":"3","issued":{"date-parts":[["2003","9"]]},"page":"255-262","publisher":" Taylor &amp; Francis Group ","title":"Head and neck injuries in fatal motorcycle collisions as determined by detailed autopsy","type":"article-journal","volume":"4"},"uris":["http://www.mendeley.com/documents/?uuid=c9cea143-26e7-37c6-abec-bfde2eb2b68d"]}],"mendeley":{"formattedCitation":"(Kasantikul, Ouellet, and Smith 2003)","plainTextFormattedCitation":"(Kasantikul, Ouellet, and Smith 2003)","previouslyFormattedCitation":"(Kasantikul, Ouellet, and Smith 2003)"},"properties":{"noteIndex":0},"schema":"https://github.com/citation-style-language/schema/raw/master/csl-citation.json"}</w:instrText>
            </w:r>
            <w:r>
              <w:fldChar w:fldCharType="separate"/>
            </w:r>
            <w:r w:rsidRPr="000D3EE0">
              <w:rPr>
                <w:noProof/>
              </w:rPr>
              <w:t>(Kasantikul, Ouellet, and Smith 2003)</w:t>
            </w:r>
            <w:r>
              <w:fldChar w:fldCharType="end"/>
            </w:r>
          </w:p>
        </w:tc>
      </w:tr>
      <w:tr w:rsidR="00D52A47" w14:paraId="5F724B2D" w14:textId="77777777" w:rsidTr="00356EB3">
        <w:tc>
          <w:tcPr>
            <w:tcW w:w="3255" w:type="dxa"/>
            <w:vAlign w:val="bottom"/>
          </w:tcPr>
          <w:p w14:paraId="1B869BB7" w14:textId="77777777" w:rsidR="00D52A47" w:rsidRPr="007B7749" w:rsidRDefault="00D52A47" w:rsidP="00356EB3">
            <w:pPr>
              <w:keepNext/>
              <w:spacing w:line="480" w:lineRule="auto"/>
              <w:jc w:val="center"/>
            </w:pPr>
            <w:r>
              <w:rPr>
                <w:rFonts w:ascii="Calibri" w:hAnsi="Calibri" w:cs="Calibri"/>
                <w:color w:val="000000"/>
              </w:rPr>
              <w:t>neck_prob_322</w:t>
            </w:r>
          </w:p>
        </w:tc>
        <w:tc>
          <w:tcPr>
            <w:tcW w:w="1702" w:type="dxa"/>
          </w:tcPr>
          <w:p w14:paraId="16107999" w14:textId="77777777" w:rsidR="00D52A47" w:rsidRPr="007B7749" w:rsidRDefault="00D52A47" w:rsidP="00356EB3">
            <w:pPr>
              <w:keepNext/>
              <w:spacing w:line="480" w:lineRule="auto"/>
              <w:jc w:val="center"/>
            </w:pPr>
            <w:r>
              <w:t>Probability of an a</w:t>
            </w:r>
            <w:r w:rsidRPr="00CA2262">
              <w:t>tlanto-occipital subluxation</w:t>
            </w:r>
          </w:p>
        </w:tc>
        <w:tc>
          <w:tcPr>
            <w:tcW w:w="2587" w:type="dxa"/>
            <w:gridSpan w:val="2"/>
            <w:vAlign w:val="bottom"/>
          </w:tcPr>
          <w:p w14:paraId="1115AC51" w14:textId="77777777" w:rsidR="00D52A47" w:rsidRPr="007B7749" w:rsidRDefault="00D52A47" w:rsidP="00356EB3">
            <w:pPr>
              <w:keepNext/>
              <w:spacing w:line="480" w:lineRule="auto"/>
              <w:jc w:val="center"/>
            </w:pPr>
            <w:r>
              <w:rPr>
                <w:rFonts w:ascii="Calibri" w:hAnsi="Calibri" w:cs="Calibri"/>
                <w:color w:val="000000"/>
              </w:rPr>
              <w:t>0.00264</w:t>
            </w:r>
          </w:p>
        </w:tc>
        <w:tc>
          <w:tcPr>
            <w:tcW w:w="1472" w:type="dxa"/>
          </w:tcPr>
          <w:p w14:paraId="078048B7" w14:textId="77777777" w:rsidR="00D52A47" w:rsidRDefault="00D52A47" w:rsidP="00356EB3">
            <w:pPr>
              <w:keepNext/>
              <w:spacing w:line="480" w:lineRule="auto"/>
              <w:jc w:val="center"/>
            </w:pPr>
            <w:r>
              <w:fldChar w:fldCharType="begin" w:fldLock="1"/>
            </w:r>
            <w:r>
              <w:instrText>ADDIN CSL_CITATION {"citationItems":[{"id":"ITEM-1","itemData":{"DOI":"10.1080/15389580309878","ISSN":"15389588","abstract":"Detailed layer-by-layer autopsy of the head and neck was performed on a prospective series of 73 fatally injured motorcyclists in order to identify occult injuries, particularly soft tissue neck injuries such as hemorrhage of vertebral and carotid arteries. The fatal cases were gathered as part of a larger study of 1,082 on-scene in-depth motorcycle crash investigations in Thailand. Detailed neck dissection was done on nearly all fatal cases. Injuries were coded using the 1990 revision of the Abbreviated Injury Scale (AIS 90) and an Injury Severity Score (ISS) was determined for each case. Additional AIS codes are proposed for neck injuries that were often identified during the detailed autopsy procedures, but which are not listed explicitly among existing AIS codes. Helmet use was determined based on analysis of injury patterns and helmet damage with consideration also given to witness statements. Both helmeted and unhelmeted motorcyclists showed a high frequency of occult neck injuries such as hemorrhages in the carotid sheath or surrounding the vertebral arteries, phrenic nerve, or brachial plexus. These soft tissue neck injuries sometimes accompanied more obvious injuries to cervical vertebrae or spinal cord, but about one-third of riders had no obvious injury to suggest the presence of occult neck injury. Twenty-eight motorcyclists had been wearing a helmet at the start of the collision sequence, but only nine helmets remained in place through the entire collision event. Helmeted riders showed more severe somatic (below-the-neck) injuries than unhelmeted riders, suggesting helmeted riders are less likely to die in low-threat accidents with somatic injuries below AIS-3. The most significant finding of this study was the identification of serious internal neck injuries despite the absence of external physical evidence of trauma to the neck. Virtually all riders with significant head injuries showed some of these soft tissue neck injuries. Approximately one-third of the critically injured riders who survived at least a few hours before death showed serious occult soft tissue neck injuries.","author":[{"dropping-particle":"","family":"Kasantikul","given":"Vira","non-dropping-particle":"","parse-names":false,"suffix":""},{"dropping-particle":"V.","family":"Ouellet","given":"James","non-dropping-particle":"","parse-names":false,"suffix":""},{"dropping-particle":"","family":"Smith","given":"T. A.","non-dropping-particle":"","parse-names":false,"suffix":""}],"container-title":"Traffic Injury Prevention","id":"ITEM-1","issue":"3","issued":{"date-parts":[["2003","9"]]},"page":"255-262","publisher":" Taylor &amp; Francis Group ","title":"Head and neck injuries in fatal motorcycle collisions as determined by detailed autopsy","type":"article-journal","volume":"4"},"uris":["http://www.mendeley.com/documents/?uuid=c9cea143-26e7-37c6-abec-bfde2eb2b68d"]}],"mendeley":{"formattedCitation":"(Kasantikul, Ouellet, and Smith 2003)","plainTextFormattedCitation":"(Kasantikul, Ouellet, and Smith 2003)","previouslyFormattedCitation":"(Kasantikul, Ouellet, and Smith 2003)"},"properties":{"noteIndex":0},"schema":"https://github.com/citation-style-language/schema/raw/master/csl-citation.json"}</w:instrText>
            </w:r>
            <w:r>
              <w:fldChar w:fldCharType="separate"/>
            </w:r>
            <w:r w:rsidRPr="000D3EE0">
              <w:rPr>
                <w:noProof/>
              </w:rPr>
              <w:t>(Kasantikul, Ouellet, and Smith 2003)</w:t>
            </w:r>
            <w:r>
              <w:fldChar w:fldCharType="end"/>
            </w:r>
          </w:p>
        </w:tc>
      </w:tr>
      <w:tr w:rsidR="00D52A47" w14:paraId="6DB3BBCC" w14:textId="77777777" w:rsidTr="00356EB3">
        <w:tc>
          <w:tcPr>
            <w:tcW w:w="3255" w:type="dxa"/>
            <w:vAlign w:val="bottom"/>
          </w:tcPr>
          <w:p w14:paraId="3EBAEE1D" w14:textId="77777777" w:rsidR="00D52A47" w:rsidRPr="007B7749" w:rsidRDefault="00D52A47" w:rsidP="00356EB3">
            <w:pPr>
              <w:keepNext/>
              <w:spacing w:line="480" w:lineRule="auto"/>
              <w:jc w:val="center"/>
            </w:pPr>
            <w:r>
              <w:rPr>
                <w:rFonts w:ascii="Calibri" w:hAnsi="Calibri" w:cs="Calibri"/>
                <w:color w:val="000000"/>
              </w:rPr>
              <w:t>neck_prob_323</w:t>
            </w:r>
          </w:p>
        </w:tc>
        <w:tc>
          <w:tcPr>
            <w:tcW w:w="1702" w:type="dxa"/>
          </w:tcPr>
          <w:p w14:paraId="244DB68A" w14:textId="77777777" w:rsidR="00D52A47" w:rsidRPr="007B7749" w:rsidRDefault="00D52A47" w:rsidP="00356EB3">
            <w:pPr>
              <w:keepNext/>
              <w:spacing w:line="480" w:lineRule="auto"/>
              <w:jc w:val="center"/>
            </w:pPr>
            <w:r>
              <w:t>Probability of an a</w:t>
            </w:r>
            <w:r w:rsidRPr="00CA2262">
              <w:t>tlanto-axial subluxation</w:t>
            </w:r>
          </w:p>
        </w:tc>
        <w:tc>
          <w:tcPr>
            <w:tcW w:w="2587" w:type="dxa"/>
            <w:gridSpan w:val="2"/>
            <w:vAlign w:val="bottom"/>
          </w:tcPr>
          <w:p w14:paraId="5460841A" w14:textId="77777777" w:rsidR="00D52A47" w:rsidRPr="007B7749" w:rsidRDefault="00D52A47" w:rsidP="00356EB3">
            <w:pPr>
              <w:keepNext/>
              <w:spacing w:line="480" w:lineRule="auto"/>
              <w:jc w:val="center"/>
            </w:pPr>
            <w:r>
              <w:rPr>
                <w:rFonts w:ascii="Calibri" w:hAnsi="Calibri" w:cs="Calibri"/>
                <w:color w:val="000000"/>
              </w:rPr>
              <w:t>0.00536</w:t>
            </w:r>
          </w:p>
        </w:tc>
        <w:tc>
          <w:tcPr>
            <w:tcW w:w="1472" w:type="dxa"/>
          </w:tcPr>
          <w:p w14:paraId="15B8CD96" w14:textId="77777777" w:rsidR="00D52A47" w:rsidRDefault="00D52A47" w:rsidP="00356EB3">
            <w:pPr>
              <w:keepNext/>
              <w:spacing w:line="480" w:lineRule="auto"/>
              <w:jc w:val="center"/>
            </w:pPr>
            <w:r>
              <w:fldChar w:fldCharType="begin" w:fldLock="1"/>
            </w:r>
            <w:r>
              <w:instrText>ADDIN CSL_CITATION {"citationItems":[{"id":"ITEM-1","itemData":{"DOI":"10.1080/15389580309878","ISSN":"15389588","abstract":"Detailed layer-by-layer autopsy of the head and neck was performed on a prospective series of 73 fatally injured motorcyclists in order to identify occult injuries, particularly soft tissue neck injuries such as hemorrhage of vertebral and carotid arteries. The fatal cases were gathered as part of a larger study of 1,082 on-scene in-depth motorcycle crash investigations in Thailand. Detailed neck dissection was done on nearly all fatal cases. Injuries were coded using the 1990 revision of the Abbreviated Injury Scale (AIS 90) and an Injury Severity Score (ISS) was determined for each case. Additional AIS codes are proposed for neck injuries that were often identified during the detailed autopsy procedures, but which are not listed explicitly among existing AIS codes. Helmet use was determined based on analysis of injury patterns and helmet damage with consideration also given to witness statements. Both helmeted and unhelmeted motorcyclists showed a high frequency of occult neck injuries such as hemorrhages in the carotid sheath or surrounding the vertebral arteries, phrenic nerve, or brachial plexus. These soft tissue neck injuries sometimes accompanied more obvious injuries to cervical vertebrae or spinal cord, but about one-third of riders had no obvious injury to suggest the presence of occult neck injury. Twenty-eight motorcyclists had been wearing a helmet at the start of the collision sequence, but only nine helmets remained in place through the entire collision event. Helmeted riders showed more severe somatic (below-the-neck) injuries than unhelmeted riders, suggesting helmeted riders are less likely to die in low-threat accidents with somatic injuries below AIS-3. The most significant finding of this study was the identification of serious internal neck injuries despite the absence of external physical evidence of trauma to the neck. Virtually all riders with significant head injuries showed some of these soft tissue neck injuries. Approximately one-third of the critically injured riders who survived at least a few hours before death showed serious occult soft tissue neck injuries.","author":[{"dropping-particle":"","family":"Kasantikul","given":"Vira","non-dropping-particle":"","parse-names":false,"suffix":""},{"dropping-particle":"V.","family":"Ouellet","given":"James","non-dropping-particle":"","parse-names":false,"suffix":""},{"dropping-particle":"","family":"Smith","given":"T. A.","non-dropping-particle":"","parse-names":false,"suffix":""}],"container-title":"Traffic Injury Prevention","id":"ITEM-1","issue":"3","issued":{"date-parts":[["2003","9"]]},"page":"255-262","publisher":" Taylor &amp; Francis Group ","title":"Head and neck injuries in fatal motorcycle collisions as determined by detailed autopsy","type":"article-journal","volume":"4"},"uris":["http://www.mendeley.com/documents/?uuid=c9cea143-26e7-37c6-abec-bfde2eb2b68d"]}],"mendeley":{"formattedCitation":"(Kasantikul, Ouellet, and Smith 2003)","plainTextFormattedCitation":"(Kasantikul, Ouellet, and Smith 2003)","previouslyFormattedCitation":"(Kasantikul, Ouellet, and Smith 2003)"},"properties":{"noteIndex":0},"schema":"https://github.com/citation-style-language/schema/raw/master/csl-citation.json"}</w:instrText>
            </w:r>
            <w:r>
              <w:fldChar w:fldCharType="separate"/>
            </w:r>
            <w:r w:rsidRPr="000D3EE0">
              <w:rPr>
                <w:noProof/>
              </w:rPr>
              <w:t>(Kasantikul, Ouellet, and Smith 2003)</w:t>
            </w:r>
            <w:r>
              <w:fldChar w:fldCharType="end"/>
            </w:r>
          </w:p>
        </w:tc>
      </w:tr>
      <w:tr w:rsidR="00D52A47" w14:paraId="6EE85096" w14:textId="77777777" w:rsidTr="00356EB3">
        <w:tc>
          <w:tcPr>
            <w:tcW w:w="3255" w:type="dxa"/>
            <w:vAlign w:val="bottom"/>
          </w:tcPr>
          <w:p w14:paraId="233865D1" w14:textId="77777777" w:rsidR="00D52A47" w:rsidRPr="007B7749" w:rsidRDefault="00D52A47" w:rsidP="00356EB3">
            <w:pPr>
              <w:keepNext/>
              <w:spacing w:line="480" w:lineRule="auto"/>
              <w:jc w:val="center"/>
            </w:pPr>
            <w:r>
              <w:rPr>
                <w:rFonts w:ascii="Calibri" w:hAnsi="Calibri" w:cs="Calibri"/>
                <w:color w:val="000000"/>
              </w:rPr>
              <w:lastRenderedPageBreak/>
              <w:t>thorax_prob_4101</w:t>
            </w:r>
          </w:p>
        </w:tc>
        <w:tc>
          <w:tcPr>
            <w:tcW w:w="1702" w:type="dxa"/>
          </w:tcPr>
          <w:p w14:paraId="45A6BB32" w14:textId="77777777" w:rsidR="00D52A47" w:rsidRPr="007B7749" w:rsidRDefault="00D52A47" w:rsidP="00356EB3">
            <w:pPr>
              <w:keepNext/>
              <w:spacing w:line="480" w:lineRule="auto"/>
              <w:jc w:val="center"/>
            </w:pPr>
            <w:r>
              <w:t>Probability of a laceration to the thorax</w:t>
            </w:r>
          </w:p>
        </w:tc>
        <w:tc>
          <w:tcPr>
            <w:tcW w:w="2587" w:type="dxa"/>
            <w:gridSpan w:val="2"/>
            <w:vAlign w:val="bottom"/>
          </w:tcPr>
          <w:p w14:paraId="286856D1" w14:textId="77777777" w:rsidR="00D52A47" w:rsidRPr="007B7749" w:rsidRDefault="00D52A47" w:rsidP="00356EB3">
            <w:pPr>
              <w:keepNext/>
              <w:spacing w:line="480" w:lineRule="auto"/>
              <w:jc w:val="center"/>
            </w:pPr>
            <w:r>
              <w:rPr>
                <w:rFonts w:ascii="Calibri" w:hAnsi="Calibri" w:cs="Calibri"/>
                <w:color w:val="000000"/>
              </w:rPr>
              <w:t>0.49036</w:t>
            </w:r>
          </w:p>
        </w:tc>
        <w:tc>
          <w:tcPr>
            <w:tcW w:w="1472" w:type="dxa"/>
          </w:tcPr>
          <w:p w14:paraId="45D747BF" w14:textId="77777777" w:rsidR="00D52A47" w:rsidRDefault="00D52A47" w:rsidP="00356EB3">
            <w:pPr>
              <w:keepNext/>
              <w:spacing w:line="480" w:lineRule="auto"/>
              <w:jc w:val="center"/>
            </w:pPr>
            <w:r>
              <w:fldChar w:fldCharType="begin" w:fldLock="1"/>
            </w:r>
            <w:r>
              <w:instrText>ADDIN CSL_CITATION {"citationItems":[{"id":"ITEM-1","itemData":{"ISSN":"1943-2461","PMID":"19026226","abstract":"In addition to investigating risk of death due to road traffic injuries, there is a need to better describe the risk of serious consequences. This study assessed risk of permanent medical impairment based on road traffic injuries classified according to AIS-2005. Injured car occupants were followed for at least 5 years to assess permanent medical impairment. After an initial injury, the risk of permanent impairment was established for injuries to different body regions and AIS levels. Degree of impairment was assessed according to a manual used by all Swedish insurance companies. Those included in the study were 20,484 car occupants injured in crashes that occurred between 1995 and 2001. Three risk levels of sustaining a permanent medical impairment (RPMI) were made. It was concluded that almost 10% of all car occupants with AISl injuries sustained a permanent medical impairment. It is therefore important to include minor injuries leading to impairment when measuring loss of health due to road traffic crashes. Furthermore the highest risk of sustaining a permanent medical impairment from an AISl injury was associated with injuries to the cervical spine and upper and lower extremities. One third of AIS3 head and cervical spine injuries led to the highest RPMI level of impairment. Injuries to the thorax and abdomen gave the lowest risk of permanent medical impairment on all AIS levels and all impairment levels. The result can be used for road transport system strategies, and for making priority decisions in vehicle design.","author":[{"dropping-particle":"","family":"Malm","given":"Sigrun","non-dropping-particle":"","parse-names":false,"suffix":""},{"dropping-particle":"","family":"Krafft","given":"Maria","non-dropping-particle":"","parse-names":false,"suffix":""},{"dropping-particle":"","family":"Kullgren","given":"Anders","non-dropping-particle":"","parse-names":false,"suffix":""},{"dropping-particle":"","family":"Ydenius","given":"Anders","non-dropping-particle":"","parse-names":false,"suffix":""},{"dropping-particle":"","family":"Tingvall","given":"Claes","non-dropping-particle":"","parse-names":false,"suffix":""}],"container-title":"Annals of Advances in Automotive Medicine - 52nd Annual Scientific Conference","id":"ITEM-1","issued":{"date-parts":[["2008"]]},"page":"93-100","title":"Risk of permanent medical impairment (RPMI) in road traffic accidents","type":"paper-conference","volume":"52"},"uris":["http://www.mendeley.com/documents/?uuid=1a59c942-dcac-3c10-88a7-d12e806e32e0"]},{"id":"ITEM-2","itemData":{"ISSN":"15710661","abstract":"The cost of deploying a ubiquitous system to enhance a physical environment is likely to be considerable. The success of its deployment is highly dependent on its context: the physical environment and the activities that are to be carried out within it. This paper provides an initial exploration of whether stochastic process algebras (in particular PEPA with a Fluid Flow semantics) might be used to explore consequences before deployment. The focus of the exploration is to aid understanding of how a proposed system supports users within the environment. The challenge is to provide notations and techniques that will enable the analysis of potentially complex systems.","author":[{"dropping-particle":"","family":"Global Health Data","given":"","non-dropping-particle":"","parse-names":false,"suffix":""}],"container-title":"Institue for Health Metrics and Evaluation","id":"ITEM-2","issued":{"date-parts":[["2017"]]},"title":"GBD Results Tool | GHDx","type":"article-journal"},"uris":["http://www.mendeley.com/documents/?uuid=332eefb7-f956-486f-a7e0-95858fee8e38"]}],"mendeley":{"formattedCitation":"(Malm et al. 2008; Global Health Data 2017)","plainTextFormattedCitation":"(Malm et al. 2008; Global Health Data 2017)","previouslyFormattedCitation":"(Malm et al. 2008; Global Health Data 2017)"},"properties":{"noteIndex":0},"schema":"https://github.com/citation-style-language/schema/raw/master/csl-citation.json"}</w:instrText>
            </w:r>
            <w:r>
              <w:fldChar w:fldCharType="separate"/>
            </w:r>
            <w:r w:rsidRPr="00BB6083">
              <w:rPr>
                <w:noProof/>
              </w:rPr>
              <w:t>(Malm et al. 2008; Global Health Data 2017)</w:t>
            </w:r>
            <w:r>
              <w:fldChar w:fldCharType="end"/>
            </w:r>
          </w:p>
        </w:tc>
      </w:tr>
      <w:tr w:rsidR="00D52A47" w14:paraId="631F31F7" w14:textId="77777777" w:rsidTr="00356EB3">
        <w:tc>
          <w:tcPr>
            <w:tcW w:w="3255" w:type="dxa"/>
            <w:vAlign w:val="bottom"/>
          </w:tcPr>
          <w:p w14:paraId="61688167" w14:textId="77777777" w:rsidR="00D52A47" w:rsidRPr="007B7749" w:rsidRDefault="00D52A47" w:rsidP="00356EB3">
            <w:pPr>
              <w:keepNext/>
              <w:spacing w:line="480" w:lineRule="auto"/>
              <w:jc w:val="center"/>
            </w:pPr>
            <w:r>
              <w:rPr>
                <w:rFonts w:ascii="Calibri" w:hAnsi="Calibri" w:cs="Calibri"/>
                <w:color w:val="000000"/>
              </w:rPr>
              <w:t>thorax_prob_4113</w:t>
            </w:r>
          </w:p>
        </w:tc>
        <w:tc>
          <w:tcPr>
            <w:tcW w:w="1702" w:type="dxa"/>
          </w:tcPr>
          <w:p w14:paraId="01393074" w14:textId="77777777" w:rsidR="00D52A47" w:rsidRPr="007B7749" w:rsidRDefault="00D52A47" w:rsidP="00356EB3">
            <w:pPr>
              <w:keepNext/>
              <w:spacing w:line="480" w:lineRule="auto"/>
              <w:jc w:val="center"/>
            </w:pPr>
            <w:r>
              <w:t>Probability of a burn to the thorax</w:t>
            </w:r>
          </w:p>
        </w:tc>
        <w:tc>
          <w:tcPr>
            <w:tcW w:w="2587" w:type="dxa"/>
            <w:gridSpan w:val="2"/>
            <w:vAlign w:val="bottom"/>
          </w:tcPr>
          <w:p w14:paraId="0A047210" w14:textId="77777777" w:rsidR="00D52A47" w:rsidRPr="007B7749" w:rsidRDefault="00D52A47" w:rsidP="00356EB3">
            <w:pPr>
              <w:keepNext/>
              <w:spacing w:line="480" w:lineRule="auto"/>
              <w:jc w:val="center"/>
            </w:pPr>
            <w:r>
              <w:rPr>
                <w:rFonts w:ascii="Calibri" w:hAnsi="Calibri" w:cs="Calibri"/>
                <w:color w:val="000000"/>
              </w:rPr>
              <w:t>0.04264</w:t>
            </w:r>
          </w:p>
        </w:tc>
        <w:tc>
          <w:tcPr>
            <w:tcW w:w="1472" w:type="dxa"/>
          </w:tcPr>
          <w:p w14:paraId="679891D3" w14:textId="77777777" w:rsidR="00D52A47" w:rsidRDefault="00D52A47" w:rsidP="00356EB3">
            <w:pPr>
              <w:keepNext/>
              <w:spacing w:line="480" w:lineRule="auto"/>
              <w:jc w:val="center"/>
            </w:pPr>
            <w:r>
              <w:fldChar w:fldCharType="begin" w:fldLock="1"/>
            </w:r>
            <w:r>
              <w:instrText>ADDIN CSL_CITATION {"citationItems":[{"id":"ITEM-1","itemData":{"DOI":"10.1186/s41038-018-0118-z","ISSN":"2321-3876","abstract":"Severe burns injury is a serious pathology, leading to teratogenicity and significant mortality, and it also has a long-term social impact. The aim of this article is to describe the hospitalized population with severe burns injuries in eight burn centers in China between 2011 and 2015 and to suggest future preventive strategies. This 5-year retrospective review included all patients with severe burns in a database at eight institutions. The data collected included gender, age, month distribution, etiology, location, presence of inhalation injury, total burn surface area, depth of the burn, the length of hospitalization, and mortality. SPSS 19.0 software was used to analyze the data. A total of 1126 patients were included: 803 (71.3%) male patients and 323 (28.7%) female patients. Scalds were the most common cause of burns (476, 42.27%), followed by fire (457, 40.59%). The extremities were the most frequently affected areas, followed by the trunk. The median length of hospitalization was 30 (15, 52) days. The overall mortality rate was 14.21%. Although medical centers have devoted intensive resources to improving the survival rates of burn patients, expenditures for prevention and education programs are minimal. Our findings suggest that more attention should be paid to the importance of prevention and the reduction of injury severity. This study may contribute to the establishment of a nationwide burn database and the elaboration of strategies to prevent severe burns injury.","author":[{"dropping-particle":"","family":"Tian","given":"Hao","non-dropping-particle":"","parse-names":false,"suffix":""},{"dropping-particle":"","family":"Wang","given":"Liangxi","non-dropping-particle":"","parse-names":false,"suffix":""},{"dropping-particle":"","family":"Xie","given":"Weiguo","non-dropping-particle":"","parse-names":false,"suffix":""},{"dropping-particle":"","family":"Shen","given":"Chuanan","non-dropping-particle":"","parse-names":false,"suffix":""},{"dropping-particle":"","family":"Guo","given":"Guanghua","non-dropping-particle":"","parse-names":false,"suffix":""},{"dropping-particle":"","family":"Liu","given":"Jiaqi","non-dropping-particle":"","parse-names":false,"suffix":""},{"dropping-particle":"","family":"Han","given":"Chunmao","non-dropping-particle":"","parse-names":false,"suffix":""},{"dropping-particle":"","family":"Ren","given":"Licheng","non-dropping-particle":"","parse-names":false,"suffix":""},{"dropping-particle":"","family":"Liang","given":"Yi","non-dropping-particle":"","parse-names":false,"suffix":""},{"dropping-particle":"","family":"Tang","given":"Yong","non-dropping-particle":"","parse-names":false,"suffix":""},{"dropping-particle":"","family":"Wang","given":"Yuan","non-dropping-particle":"","parse-names":false,"suffix":""},{"dropping-particle":"","family":"Yin","given":"Meifang","non-dropping-particle":"","parse-names":false,"suffix":""},{"dropping-particle":"","family":"Zhang","given":"Jiaping","non-dropping-particle":"","parse-names":false,"suffix":""},{"dropping-particle":"","family":"Huang","given":"Yuesheng","non-dropping-particle":"","parse-names":false,"suffix":""}],"container-title":"Burns &amp; Trauma","id":"ITEM-1","issued":{"date-parts":[["2018"]]},"page":"2011-2015","title":"Epidemiologic and clinical characteristics of severe burn patients: results of a retrospective multicenter study in China, 2011–2015","type":"article-journal","volume":"6"},"uris":["http://www.mendeley.com/documents/?uuid=41588ded-c29f-370a-afa1-4ef68e69a443"]},{"id":"ITEM-2","itemData":{"ISSN":"15710661","abstract":"The cost of deploying a ubiquitous system to enhance a physical environment is likely to be considerable. The success of its deployment is highly dependent on its context: the physical environment and the activities that are to be carried out within it. This paper provides an initial exploration of whether stochastic process algebras (in particular PEPA with a Fluid Flow semantics) might be used to explore consequences before deployment. The focus of the exploration is to aid understanding of how a proposed system supports users within the environment. The challenge is to provide notations and techniques that will enable the analysis of potentially complex systems.","author":[{"dropping-particle":"","family":"Global Health Data","given":"","non-dropping-particle":"","parse-names":false,"suffix":""}],"container-title":"Institue for Health Metrics and Evaluation","id":"ITEM-2","issued":{"date-parts":[["2017"]]},"title":"GBD Results Tool | GHDx","type":"article-journal"},"uris":["http://www.mendeley.com/documents/?uuid=332eefb7-f956-486f-a7e0-95858fee8e38"]}],"mendeley":{"formattedCitation":"(H. Tian et al. 2018; Global Health Data 2017)","plainTextFormattedCitation":"(H. Tian et al. 2018; Global Health Data 2017)","previouslyFormattedCitation":"(H. Tian et al. 2018; Global Health Data 2017)"},"properties":{"noteIndex":0},"schema":"https://github.com/citation-style-language/schema/raw/master/csl-citation.json"}</w:instrText>
            </w:r>
            <w:r>
              <w:fldChar w:fldCharType="separate"/>
            </w:r>
            <w:r w:rsidRPr="00A91689">
              <w:rPr>
                <w:noProof/>
              </w:rPr>
              <w:t>(H. Tian et al. 2018; Global Health Data 2017)</w:t>
            </w:r>
            <w:r>
              <w:fldChar w:fldCharType="end"/>
            </w:r>
          </w:p>
        </w:tc>
      </w:tr>
      <w:tr w:rsidR="00D52A47" w14:paraId="0D904AE5" w14:textId="77777777" w:rsidTr="00356EB3">
        <w:tc>
          <w:tcPr>
            <w:tcW w:w="3255" w:type="dxa"/>
            <w:vAlign w:val="bottom"/>
          </w:tcPr>
          <w:p w14:paraId="3ECCBEE0" w14:textId="77777777" w:rsidR="00D52A47" w:rsidRPr="007B7749" w:rsidRDefault="00D52A47" w:rsidP="00356EB3">
            <w:pPr>
              <w:keepNext/>
              <w:spacing w:line="480" w:lineRule="auto"/>
              <w:jc w:val="center"/>
            </w:pPr>
            <w:r>
              <w:rPr>
                <w:rFonts w:ascii="Calibri" w:hAnsi="Calibri" w:cs="Calibri"/>
                <w:color w:val="000000"/>
              </w:rPr>
              <w:t>thorax_prob_461</w:t>
            </w:r>
          </w:p>
        </w:tc>
        <w:tc>
          <w:tcPr>
            <w:tcW w:w="1702" w:type="dxa"/>
          </w:tcPr>
          <w:p w14:paraId="4FC371AA" w14:textId="77777777" w:rsidR="00D52A47" w:rsidRPr="007B7749" w:rsidRDefault="00D52A47" w:rsidP="00356EB3">
            <w:pPr>
              <w:keepNext/>
              <w:spacing w:line="480" w:lineRule="auto"/>
              <w:jc w:val="center"/>
            </w:pPr>
            <w:r>
              <w:t>Probability of c</w:t>
            </w:r>
            <w:r w:rsidRPr="00E7261D">
              <w:t>hest wall bruises/haematoma</w:t>
            </w:r>
          </w:p>
        </w:tc>
        <w:tc>
          <w:tcPr>
            <w:tcW w:w="2587" w:type="dxa"/>
            <w:gridSpan w:val="2"/>
            <w:vAlign w:val="bottom"/>
          </w:tcPr>
          <w:p w14:paraId="17EC5BE1" w14:textId="77777777" w:rsidR="00D52A47" w:rsidRPr="007B7749" w:rsidRDefault="00D52A47" w:rsidP="00356EB3">
            <w:pPr>
              <w:keepNext/>
              <w:spacing w:line="480" w:lineRule="auto"/>
              <w:jc w:val="center"/>
            </w:pPr>
            <w:r>
              <w:rPr>
                <w:rFonts w:ascii="Calibri" w:hAnsi="Calibri" w:cs="Calibri"/>
                <w:color w:val="000000"/>
              </w:rPr>
              <w:t>0.0945</w:t>
            </w:r>
          </w:p>
        </w:tc>
        <w:tc>
          <w:tcPr>
            <w:tcW w:w="1472" w:type="dxa"/>
          </w:tcPr>
          <w:p w14:paraId="618D8766" w14:textId="77777777" w:rsidR="00D52A47" w:rsidRDefault="00D52A47" w:rsidP="00356EB3">
            <w:pPr>
              <w:keepNext/>
              <w:spacing w:line="480" w:lineRule="auto"/>
              <w:jc w:val="center"/>
            </w:pPr>
            <w:r>
              <w:fldChar w:fldCharType="begin" w:fldLock="1"/>
            </w:r>
            <w:r>
              <w:instrText>ADDIN CSL_CITATION {"citationItems":[{"id":"ITEM-1","itemData":{"ISSN":"2276-6944","PMID":"25452986","abstract":"BACKGROUND Chest trauma is a major cause of morbidity and mortality worldwide. Hospital based studies in Nigeria show it predominantly affects the youth in society. Aim &amp; Objectives: To determine the pattern and management outcomes of patient presenting with chest trauma at the University of Benin Teaching Hospital, Benin City, Nigeria. MATERIALS AND METHODS This is a prospective study of 73 consecutive patients managed for chest injuries between January 2008 and February 2009 at the University of Benin Teaching Hospital, Benin City. RESULTS A total of 73 patients were enrolled in the study. The mean age was 31.5years and median age of 29years. About 81% of the patients were 42yrs and below while 10% were more than 50yrs old. About 88% of the patients were males while 12% were females giving a male: female ratio of 1:7 Most (56%) of the patients were single. Motor Vehicular Accidents (MVAs) accounted for 52% while 43%% were due to violence or assaults. Motorcycle accidents accounted for 15% while Cars, Buses, Vans, Trucks accounted for 37%. Penetrating trauma accounted for 43% of which gunshot wounds accounted for 25%, and stab injuries accounted for 13(18%). About 53% were isolated blunt chest injuries whereas 43% were isolated penetrating chest injuries; 4% of the cases sustained both penetrating and blunt injuries. About 27% presented within an hour of injury, while in all, 95% of the patients presented within 24hours of injury. Diaphragmatic injuries were sustained in 6(8%) patients while cardiac injury was observed in one patient. CONCLUSION Chest trauma predominantly affects the youth with high morbidity and mortality in this environment. Public enlightenment with prompt and effective treatment will impact positively on this persistent problem.","author":[{"dropping-particle":"","family":"Okugbo","given":"Su","non-dropping-particle":"","parse-names":false,"suffix":""},{"dropping-particle":"","family":"Okoro","given":"E","non-dropping-particle":"","parse-names":false,"suffix":""},{"dropping-particle":"","family":"Irhibogbe","given":"Pe","non-dropping-particle":"","parse-names":false,"suffix":""}],"container-title":"Journal of the West African College of Surgeons","id":"ITEM-1","issue":"2","issued":{"date-parts":[["2012","4"]]},"page":"91-101","publisher":"West African College of Surgeons","title":"Chest trauma in a regional trauma centre.","type":"article-journal","volume":"2"},"uris":["http://www.mendeley.com/documents/?uuid=7981671d-0128-3af9-b026-d638779b5af2"]}],"mendeley":{"formattedCitation":"(Okugbo, Okoro, and Irhibogbe 2012)","plainTextFormattedCitation":"(Okugbo, Okoro, and Irhibogbe 2012)","previouslyFormattedCitation":"(Okugbo, Okoro, and Irhibogbe 2012)"},"properties":{"noteIndex":0},"schema":"https://github.com/citation-style-language/schema/raw/master/csl-citation.json"}</w:instrText>
            </w:r>
            <w:r>
              <w:fldChar w:fldCharType="separate"/>
            </w:r>
            <w:r w:rsidRPr="00BC1344">
              <w:rPr>
                <w:noProof/>
              </w:rPr>
              <w:t>(Okugbo, Okoro, and Irhibogbe 2012)</w:t>
            </w:r>
            <w:r>
              <w:fldChar w:fldCharType="end"/>
            </w:r>
          </w:p>
        </w:tc>
      </w:tr>
      <w:tr w:rsidR="00D52A47" w14:paraId="16C7C2CE" w14:textId="77777777" w:rsidTr="00356EB3">
        <w:tc>
          <w:tcPr>
            <w:tcW w:w="3255" w:type="dxa"/>
            <w:vAlign w:val="bottom"/>
          </w:tcPr>
          <w:p w14:paraId="7395E9D0" w14:textId="77777777" w:rsidR="00D52A47" w:rsidRPr="007B7749" w:rsidRDefault="00D52A47" w:rsidP="00356EB3">
            <w:pPr>
              <w:keepNext/>
              <w:spacing w:line="480" w:lineRule="auto"/>
              <w:jc w:val="center"/>
            </w:pPr>
            <w:r>
              <w:rPr>
                <w:rFonts w:ascii="Calibri" w:hAnsi="Calibri" w:cs="Calibri"/>
                <w:color w:val="000000"/>
              </w:rPr>
              <w:t>thorax_prob_463</w:t>
            </w:r>
          </w:p>
        </w:tc>
        <w:tc>
          <w:tcPr>
            <w:tcW w:w="1702" w:type="dxa"/>
          </w:tcPr>
          <w:p w14:paraId="5937BA5C" w14:textId="77777777" w:rsidR="00D52A47" w:rsidRPr="007B7749" w:rsidRDefault="00D52A47" w:rsidP="00356EB3">
            <w:pPr>
              <w:keepNext/>
              <w:spacing w:line="480" w:lineRule="auto"/>
              <w:jc w:val="center"/>
            </w:pPr>
            <w:r>
              <w:t>Probability of h</w:t>
            </w:r>
            <w:r w:rsidRPr="00E7261D">
              <w:t>aemothorax</w:t>
            </w:r>
          </w:p>
        </w:tc>
        <w:tc>
          <w:tcPr>
            <w:tcW w:w="2587" w:type="dxa"/>
            <w:gridSpan w:val="2"/>
            <w:vAlign w:val="bottom"/>
          </w:tcPr>
          <w:p w14:paraId="49F5478B" w14:textId="77777777" w:rsidR="00D52A47" w:rsidRPr="007B7749" w:rsidRDefault="00D52A47" w:rsidP="00356EB3">
            <w:pPr>
              <w:keepNext/>
              <w:spacing w:line="480" w:lineRule="auto"/>
              <w:jc w:val="center"/>
            </w:pPr>
            <w:r>
              <w:rPr>
                <w:rFonts w:ascii="Calibri" w:hAnsi="Calibri" w:cs="Calibri"/>
                <w:color w:val="000000"/>
              </w:rPr>
              <w:t>0.0945</w:t>
            </w:r>
          </w:p>
        </w:tc>
        <w:tc>
          <w:tcPr>
            <w:tcW w:w="1472" w:type="dxa"/>
          </w:tcPr>
          <w:p w14:paraId="61C67D74" w14:textId="77777777" w:rsidR="00D52A47" w:rsidRDefault="00D52A47" w:rsidP="00356EB3">
            <w:pPr>
              <w:keepNext/>
              <w:spacing w:line="480" w:lineRule="auto"/>
              <w:jc w:val="center"/>
            </w:pPr>
            <w:r>
              <w:fldChar w:fldCharType="begin" w:fldLock="1"/>
            </w:r>
            <w:r>
              <w:instrText>ADDIN CSL_CITATION {"citationItems":[{"id":"ITEM-1","itemData":{"ISSN":"2276-6944","PMID":"25452986","abstract":"BACKGROUND Chest trauma is a major cause of morbidity and mortality worldwide. Hospital based studies in Nigeria show it predominantly affects the youth in society. Aim &amp; Objectives: To determine the pattern and management outcomes of patient presenting with chest trauma at the University of Benin Teaching Hospital, Benin City, Nigeria. MATERIALS AND METHODS This is a prospective study of 73 consecutive patients managed for chest injuries between January 2008 and February 2009 at the University of Benin Teaching Hospital, Benin City. RESULTS A total of 73 patients were enrolled in the study. The mean age was 31.5years and median age of 29years. About 81% of the patients were 42yrs and below while 10% were more than 50yrs old. About 88% of the patients were males while 12% were females giving a male: female ratio of 1:7 Most (56%) of the patients were single. Motor Vehicular Accidents (MVAs) accounted for 52% while 43%% were due to violence or assaults. Motorcycle accidents accounted for 15% while Cars, Buses, Vans, Trucks accounted for 37%. Penetrating trauma accounted for 43% of which gunshot wounds accounted for 25%, and stab injuries accounted for 13(18%). About 53% were isolated blunt chest injuries whereas 43% were isolated penetrating chest injuries; 4% of the cases sustained both penetrating and blunt injuries. About 27% presented within an hour of injury, while in all, 95% of the patients presented within 24hours of injury. Diaphragmatic injuries were sustained in 6(8%) patients while cardiac injury was observed in one patient. CONCLUSION Chest trauma predominantly affects the youth with high morbidity and mortality in this environment. Public enlightenment with prompt and effective treatment will impact positively on this persistent problem.","author":[{"dropping-particle":"","family":"Okugbo","given":"Su","non-dropping-particle":"","parse-names":false,"suffix":""},{"dropping-particle":"","family":"Okoro","given":"E","non-dropping-particle":"","parse-names":false,"suffix":""},{"dropping-particle":"","family":"Irhibogbe","given":"Pe","non-dropping-particle":"","parse-names":false,"suffix":""}],"container-title":"Journal of the West African College of Surgeons","id":"ITEM-1","issue":"2","issued":{"date-parts":[["2012","4"]]},"page":"91-101","publisher":"West African College of Surgeons","title":"Chest trauma in a regional trauma centre.","type":"article-journal","volume":"2"},"uris":["http://www.mendeley.com/documents/?uuid=7981671d-0128-3af9-b026-d638779b5af2"]}],"mendeley":{"formattedCitation":"(Okugbo, Okoro, and Irhibogbe 2012)","plainTextFormattedCitation":"(Okugbo, Okoro, and Irhibogbe 2012)","previouslyFormattedCitation":"(Okugbo, Okoro, and Irhibogbe 2012)"},"properties":{"noteIndex":0},"schema":"https://github.com/citation-style-language/schema/raw/master/csl-citation.json"}</w:instrText>
            </w:r>
            <w:r>
              <w:fldChar w:fldCharType="separate"/>
            </w:r>
            <w:r w:rsidRPr="00BC1344">
              <w:rPr>
                <w:noProof/>
              </w:rPr>
              <w:t>(Okugbo, Okoro, and Irhibogbe 2012)</w:t>
            </w:r>
            <w:r>
              <w:fldChar w:fldCharType="end"/>
            </w:r>
          </w:p>
        </w:tc>
      </w:tr>
      <w:tr w:rsidR="00D52A47" w14:paraId="7DEE0A23" w14:textId="77777777" w:rsidTr="00356EB3">
        <w:tc>
          <w:tcPr>
            <w:tcW w:w="3255" w:type="dxa"/>
            <w:vAlign w:val="bottom"/>
          </w:tcPr>
          <w:p w14:paraId="08890F63" w14:textId="77777777" w:rsidR="00D52A47" w:rsidRPr="007B7749" w:rsidRDefault="00D52A47" w:rsidP="00356EB3">
            <w:pPr>
              <w:keepNext/>
              <w:spacing w:line="480" w:lineRule="auto"/>
              <w:jc w:val="center"/>
            </w:pPr>
            <w:r>
              <w:rPr>
                <w:rFonts w:ascii="Calibri" w:hAnsi="Calibri" w:cs="Calibri"/>
                <w:color w:val="000000"/>
              </w:rPr>
              <w:t>thorax_prob_453a</w:t>
            </w:r>
          </w:p>
        </w:tc>
        <w:tc>
          <w:tcPr>
            <w:tcW w:w="1702" w:type="dxa"/>
          </w:tcPr>
          <w:p w14:paraId="0D20056F" w14:textId="77777777" w:rsidR="00D52A47" w:rsidRPr="007B7749" w:rsidRDefault="00D52A47" w:rsidP="00356EB3">
            <w:pPr>
              <w:keepNext/>
              <w:spacing w:line="480" w:lineRule="auto"/>
              <w:jc w:val="center"/>
            </w:pPr>
            <w:r>
              <w:t>Probability of a l</w:t>
            </w:r>
            <w:r w:rsidRPr="00E7261D">
              <w:t>ung contusion</w:t>
            </w:r>
          </w:p>
        </w:tc>
        <w:tc>
          <w:tcPr>
            <w:tcW w:w="2587" w:type="dxa"/>
            <w:gridSpan w:val="2"/>
            <w:vAlign w:val="bottom"/>
          </w:tcPr>
          <w:p w14:paraId="207D3D35" w14:textId="77777777" w:rsidR="00D52A47" w:rsidRPr="007B7749" w:rsidRDefault="00D52A47" w:rsidP="00356EB3">
            <w:pPr>
              <w:keepNext/>
              <w:spacing w:line="480" w:lineRule="auto"/>
              <w:jc w:val="center"/>
            </w:pPr>
            <w:r>
              <w:rPr>
                <w:rFonts w:ascii="Calibri" w:hAnsi="Calibri" w:cs="Calibri"/>
                <w:color w:val="000000"/>
              </w:rPr>
              <w:t>0.0539</w:t>
            </w:r>
          </w:p>
        </w:tc>
        <w:tc>
          <w:tcPr>
            <w:tcW w:w="1472" w:type="dxa"/>
          </w:tcPr>
          <w:p w14:paraId="7FA1D179" w14:textId="77777777" w:rsidR="00D52A47" w:rsidRDefault="00D52A47" w:rsidP="00356EB3">
            <w:pPr>
              <w:keepNext/>
              <w:spacing w:line="480" w:lineRule="auto"/>
              <w:jc w:val="center"/>
            </w:pPr>
            <w:r>
              <w:fldChar w:fldCharType="begin" w:fldLock="1"/>
            </w:r>
            <w:r>
              <w:instrText>ADDIN CSL_CITATION {"citationItems":[{"id":"ITEM-1","itemData":{"ISSN":"2276-6944","PMID":"25452986","abstract":"BACKGROUND Chest trauma is a major cause of morbidity and mortality worldwide. Hospital based studies in Nigeria show it predominantly affects the youth in society. Aim &amp; Objectives: To determine the pattern and management outcomes of patient presenting with chest trauma at the University of Benin Teaching Hospital, Benin City, Nigeria. MATERIALS AND METHODS This is a prospective study of 73 consecutive patients managed for chest injuries between January 2008 and February 2009 at the University of Benin Teaching Hospital, Benin City. RESULTS A total of 73 patients were enrolled in the study. The mean age was 31.5years and median age of 29years. About 81% of the patients were 42yrs and below while 10% were more than 50yrs old. About 88% of the patients were males while 12% were females giving a male: female ratio of 1:7 Most (56%) of the patients were single. Motor Vehicular Accidents (MVAs) accounted for 52% while 43%% were due to violence or assaults. Motorcycle accidents accounted for 15% while Cars, Buses, Vans, Trucks accounted for 37%. Penetrating trauma accounted for 43% of which gunshot wounds accounted for 25%, and stab injuries accounted for 13(18%). About 53% were isolated blunt chest injuries whereas 43% were isolated penetrating chest injuries; 4% of the cases sustained both penetrating and blunt injuries. About 27% presented within an hour of injury, while in all, 95% of the patients presented within 24hours of injury. Diaphragmatic injuries were sustained in 6(8%) patients while cardiac injury was observed in one patient. CONCLUSION Chest trauma predominantly affects the youth with high morbidity and mortality in this environment. Public enlightenment with prompt and effective treatment will impact positively on this persistent problem.","author":[{"dropping-particle":"","family":"Okugbo","given":"Su","non-dropping-particle":"","parse-names":false,"suffix":""},{"dropping-particle":"","family":"Okoro","given":"E","non-dropping-particle":"","parse-names":false,"suffix":""},{"dropping-particle":"","family":"Irhibogbe","given":"Pe","non-dropping-particle":"","parse-names":false,"suffix":""}],"container-title":"Journal of the West African College of Surgeons","id":"ITEM-1","issue":"2","issued":{"date-parts":[["2012","4"]]},"page":"91-101","publisher":"West African College of Surgeons","title":"Chest trauma in a regional trauma centre.","type":"article-journal","volume":"2"},"uris":["http://www.mendeley.com/documents/?uuid=7981671d-0128-3af9-b026-d638779b5af2"]}],"mendeley":{"formattedCitation":"(Okugbo, Okoro, and Irhibogbe 2012)","plainTextFormattedCitation":"(Okugbo, Okoro, and Irhibogbe 2012)","previouslyFormattedCitation":"(Okugbo, Okoro, and Irhibogbe 2012)"},"properties":{"noteIndex":0},"schema":"https://github.com/citation-style-language/schema/raw/master/csl-citation.json"}</w:instrText>
            </w:r>
            <w:r>
              <w:fldChar w:fldCharType="separate"/>
            </w:r>
            <w:r w:rsidRPr="00BC1344">
              <w:rPr>
                <w:noProof/>
              </w:rPr>
              <w:t>(Okugbo, Okoro, and Irhibogbe 2012)</w:t>
            </w:r>
            <w:r>
              <w:fldChar w:fldCharType="end"/>
            </w:r>
          </w:p>
        </w:tc>
      </w:tr>
      <w:tr w:rsidR="00D52A47" w14:paraId="0D48E770" w14:textId="77777777" w:rsidTr="00356EB3">
        <w:tc>
          <w:tcPr>
            <w:tcW w:w="3255" w:type="dxa"/>
            <w:vAlign w:val="bottom"/>
          </w:tcPr>
          <w:p w14:paraId="3007D23C" w14:textId="77777777" w:rsidR="00D52A47" w:rsidRPr="007B7749" w:rsidRDefault="00D52A47" w:rsidP="00356EB3">
            <w:pPr>
              <w:keepNext/>
              <w:spacing w:line="480" w:lineRule="auto"/>
              <w:jc w:val="center"/>
            </w:pPr>
            <w:r>
              <w:rPr>
                <w:rFonts w:ascii="Calibri" w:hAnsi="Calibri" w:cs="Calibri"/>
                <w:color w:val="000000"/>
              </w:rPr>
              <w:t>thorax_prob_453b</w:t>
            </w:r>
          </w:p>
        </w:tc>
        <w:tc>
          <w:tcPr>
            <w:tcW w:w="1702" w:type="dxa"/>
          </w:tcPr>
          <w:p w14:paraId="37190277" w14:textId="77777777" w:rsidR="00D52A47" w:rsidRPr="007B7749" w:rsidRDefault="00D52A47" w:rsidP="00356EB3">
            <w:pPr>
              <w:keepNext/>
              <w:spacing w:line="480" w:lineRule="auto"/>
              <w:jc w:val="center"/>
            </w:pPr>
            <w:r>
              <w:t>Probability of a d</w:t>
            </w:r>
            <w:r w:rsidRPr="00E7261D">
              <w:t>iaphragm rupture</w:t>
            </w:r>
          </w:p>
        </w:tc>
        <w:tc>
          <w:tcPr>
            <w:tcW w:w="2587" w:type="dxa"/>
            <w:gridSpan w:val="2"/>
            <w:vAlign w:val="bottom"/>
          </w:tcPr>
          <w:p w14:paraId="558071AF" w14:textId="77777777" w:rsidR="00D52A47" w:rsidRPr="007B7749" w:rsidRDefault="00D52A47" w:rsidP="00356EB3">
            <w:pPr>
              <w:keepNext/>
              <w:spacing w:line="480" w:lineRule="auto"/>
              <w:jc w:val="center"/>
            </w:pPr>
            <w:r>
              <w:rPr>
                <w:rFonts w:ascii="Calibri" w:hAnsi="Calibri" w:cs="Calibri"/>
                <w:color w:val="000000"/>
              </w:rPr>
              <w:t>0.0161</w:t>
            </w:r>
          </w:p>
        </w:tc>
        <w:tc>
          <w:tcPr>
            <w:tcW w:w="1472" w:type="dxa"/>
          </w:tcPr>
          <w:p w14:paraId="3B963A57" w14:textId="77777777" w:rsidR="00D52A47" w:rsidRDefault="00D52A47" w:rsidP="00356EB3">
            <w:pPr>
              <w:keepNext/>
              <w:spacing w:line="480" w:lineRule="auto"/>
              <w:jc w:val="center"/>
            </w:pPr>
            <w:r>
              <w:fldChar w:fldCharType="begin" w:fldLock="1"/>
            </w:r>
            <w:r>
              <w:instrText>ADDIN CSL_CITATION {"citationItems":[{"id":"ITEM-1","itemData":{"ISSN":"2276-6944","PMID":"25452986","abstract":"BACKGROUND Chest trauma is a major cause of morbidity and mortality worldwide. Hospital based studies in Nigeria show it predominantly affects the youth in society. Aim &amp; Objectives: To determine the pattern and management outcomes of patient presenting with chest trauma at the University of Benin Teaching Hospital, Benin City, Nigeria. MATERIALS AND METHODS This is a prospective study of 73 consecutive patients managed for chest injuries between January 2008 and February 2009 at the University of Benin Teaching Hospital, Benin City. RESULTS A total of 73 patients were enrolled in the study. The mean age was 31.5years and median age of 29years. About 81% of the patients were 42yrs and below while 10% were more than 50yrs old. About 88% of the patients were males while 12% were females giving a male: female ratio of 1:7 Most (56%) of the patients were single. Motor Vehicular Accidents (MVAs) accounted for 52% while 43%% were due to violence or assaults. Motorcycle accidents accounted for 15% while Cars, Buses, Vans, Trucks accounted for 37%. Penetrating trauma accounted for 43% of which gunshot wounds accounted for 25%, and stab injuries accounted for 13(18%). About 53% were isolated blunt chest injuries whereas 43% were isolated penetrating chest injuries; 4% of the cases sustained both penetrating and blunt injuries. About 27% presented within an hour of injury, while in all, 95% of the patients presented within 24hours of injury. Diaphragmatic injuries were sustained in 6(8%) patients while cardiac injury was observed in one patient. CONCLUSION Chest trauma predominantly affects the youth with high morbidity and mortality in this environment. Public enlightenment with prompt and effective treatment will impact positively on this persistent problem.","author":[{"dropping-particle":"","family":"Okugbo","given":"Su","non-dropping-particle":"","parse-names":false,"suffix":""},{"dropping-particle":"","family":"Okoro","given":"E","non-dropping-particle":"","parse-names":false,"suffix":""},{"dropping-particle":"","family":"Irhibogbe","given":"Pe","non-dropping-particle":"","parse-names":false,"suffix":""}],"container-title":"Journal of the West African College of Surgeons","id":"ITEM-1","issue":"2","issued":{"date-parts":[["2012","4"]]},"page":"91-101","publisher":"West African College of Surgeons","title":"Chest trauma in a regional trauma centre.","type":"article-journal","volume":"2"},"uris":["http://www.mendeley.com/documents/?uuid=7981671d-0128-3af9-b026-d638779b5af2"]}],"mendeley":{"formattedCitation":"(Okugbo, Okoro, and Irhibogbe 2012)","plainTextFormattedCitation":"(Okugbo, Okoro, and Irhibogbe 2012)","previouslyFormattedCitation":"(Okugbo, Okoro, and Irhibogbe 2012)"},"properties":{"noteIndex":0},"schema":"https://github.com/citation-style-language/schema/raw/master/csl-citation.json"}</w:instrText>
            </w:r>
            <w:r>
              <w:fldChar w:fldCharType="separate"/>
            </w:r>
            <w:r w:rsidRPr="00BC1344">
              <w:rPr>
                <w:noProof/>
              </w:rPr>
              <w:t>(Okugbo, Okoro, and Irhibogbe 2012)</w:t>
            </w:r>
            <w:r>
              <w:fldChar w:fldCharType="end"/>
            </w:r>
          </w:p>
        </w:tc>
      </w:tr>
      <w:tr w:rsidR="00D52A47" w14:paraId="20F2E7EA" w14:textId="77777777" w:rsidTr="00356EB3">
        <w:tc>
          <w:tcPr>
            <w:tcW w:w="3255" w:type="dxa"/>
            <w:vAlign w:val="bottom"/>
          </w:tcPr>
          <w:p w14:paraId="40E36045" w14:textId="77777777" w:rsidR="00D52A47" w:rsidRPr="007B7749" w:rsidRDefault="00D52A47" w:rsidP="00356EB3">
            <w:pPr>
              <w:keepNext/>
              <w:spacing w:line="480" w:lineRule="auto"/>
              <w:jc w:val="center"/>
            </w:pPr>
            <w:r>
              <w:rPr>
                <w:rFonts w:ascii="Calibri" w:hAnsi="Calibri" w:cs="Calibri"/>
                <w:color w:val="000000"/>
              </w:rPr>
              <w:lastRenderedPageBreak/>
              <w:t>thorax_prob_412</w:t>
            </w:r>
          </w:p>
        </w:tc>
        <w:tc>
          <w:tcPr>
            <w:tcW w:w="1702" w:type="dxa"/>
          </w:tcPr>
          <w:p w14:paraId="6DF113D3" w14:textId="77777777" w:rsidR="00D52A47" w:rsidRPr="007B7749" w:rsidRDefault="00D52A47" w:rsidP="00356EB3">
            <w:pPr>
              <w:keepNext/>
              <w:spacing w:line="480" w:lineRule="auto"/>
              <w:jc w:val="center"/>
            </w:pPr>
            <w:r>
              <w:t>Probability of fractured ribs</w:t>
            </w:r>
          </w:p>
        </w:tc>
        <w:tc>
          <w:tcPr>
            <w:tcW w:w="2587" w:type="dxa"/>
            <w:gridSpan w:val="2"/>
            <w:vAlign w:val="bottom"/>
          </w:tcPr>
          <w:p w14:paraId="549280E9" w14:textId="77777777" w:rsidR="00D52A47" w:rsidRPr="007B7749" w:rsidRDefault="00D52A47" w:rsidP="00356EB3">
            <w:pPr>
              <w:keepNext/>
              <w:spacing w:line="480" w:lineRule="auto"/>
              <w:jc w:val="center"/>
            </w:pPr>
            <w:r>
              <w:rPr>
                <w:rFonts w:ascii="Calibri" w:hAnsi="Calibri" w:cs="Calibri"/>
                <w:color w:val="000000"/>
              </w:rPr>
              <w:t>0.0392</w:t>
            </w:r>
          </w:p>
        </w:tc>
        <w:tc>
          <w:tcPr>
            <w:tcW w:w="1472" w:type="dxa"/>
          </w:tcPr>
          <w:p w14:paraId="13683CD8" w14:textId="77777777" w:rsidR="00D52A47" w:rsidRDefault="00D52A47" w:rsidP="00356EB3">
            <w:pPr>
              <w:keepNext/>
              <w:spacing w:line="480" w:lineRule="auto"/>
              <w:jc w:val="center"/>
            </w:pPr>
            <w:r>
              <w:fldChar w:fldCharType="begin" w:fldLock="1"/>
            </w:r>
            <w:r>
              <w:instrText>ADDIN CSL_CITATION {"citationItems":[{"id":"ITEM-1","itemData":{"ISSN":"2276-6944","PMID":"25452986","abstract":"BACKGROUND Chest trauma is a major cause of morbidity and mortality worldwide. Hospital based studies in Nigeria show it predominantly affects the youth in society. Aim &amp; Objectives: To determine the pattern and management outcomes of patient presenting with chest trauma at the University of Benin Teaching Hospital, Benin City, Nigeria. MATERIALS AND METHODS This is a prospective study of 73 consecutive patients managed for chest injuries between January 2008 and February 2009 at the University of Benin Teaching Hospital, Benin City. RESULTS A total of 73 patients were enrolled in the study. The mean age was 31.5years and median age of 29years. About 81% of the patients were 42yrs and below while 10% were more than 50yrs old. About 88% of the patients were males while 12% were females giving a male: female ratio of 1:7 Most (56%) of the patients were single. Motor Vehicular Accidents (MVAs) accounted for 52% while 43%% were due to violence or assaults. Motorcycle accidents accounted for 15% while Cars, Buses, Vans, Trucks accounted for 37%. Penetrating trauma accounted for 43% of which gunshot wounds accounted for 25%, and stab injuries accounted for 13(18%). About 53% were isolated blunt chest injuries whereas 43% were isolated penetrating chest injuries; 4% of the cases sustained both penetrating and blunt injuries. About 27% presented within an hour of injury, while in all, 95% of the patients presented within 24hours of injury. Diaphragmatic injuries were sustained in 6(8%) patients while cardiac injury was observed in one patient. CONCLUSION Chest trauma predominantly affects the youth with high morbidity and mortality in this environment. Public enlightenment with prompt and effective treatment will impact positively on this persistent problem.","author":[{"dropping-particle":"","family":"Okugbo","given":"Su","non-dropping-particle":"","parse-names":false,"suffix":""},{"dropping-particle":"","family":"Okoro","given":"E","non-dropping-particle":"","parse-names":false,"suffix":""},{"dropping-particle":"","family":"Irhibogbe","given":"Pe","non-dropping-particle":"","parse-names":false,"suffix":""}],"container-title":"Journal of the West African College of Surgeons","id":"ITEM-1","issue":"2","issued":{"date-parts":[["2012","4"]]},"page":"91-101","publisher":"West African College of Surgeons","title":"Chest trauma in a regional trauma centre.","type":"article-journal","volume":"2"},"uris":["http://www.mendeley.com/documents/?uuid=7981671d-0128-3af9-b026-d638779b5af2"]}],"mendeley":{"formattedCitation":"(Okugbo, Okoro, and Irhibogbe 2012)","plainTextFormattedCitation":"(Okugbo, Okoro, and Irhibogbe 2012)","previouslyFormattedCitation":"(Okugbo, Okoro, and Irhibogbe 2012)"},"properties":{"noteIndex":0},"schema":"https://github.com/citation-style-language/schema/raw/master/csl-citation.json"}</w:instrText>
            </w:r>
            <w:r>
              <w:fldChar w:fldCharType="separate"/>
            </w:r>
            <w:r w:rsidRPr="00BC1344">
              <w:rPr>
                <w:noProof/>
              </w:rPr>
              <w:t>(Okugbo, Okoro, and Irhibogbe 2012)</w:t>
            </w:r>
            <w:r>
              <w:fldChar w:fldCharType="end"/>
            </w:r>
          </w:p>
        </w:tc>
      </w:tr>
      <w:tr w:rsidR="00D52A47" w14:paraId="22CDE89A" w14:textId="77777777" w:rsidTr="00356EB3">
        <w:tc>
          <w:tcPr>
            <w:tcW w:w="3255" w:type="dxa"/>
            <w:vAlign w:val="bottom"/>
          </w:tcPr>
          <w:p w14:paraId="21B7AD63" w14:textId="77777777" w:rsidR="00D52A47" w:rsidRPr="007B7749" w:rsidRDefault="00D52A47" w:rsidP="00356EB3">
            <w:pPr>
              <w:keepNext/>
              <w:spacing w:line="480" w:lineRule="auto"/>
              <w:jc w:val="center"/>
            </w:pPr>
            <w:r>
              <w:rPr>
                <w:rFonts w:ascii="Calibri" w:hAnsi="Calibri" w:cs="Calibri"/>
                <w:color w:val="000000"/>
              </w:rPr>
              <w:t>thorax_prob_414</w:t>
            </w:r>
          </w:p>
        </w:tc>
        <w:tc>
          <w:tcPr>
            <w:tcW w:w="1702" w:type="dxa"/>
          </w:tcPr>
          <w:p w14:paraId="1E837D58" w14:textId="77777777" w:rsidR="00D52A47" w:rsidRPr="007B7749" w:rsidRDefault="00D52A47" w:rsidP="00356EB3">
            <w:pPr>
              <w:keepNext/>
              <w:spacing w:line="480" w:lineRule="auto"/>
              <w:jc w:val="center"/>
            </w:pPr>
            <w:r>
              <w:t>Probability of flail chest</w:t>
            </w:r>
          </w:p>
        </w:tc>
        <w:tc>
          <w:tcPr>
            <w:tcW w:w="2587" w:type="dxa"/>
            <w:gridSpan w:val="2"/>
            <w:vAlign w:val="bottom"/>
          </w:tcPr>
          <w:p w14:paraId="356C4C4C" w14:textId="77777777" w:rsidR="00D52A47" w:rsidRPr="007B7749" w:rsidRDefault="00D52A47" w:rsidP="00356EB3">
            <w:pPr>
              <w:keepNext/>
              <w:spacing w:line="480" w:lineRule="auto"/>
              <w:jc w:val="center"/>
            </w:pPr>
            <w:r>
              <w:rPr>
                <w:rFonts w:ascii="Calibri" w:hAnsi="Calibri" w:cs="Calibri"/>
                <w:color w:val="000000"/>
              </w:rPr>
              <w:t>0.0098</w:t>
            </w:r>
          </w:p>
        </w:tc>
        <w:tc>
          <w:tcPr>
            <w:tcW w:w="1472" w:type="dxa"/>
          </w:tcPr>
          <w:p w14:paraId="16B7C359" w14:textId="77777777" w:rsidR="00D52A47" w:rsidRDefault="00D52A47" w:rsidP="00356EB3">
            <w:pPr>
              <w:keepNext/>
              <w:spacing w:line="480" w:lineRule="auto"/>
              <w:jc w:val="center"/>
            </w:pPr>
            <w:r>
              <w:fldChar w:fldCharType="begin" w:fldLock="1"/>
            </w:r>
            <w:r>
              <w:instrText>ADDIN CSL_CITATION {"citationItems":[{"id":"ITEM-1","itemData":{"ISSN":"2276-6944","PMID":"25452986","abstract":"BACKGROUND Chest trauma is a major cause of morbidity and mortality worldwide. Hospital based studies in Nigeria show it predominantly affects the youth in society. Aim &amp; Objectives: To determine the pattern and management outcomes of patient presenting with chest trauma at the University of Benin Teaching Hospital, Benin City, Nigeria. MATERIALS AND METHODS This is a prospective study of 73 consecutive patients managed for chest injuries between January 2008 and February 2009 at the University of Benin Teaching Hospital, Benin City. RESULTS A total of 73 patients were enrolled in the study. The mean age was 31.5years and median age of 29years. About 81% of the patients were 42yrs and below while 10% were more than 50yrs old. About 88% of the patients were males while 12% were females giving a male: female ratio of 1:7 Most (56%) of the patients were single. Motor Vehicular Accidents (MVAs) accounted for 52% while 43%% were due to violence or assaults. Motorcycle accidents accounted for 15% while Cars, Buses, Vans, Trucks accounted for 37%. Penetrating trauma accounted for 43% of which gunshot wounds accounted for 25%, and stab injuries accounted for 13(18%). About 53% were isolated blunt chest injuries whereas 43% were isolated penetrating chest injuries; 4% of the cases sustained both penetrating and blunt injuries. About 27% presented within an hour of injury, while in all, 95% of the patients presented within 24hours of injury. Diaphragmatic injuries were sustained in 6(8%) patients while cardiac injury was observed in one patient. CONCLUSION Chest trauma predominantly affects the youth with high morbidity and mortality in this environment. Public enlightenment with prompt and effective treatment will impact positively on this persistent problem.","author":[{"dropping-particle":"","family":"Okugbo","given":"Su","non-dropping-particle":"","parse-names":false,"suffix":""},{"dropping-particle":"","family":"Okoro","given":"E","non-dropping-particle":"","parse-names":false,"suffix":""},{"dropping-particle":"","family":"Irhibogbe","given":"Pe","non-dropping-particle":"","parse-names":false,"suffix":""}],"container-title":"Journal of the West African College of Surgeons","id":"ITEM-1","issue":"2","issued":{"date-parts":[["2012","4"]]},"page":"91-101","publisher":"West African College of Surgeons","title":"Chest trauma in a regional trauma centre.","type":"article-journal","volume":"2"},"uris":["http://www.mendeley.com/documents/?uuid=7981671d-0128-3af9-b026-d638779b5af2"]}],"mendeley":{"formattedCitation":"(Okugbo, Okoro, and Irhibogbe 2012)","plainTextFormattedCitation":"(Okugbo, Okoro, and Irhibogbe 2012)","previouslyFormattedCitation":"(Okugbo, Okoro, and Irhibogbe 2012)"},"properties":{"noteIndex":0},"schema":"https://github.com/citation-style-language/schema/raw/master/csl-citation.json"}</w:instrText>
            </w:r>
            <w:r>
              <w:fldChar w:fldCharType="separate"/>
            </w:r>
            <w:r w:rsidRPr="00BC1344">
              <w:rPr>
                <w:noProof/>
              </w:rPr>
              <w:t>(Okugbo, Okoro, and Irhibogbe 2012)</w:t>
            </w:r>
            <w:r>
              <w:fldChar w:fldCharType="end"/>
            </w:r>
          </w:p>
        </w:tc>
      </w:tr>
      <w:tr w:rsidR="00D52A47" w14:paraId="0C4A46EA" w14:textId="77777777" w:rsidTr="00356EB3">
        <w:tc>
          <w:tcPr>
            <w:tcW w:w="3255" w:type="dxa"/>
            <w:vAlign w:val="bottom"/>
          </w:tcPr>
          <w:p w14:paraId="5061296C" w14:textId="77777777" w:rsidR="00D52A47" w:rsidRPr="007B7749" w:rsidRDefault="00D52A47" w:rsidP="00356EB3">
            <w:pPr>
              <w:keepNext/>
              <w:spacing w:line="480" w:lineRule="auto"/>
              <w:jc w:val="center"/>
            </w:pPr>
            <w:r>
              <w:rPr>
                <w:rFonts w:ascii="Calibri" w:hAnsi="Calibri" w:cs="Calibri"/>
                <w:color w:val="000000"/>
              </w:rPr>
              <w:t>thorax_prob_441</w:t>
            </w:r>
          </w:p>
        </w:tc>
        <w:tc>
          <w:tcPr>
            <w:tcW w:w="1702" w:type="dxa"/>
          </w:tcPr>
          <w:p w14:paraId="3A7EE708" w14:textId="77777777" w:rsidR="00D52A47" w:rsidRPr="007B7749" w:rsidRDefault="00D52A47" w:rsidP="00356EB3">
            <w:pPr>
              <w:keepNext/>
              <w:spacing w:line="480" w:lineRule="auto"/>
              <w:jc w:val="center"/>
            </w:pPr>
            <w:r>
              <w:t>Probability of c</w:t>
            </w:r>
            <w:r w:rsidRPr="00E7261D">
              <w:t>hest wall lacerations/avulsions</w:t>
            </w:r>
          </w:p>
        </w:tc>
        <w:tc>
          <w:tcPr>
            <w:tcW w:w="2587" w:type="dxa"/>
            <w:gridSpan w:val="2"/>
            <w:vAlign w:val="bottom"/>
          </w:tcPr>
          <w:p w14:paraId="3171ECBB" w14:textId="77777777" w:rsidR="00D52A47" w:rsidRPr="007B7749" w:rsidRDefault="00D52A47" w:rsidP="00356EB3">
            <w:pPr>
              <w:keepNext/>
              <w:spacing w:line="480" w:lineRule="auto"/>
              <w:jc w:val="center"/>
            </w:pPr>
            <w:r>
              <w:rPr>
                <w:rFonts w:ascii="Calibri" w:hAnsi="Calibri" w:cs="Calibri"/>
                <w:color w:val="000000"/>
              </w:rPr>
              <w:t>0.08586</w:t>
            </w:r>
          </w:p>
        </w:tc>
        <w:tc>
          <w:tcPr>
            <w:tcW w:w="1472" w:type="dxa"/>
          </w:tcPr>
          <w:p w14:paraId="7A939F11" w14:textId="77777777" w:rsidR="00D52A47" w:rsidRDefault="00D52A47" w:rsidP="00356EB3">
            <w:pPr>
              <w:keepNext/>
              <w:spacing w:line="480" w:lineRule="auto"/>
              <w:jc w:val="center"/>
            </w:pPr>
            <w:r>
              <w:fldChar w:fldCharType="begin" w:fldLock="1"/>
            </w:r>
            <w:r>
              <w:instrText>ADDIN CSL_CITATION {"citationItems":[{"id":"ITEM-1","itemData":{"ISSN":"2276-6944","PMID":"25452986","abstract":"BACKGROUND Chest trauma is a major cause of morbidity and mortality worldwide. Hospital based studies in Nigeria show it predominantly affects the youth in society. Aim &amp; Objectives: To determine the pattern and management outcomes of patient presenting with chest trauma at the University of Benin Teaching Hospital, Benin City, Nigeria. MATERIALS AND METHODS This is a prospective study of 73 consecutive patients managed for chest injuries between January 2008 and February 2009 at the University of Benin Teaching Hospital, Benin City. RESULTS A total of 73 patients were enrolled in the study. The mean age was 31.5years and median age of 29years. About 81% of the patients were 42yrs and below while 10% were more than 50yrs old. About 88% of the patients were males while 12% were females giving a male: female ratio of 1:7 Most (56%) of the patients were single. Motor Vehicular Accidents (MVAs) accounted for 52% while 43%% were due to violence or assaults. Motorcycle accidents accounted for 15% while Cars, Buses, Vans, Trucks accounted for 37%. Penetrating trauma accounted for 43% of which gunshot wounds accounted for 25%, and stab injuries accounted for 13(18%). About 53% were isolated blunt chest injuries whereas 43% were isolated penetrating chest injuries; 4% of the cases sustained both penetrating and blunt injuries. About 27% presented within an hour of injury, while in all, 95% of the patients presented within 24hours of injury. Diaphragmatic injuries were sustained in 6(8%) patients while cardiac injury was observed in one patient. CONCLUSION Chest trauma predominantly affects the youth with high morbidity and mortality in this environment. Public enlightenment with prompt and effective treatment will impact positively on this persistent problem.","author":[{"dropping-particle":"","family":"Okugbo","given":"Su","non-dropping-particle":"","parse-names":false,"suffix":""},{"dropping-particle":"","family":"Okoro","given":"E","non-dropping-particle":"","parse-names":false,"suffix":""},{"dropping-particle":"","family":"Irhibogbe","given":"Pe","non-dropping-particle":"","parse-names":false,"suffix":""}],"container-title":"Journal of the West African College of Surgeons","id":"ITEM-1","issue":"2","issued":{"date-parts":[["2012","4"]]},"page":"91-101","publisher":"West African College of Surgeons","title":"Chest trauma in a regional trauma centre.","type":"article-journal","volume":"2"},"uris":["http://www.mendeley.com/documents/?uuid=7981671d-0128-3af9-b026-d638779b5af2"]}],"mendeley":{"formattedCitation":"(Okugbo, Okoro, and Irhibogbe 2012)","plainTextFormattedCitation":"(Okugbo, Okoro, and Irhibogbe 2012)","previouslyFormattedCitation":"(Okugbo, Okoro, and Irhibogbe 2012)"},"properties":{"noteIndex":0},"schema":"https://github.com/citation-style-language/schema/raw/master/csl-citation.json"}</w:instrText>
            </w:r>
            <w:r>
              <w:fldChar w:fldCharType="separate"/>
            </w:r>
            <w:r w:rsidRPr="00BC1344">
              <w:rPr>
                <w:noProof/>
              </w:rPr>
              <w:t>(Okugbo, Okoro, and Irhibogbe 2012)</w:t>
            </w:r>
            <w:r>
              <w:fldChar w:fldCharType="end"/>
            </w:r>
          </w:p>
        </w:tc>
      </w:tr>
      <w:tr w:rsidR="00D52A47" w14:paraId="7D7ED41D" w14:textId="77777777" w:rsidTr="00356EB3">
        <w:tc>
          <w:tcPr>
            <w:tcW w:w="3255" w:type="dxa"/>
            <w:vAlign w:val="bottom"/>
          </w:tcPr>
          <w:p w14:paraId="188F3CAD" w14:textId="77777777" w:rsidR="00D52A47" w:rsidRPr="007B7749" w:rsidRDefault="00D52A47" w:rsidP="00356EB3">
            <w:pPr>
              <w:keepNext/>
              <w:spacing w:line="480" w:lineRule="auto"/>
              <w:jc w:val="center"/>
            </w:pPr>
            <w:r>
              <w:rPr>
                <w:rFonts w:ascii="Calibri" w:hAnsi="Calibri" w:cs="Calibri"/>
                <w:color w:val="000000"/>
              </w:rPr>
              <w:t>thorax_prob_442</w:t>
            </w:r>
          </w:p>
        </w:tc>
        <w:tc>
          <w:tcPr>
            <w:tcW w:w="1702" w:type="dxa"/>
          </w:tcPr>
          <w:p w14:paraId="4A177F21" w14:textId="77777777" w:rsidR="00D52A47" w:rsidRDefault="00D52A47" w:rsidP="00356EB3">
            <w:pPr>
              <w:keepNext/>
              <w:spacing w:line="480" w:lineRule="auto"/>
              <w:jc w:val="center"/>
            </w:pPr>
            <w:r>
              <w:t>Probability of s</w:t>
            </w:r>
            <w:r w:rsidRPr="00E7261D">
              <w:t>urgical emphysema</w:t>
            </w:r>
          </w:p>
        </w:tc>
        <w:tc>
          <w:tcPr>
            <w:tcW w:w="2587" w:type="dxa"/>
            <w:gridSpan w:val="2"/>
            <w:vAlign w:val="bottom"/>
          </w:tcPr>
          <w:p w14:paraId="0274FD5E" w14:textId="77777777" w:rsidR="00D52A47" w:rsidRPr="007B7749" w:rsidRDefault="00D52A47" w:rsidP="00356EB3">
            <w:pPr>
              <w:keepNext/>
              <w:spacing w:line="480" w:lineRule="auto"/>
              <w:jc w:val="center"/>
            </w:pPr>
            <w:r>
              <w:rPr>
                <w:rFonts w:ascii="Calibri" w:hAnsi="Calibri" w:cs="Calibri"/>
                <w:color w:val="000000"/>
              </w:rPr>
              <w:t>0.01749</w:t>
            </w:r>
          </w:p>
        </w:tc>
        <w:tc>
          <w:tcPr>
            <w:tcW w:w="1472" w:type="dxa"/>
          </w:tcPr>
          <w:p w14:paraId="5D28B399" w14:textId="77777777" w:rsidR="00D52A47" w:rsidRDefault="00D52A47" w:rsidP="00356EB3">
            <w:pPr>
              <w:keepNext/>
              <w:spacing w:line="480" w:lineRule="auto"/>
              <w:jc w:val="center"/>
            </w:pPr>
            <w:r>
              <w:fldChar w:fldCharType="begin" w:fldLock="1"/>
            </w:r>
            <w:r>
              <w:instrText>ADDIN CSL_CITATION {"citationItems":[{"id":"ITEM-1","itemData":{"ISSN":"2276-6944","PMID":"25452986","abstract":"BACKGROUND Chest trauma is a major cause of morbidity and mortality worldwide. Hospital based studies in Nigeria show it predominantly affects the youth in society. Aim &amp; Objectives: To determine the pattern and management outcomes of patient presenting with chest trauma at the University of Benin Teaching Hospital, Benin City, Nigeria. MATERIALS AND METHODS This is a prospective study of 73 consecutive patients managed for chest injuries between January 2008 and February 2009 at the University of Benin Teaching Hospital, Benin City. RESULTS A total of 73 patients were enrolled in the study. The mean age was 31.5years and median age of 29years. About 81% of the patients were 42yrs and below while 10% were more than 50yrs old. About 88% of the patients were males while 12% were females giving a male: female ratio of 1:7 Most (56%) of the patients were single. Motor Vehicular Accidents (MVAs) accounted for 52% while 43%% were due to violence or assaults. Motorcycle accidents accounted for 15% while Cars, Buses, Vans, Trucks accounted for 37%. Penetrating trauma accounted for 43% of which gunshot wounds accounted for 25%, and stab injuries accounted for 13(18%). About 53% were isolated blunt chest injuries whereas 43% were isolated penetrating chest injuries; 4% of the cases sustained both penetrating and blunt injuries. About 27% presented within an hour of injury, while in all, 95% of the patients presented within 24hours of injury. Diaphragmatic injuries were sustained in 6(8%) patients while cardiac injury was observed in one patient. CONCLUSION Chest trauma predominantly affects the youth with high morbidity and mortality in this environment. Public enlightenment with prompt and effective treatment will impact positively on this persistent problem.","author":[{"dropping-particle":"","family":"Okugbo","given":"Su","non-dropping-particle":"","parse-names":false,"suffix":""},{"dropping-particle":"","family":"Okoro","given":"E","non-dropping-particle":"","parse-names":false,"suffix":""},{"dropping-particle":"","family":"Irhibogbe","given":"Pe","non-dropping-particle":"","parse-names":false,"suffix":""}],"container-title":"Journal of the West African College of Surgeons","id":"ITEM-1","issue":"2","issued":{"date-parts":[["2012","4"]]},"page":"91-101","publisher":"West African College of Surgeons","title":"Chest trauma in a regional trauma centre.","type":"article-journal","volume":"2"},"uris":["http://www.mendeley.com/documents/?uuid=7981671d-0128-3af9-b026-d638779b5af2"]}],"mendeley":{"formattedCitation":"(Okugbo, Okoro, and Irhibogbe 2012)","plainTextFormattedCitation":"(Okugbo, Okoro, and Irhibogbe 2012)","previouslyFormattedCitation":"(Okugbo, Okoro, and Irhibogbe 2012)"},"properties":{"noteIndex":0},"schema":"https://github.com/citation-style-language/schema/raw/master/csl-citation.json"}</w:instrText>
            </w:r>
            <w:r>
              <w:fldChar w:fldCharType="separate"/>
            </w:r>
            <w:r w:rsidRPr="00BC1344">
              <w:rPr>
                <w:noProof/>
              </w:rPr>
              <w:t>(Okugbo, Okoro, and Irhibogbe 2012)</w:t>
            </w:r>
            <w:r>
              <w:fldChar w:fldCharType="end"/>
            </w:r>
          </w:p>
        </w:tc>
      </w:tr>
      <w:tr w:rsidR="00D52A47" w14:paraId="594AD25D" w14:textId="77777777" w:rsidTr="00356EB3">
        <w:tc>
          <w:tcPr>
            <w:tcW w:w="3255" w:type="dxa"/>
            <w:vAlign w:val="bottom"/>
          </w:tcPr>
          <w:p w14:paraId="059C6416" w14:textId="77777777" w:rsidR="00D52A47" w:rsidRPr="007B7749" w:rsidRDefault="00D52A47" w:rsidP="00356EB3">
            <w:pPr>
              <w:keepNext/>
              <w:spacing w:line="480" w:lineRule="auto"/>
              <w:jc w:val="center"/>
            </w:pPr>
            <w:r>
              <w:rPr>
                <w:rFonts w:ascii="Calibri" w:hAnsi="Calibri" w:cs="Calibri"/>
                <w:color w:val="000000"/>
              </w:rPr>
              <w:t>thorax_prob_443</w:t>
            </w:r>
          </w:p>
        </w:tc>
        <w:tc>
          <w:tcPr>
            <w:tcW w:w="1702" w:type="dxa"/>
          </w:tcPr>
          <w:p w14:paraId="5BB843BB" w14:textId="77777777" w:rsidR="00D52A47" w:rsidRDefault="00D52A47" w:rsidP="00356EB3">
            <w:pPr>
              <w:keepNext/>
              <w:spacing w:line="480" w:lineRule="auto"/>
              <w:jc w:val="center"/>
            </w:pPr>
            <w:r>
              <w:t>Probability of c</w:t>
            </w:r>
            <w:r w:rsidRPr="00E7261D">
              <w:t>losed pneumothorax/ open pneumothorax</w:t>
            </w:r>
          </w:p>
        </w:tc>
        <w:tc>
          <w:tcPr>
            <w:tcW w:w="2587" w:type="dxa"/>
            <w:gridSpan w:val="2"/>
            <w:vAlign w:val="bottom"/>
          </w:tcPr>
          <w:p w14:paraId="470B4F6D" w14:textId="77777777" w:rsidR="00D52A47" w:rsidRPr="007B7749" w:rsidRDefault="00D52A47" w:rsidP="00356EB3">
            <w:pPr>
              <w:keepNext/>
              <w:spacing w:line="480" w:lineRule="auto"/>
              <w:jc w:val="center"/>
            </w:pPr>
            <w:r>
              <w:rPr>
                <w:rFonts w:ascii="Calibri" w:hAnsi="Calibri" w:cs="Calibri"/>
                <w:color w:val="000000"/>
              </w:rPr>
              <w:t>0.05565</w:t>
            </w:r>
          </w:p>
        </w:tc>
        <w:tc>
          <w:tcPr>
            <w:tcW w:w="1472" w:type="dxa"/>
          </w:tcPr>
          <w:p w14:paraId="17F2D10E" w14:textId="77777777" w:rsidR="00D52A47" w:rsidRDefault="00D52A47" w:rsidP="00356EB3">
            <w:pPr>
              <w:keepNext/>
              <w:spacing w:line="480" w:lineRule="auto"/>
              <w:jc w:val="center"/>
            </w:pPr>
            <w:r>
              <w:fldChar w:fldCharType="begin" w:fldLock="1"/>
            </w:r>
            <w:r>
              <w:instrText>ADDIN CSL_CITATION {"citationItems":[{"id":"ITEM-1","itemData":{"ISSN":"2276-6944","PMID":"25452986","abstract":"BACKGROUND Chest trauma is a major cause of morbidity and mortality worldwide. Hospital based studies in Nigeria show it predominantly affects the youth in society. Aim &amp; Objectives: To determine the pattern and management outcomes of patient presenting with chest trauma at the University of Benin Teaching Hospital, Benin City, Nigeria. MATERIALS AND METHODS This is a prospective study of 73 consecutive patients managed for chest injuries between January 2008 and February 2009 at the University of Benin Teaching Hospital, Benin City. RESULTS A total of 73 patients were enrolled in the study. The mean age was 31.5years and median age of 29years. About 81% of the patients were 42yrs and below while 10% were more than 50yrs old. About 88% of the patients were males while 12% were females giving a male: female ratio of 1:7 Most (56%) of the patients were single. Motor Vehicular Accidents (MVAs) accounted for 52% while 43%% were due to violence or assaults. Motorcycle accidents accounted for 15% while Cars, Buses, Vans, Trucks accounted for 37%. Penetrating trauma accounted for 43% of which gunshot wounds accounted for 25%, and stab injuries accounted for 13(18%). About 53% were isolated blunt chest injuries whereas 43% were isolated penetrating chest injuries; 4% of the cases sustained both penetrating and blunt injuries. About 27% presented within an hour of injury, while in all, 95% of the patients presented within 24hours of injury. Diaphragmatic injuries were sustained in 6(8%) patients while cardiac injury was observed in one patient. CONCLUSION Chest trauma predominantly affects the youth with high morbidity and mortality in this environment. Public enlightenment with prompt and effective treatment will impact positively on this persistent problem.","author":[{"dropping-particle":"","family":"Okugbo","given":"Su","non-dropping-particle":"","parse-names":false,"suffix":""},{"dropping-particle":"","family":"Okoro","given":"E","non-dropping-particle":"","parse-names":false,"suffix":""},{"dropping-particle":"","family":"Irhibogbe","given":"Pe","non-dropping-particle":"","parse-names":false,"suffix":""}],"container-title":"Journal of the West African College of Surgeons","id":"ITEM-1","issue":"2","issued":{"date-parts":[["2012","4"]]},"page":"91-101","publisher":"West African College of Surgeons","title":"Chest trauma in a regional trauma centre.","type":"article-journal","volume":"2"},"uris":["http://www.mendeley.com/documents/?uuid=7981671d-0128-3af9-b026-d638779b5af2"]}],"mendeley":{"formattedCitation":"(Okugbo, Okoro, and Irhibogbe 2012)","plainTextFormattedCitation":"(Okugbo, Okoro, and Irhibogbe 2012)","previouslyFormattedCitation":"(Okugbo, Okoro, and Irhibogbe 2012)"},"properties":{"noteIndex":0},"schema":"https://github.com/citation-style-language/schema/raw/master/csl-citation.json"}</w:instrText>
            </w:r>
            <w:r>
              <w:fldChar w:fldCharType="separate"/>
            </w:r>
            <w:r w:rsidRPr="00BC1344">
              <w:rPr>
                <w:noProof/>
              </w:rPr>
              <w:t>(Okugbo, Okoro, and Irhibogbe 2012)</w:t>
            </w:r>
            <w:r>
              <w:fldChar w:fldCharType="end"/>
            </w:r>
          </w:p>
        </w:tc>
      </w:tr>
      <w:tr w:rsidR="00D52A47" w14:paraId="33EAE14C" w14:textId="77777777" w:rsidTr="00356EB3">
        <w:tc>
          <w:tcPr>
            <w:tcW w:w="3255" w:type="dxa"/>
            <w:vAlign w:val="bottom"/>
          </w:tcPr>
          <w:p w14:paraId="2675102E" w14:textId="77777777" w:rsidR="00D52A47" w:rsidRPr="007B7749" w:rsidRDefault="00D52A47" w:rsidP="00356EB3">
            <w:pPr>
              <w:keepNext/>
              <w:spacing w:line="480" w:lineRule="auto"/>
              <w:jc w:val="center"/>
            </w:pPr>
            <w:r>
              <w:rPr>
                <w:rFonts w:ascii="Calibri" w:hAnsi="Calibri" w:cs="Calibri"/>
                <w:color w:val="000000"/>
              </w:rPr>
              <w:t>abdomen_prob_5101</w:t>
            </w:r>
          </w:p>
        </w:tc>
        <w:tc>
          <w:tcPr>
            <w:tcW w:w="1702" w:type="dxa"/>
          </w:tcPr>
          <w:p w14:paraId="73FA78BE" w14:textId="77777777" w:rsidR="00D52A47" w:rsidRPr="007B7749" w:rsidRDefault="00D52A47" w:rsidP="00356EB3">
            <w:pPr>
              <w:keepNext/>
              <w:spacing w:line="480" w:lineRule="auto"/>
              <w:jc w:val="center"/>
            </w:pPr>
            <w:r>
              <w:t>Probability of a laceration to the abdomen</w:t>
            </w:r>
          </w:p>
        </w:tc>
        <w:tc>
          <w:tcPr>
            <w:tcW w:w="2587" w:type="dxa"/>
            <w:gridSpan w:val="2"/>
            <w:vAlign w:val="bottom"/>
          </w:tcPr>
          <w:p w14:paraId="6AF70E87" w14:textId="77777777" w:rsidR="00D52A47" w:rsidRPr="007B7749" w:rsidRDefault="00D52A47" w:rsidP="00356EB3">
            <w:pPr>
              <w:keepNext/>
              <w:spacing w:line="480" w:lineRule="auto"/>
              <w:jc w:val="center"/>
            </w:pPr>
            <w:r>
              <w:rPr>
                <w:rFonts w:ascii="Calibri" w:hAnsi="Calibri" w:cs="Calibri"/>
                <w:color w:val="000000"/>
              </w:rPr>
              <w:t>0.11026</w:t>
            </w:r>
          </w:p>
        </w:tc>
        <w:tc>
          <w:tcPr>
            <w:tcW w:w="1472" w:type="dxa"/>
          </w:tcPr>
          <w:p w14:paraId="22F5347A" w14:textId="77777777" w:rsidR="00D52A47" w:rsidRDefault="00D52A47" w:rsidP="00356EB3">
            <w:pPr>
              <w:keepNext/>
              <w:spacing w:line="480" w:lineRule="auto"/>
              <w:jc w:val="center"/>
            </w:pPr>
            <w:r>
              <w:fldChar w:fldCharType="begin" w:fldLock="1"/>
            </w:r>
            <w:r>
              <w:instrText>ADDIN CSL_CITATION {"citationItems":[{"id":"ITEM-1","itemData":{"ISSN":"1943-2461","PMID":"19026226","abstract":"In addition to investigating risk of death due to road traffic injuries, there is a need to better describe the risk of serious consequences. This study assessed risk of permanent medical impairment based on road traffic injuries classified according to AIS-2005. Injured car occupants were followed for at least 5 years to assess permanent medical impairment. After an initial injury, the risk of permanent impairment was established for injuries to different body regions and AIS levels. Degree of impairment was assessed according to a manual used by all Swedish insurance companies. Those included in the study were 20,484 car occupants injured in crashes that occurred between 1995 and 2001. Three risk levels of sustaining a permanent medical impairment (RPMI) were made. It was concluded that almost 10% of all car occupants with AISl injuries sustained a permanent medical impairment. It is therefore important to include minor injuries leading to impairment when measuring loss of health due to road traffic crashes. Furthermore the highest risk of sustaining a permanent medical impairment from an AISl injury was associated with injuries to the cervical spine and upper and lower extremities. One third of AIS3 head and cervical spine injuries led to the highest RPMI level of impairment. Injuries to the thorax and abdomen gave the lowest risk of permanent medical impairment on all AIS levels and all impairment levels. The result can be used for road transport system strategies, and for making priority decisions in vehicle design.","author":[{"dropping-particle":"","family":"Malm","given":"Sigrun","non-dropping-particle":"","parse-names":false,"suffix":""},{"dropping-particle":"","family":"Krafft","given":"Maria","non-dropping-particle":"","parse-names":false,"suffix":""},{"dropping-particle":"","family":"Kullgren","given":"Anders","non-dropping-particle":"","parse-names":false,"suffix":""},{"dropping-particle":"","family":"Ydenius","given":"Anders","non-dropping-particle":"","parse-names":false,"suffix":""},{"dropping-particle":"","family":"Tingvall","given":"Claes","non-dropping-particle":"","parse-names":false,"suffix":""}],"container-title":"Annals of Advances in Automotive Medicine - 52nd Annual Scientific Conference","id":"ITEM-1","issued":{"date-parts":[["2008"]]},"page":"93-100","title":"Risk of permanent medical impairment (RPMI) in road traffic accidents","type":"paper-conference","volume":"52"},"uris":["http://www.mendeley.com/documents/?uuid=1a59c942-dcac-3c10-88a7-d12e806e32e0"]},{"id":"ITEM-2","itemData":{"ISSN":"15710661","abstract":"The cost of deploying a ubiquitous system to enhance a physical environment is likely to be considerable. The success of its deployment is highly dependent on its context: the physical environment and the activities that are to be carried out within it. This paper provides an initial exploration of whether stochastic process algebras (in particular PEPA with a Fluid Flow semantics) might be used to explore consequences before deployment. The focus of the exploration is to aid understanding of how a proposed system supports users within the environment. The challenge is to provide notations and techniques that will enable the analysis of potentially complex systems.","author":[{"dropping-particle":"","family":"Global Health Data","given":"","non-dropping-particle":"","parse-names":false,"suffix":""}],"container-title":"Institue for Health Metrics and Evaluation","id":"ITEM-2","issued":{"date-parts":[["2017"]]},"title":"GBD Results Tool | GHDx","type":"article-journal"},"uris":["http://www.mendeley.com/documents/?uuid=332eefb7-f956-486f-a7e0-95858fee8e38"]}],"mendeley":{"formattedCitation":"(Malm et al. 2008; Global Health Data 2017)","plainTextFormattedCitation":"(Malm et al. 2008; Global Health Data 2017)","previouslyFormattedCitation":"(Malm et al. 2008; Global Health Data 2017)"},"properties":{"noteIndex":0},"schema":"https://github.com/citation-style-language/schema/raw/master/csl-citation.json"}</w:instrText>
            </w:r>
            <w:r>
              <w:fldChar w:fldCharType="separate"/>
            </w:r>
            <w:r w:rsidRPr="00BB6083">
              <w:rPr>
                <w:noProof/>
              </w:rPr>
              <w:t>(Malm et al. 2008; Global Health Data 2017)</w:t>
            </w:r>
            <w:r>
              <w:fldChar w:fldCharType="end"/>
            </w:r>
          </w:p>
        </w:tc>
      </w:tr>
      <w:tr w:rsidR="00D52A47" w14:paraId="7ACC2EFD" w14:textId="77777777" w:rsidTr="00356EB3">
        <w:tc>
          <w:tcPr>
            <w:tcW w:w="3255" w:type="dxa"/>
            <w:vAlign w:val="bottom"/>
          </w:tcPr>
          <w:p w14:paraId="54D1E432" w14:textId="77777777" w:rsidR="00D52A47" w:rsidRPr="007B7749" w:rsidRDefault="00D52A47" w:rsidP="00356EB3">
            <w:pPr>
              <w:keepNext/>
              <w:spacing w:line="480" w:lineRule="auto"/>
              <w:jc w:val="center"/>
            </w:pPr>
            <w:r>
              <w:rPr>
                <w:rFonts w:ascii="Calibri" w:hAnsi="Calibri" w:cs="Calibri"/>
                <w:color w:val="000000"/>
              </w:rPr>
              <w:lastRenderedPageBreak/>
              <w:t>abdomen_prob_5113</w:t>
            </w:r>
          </w:p>
        </w:tc>
        <w:tc>
          <w:tcPr>
            <w:tcW w:w="1702" w:type="dxa"/>
          </w:tcPr>
          <w:p w14:paraId="132C25DD" w14:textId="77777777" w:rsidR="00D52A47" w:rsidRPr="007B7749" w:rsidRDefault="00D52A47" w:rsidP="00356EB3">
            <w:pPr>
              <w:keepNext/>
              <w:spacing w:line="480" w:lineRule="auto"/>
              <w:jc w:val="center"/>
            </w:pPr>
            <w:r>
              <w:t>Probability of a burn to the abdomen</w:t>
            </w:r>
          </w:p>
        </w:tc>
        <w:tc>
          <w:tcPr>
            <w:tcW w:w="2587" w:type="dxa"/>
            <w:gridSpan w:val="2"/>
            <w:vAlign w:val="bottom"/>
          </w:tcPr>
          <w:p w14:paraId="1FB53EA4" w14:textId="77777777" w:rsidR="00D52A47" w:rsidRPr="007B7749" w:rsidRDefault="00D52A47" w:rsidP="00356EB3">
            <w:pPr>
              <w:keepNext/>
              <w:spacing w:line="480" w:lineRule="auto"/>
              <w:jc w:val="center"/>
            </w:pPr>
            <w:r>
              <w:rPr>
                <w:rFonts w:ascii="Calibri" w:hAnsi="Calibri" w:cs="Calibri"/>
                <w:color w:val="000000"/>
              </w:rPr>
              <w:t>0.03874</w:t>
            </w:r>
          </w:p>
        </w:tc>
        <w:tc>
          <w:tcPr>
            <w:tcW w:w="1472" w:type="dxa"/>
          </w:tcPr>
          <w:p w14:paraId="0730EBA1" w14:textId="77777777" w:rsidR="00D52A47" w:rsidRDefault="00D52A47" w:rsidP="00356EB3">
            <w:pPr>
              <w:keepNext/>
              <w:spacing w:line="480" w:lineRule="auto"/>
              <w:jc w:val="center"/>
            </w:pPr>
            <w:r>
              <w:fldChar w:fldCharType="begin" w:fldLock="1"/>
            </w:r>
            <w:r>
              <w:instrText>ADDIN CSL_CITATION {"citationItems":[{"id":"ITEM-1","itemData":{"DOI":"10.1186/s41038-018-0118-z","ISSN":"2321-3876","abstract":"Severe burns injury is a serious pathology, leading to teratogenicity and significant mortality, and it also has a long-term social impact. The aim of this article is to describe the hospitalized population with severe burns injuries in eight burn centers in China between 2011 and 2015 and to suggest future preventive strategies. This 5-year retrospective review included all patients with severe burns in a database at eight institutions. The data collected included gender, age, month distribution, etiology, location, presence of inhalation injury, total burn surface area, depth of the burn, the length of hospitalization, and mortality. SPSS 19.0 software was used to analyze the data. A total of 1126 patients were included: 803 (71.3%) male patients and 323 (28.7%) female patients. Scalds were the most common cause of burns (476, 42.27%), followed by fire (457, 40.59%). The extremities were the most frequently affected areas, followed by the trunk. The median length of hospitalization was 30 (15, 52) days. The overall mortality rate was 14.21%. Although medical centers have devoted intensive resources to improving the survival rates of burn patients, expenditures for prevention and education programs are minimal. Our findings suggest that more attention should be paid to the importance of prevention and the reduction of injury severity. This study may contribute to the establishment of a nationwide burn database and the elaboration of strategies to prevent severe burns injury.","author":[{"dropping-particle":"","family":"Tian","given":"Hao","non-dropping-particle":"","parse-names":false,"suffix":""},{"dropping-particle":"","family":"Wang","given":"Liangxi","non-dropping-particle":"","parse-names":false,"suffix":""},{"dropping-particle":"","family":"Xie","given":"Weiguo","non-dropping-particle":"","parse-names":false,"suffix":""},{"dropping-particle":"","family":"Shen","given":"Chuanan","non-dropping-particle":"","parse-names":false,"suffix":""},{"dropping-particle":"","family":"Guo","given":"Guanghua","non-dropping-particle":"","parse-names":false,"suffix":""},{"dropping-particle":"","family":"Liu","given":"Jiaqi","non-dropping-particle":"","parse-names":false,"suffix":""},{"dropping-particle":"","family":"Han","given":"Chunmao","non-dropping-particle":"","parse-names":false,"suffix":""},{"dropping-particle":"","family":"Ren","given":"Licheng","non-dropping-particle":"","parse-names":false,"suffix":""},{"dropping-particle":"","family":"Liang","given":"Yi","non-dropping-particle":"","parse-names":false,"suffix":""},{"dropping-particle":"","family":"Tang","given":"Yong","non-dropping-particle":"","parse-names":false,"suffix":""},{"dropping-particle":"","family":"Wang","given":"Yuan","non-dropping-particle":"","parse-names":false,"suffix":""},{"dropping-particle":"","family":"Yin","given":"Meifang","non-dropping-particle":"","parse-names":false,"suffix":""},{"dropping-particle":"","family":"Zhang","given":"Jiaping","non-dropping-particle":"","parse-names":false,"suffix":""},{"dropping-particle":"","family":"Huang","given":"Yuesheng","non-dropping-particle":"","parse-names":false,"suffix":""}],"container-title":"Burns &amp; Trauma","id":"ITEM-1","issued":{"date-parts":[["2018"]]},"page":"2011-2015","title":"Epidemiologic and clinical characteristics of severe burn patients: results of a retrospective multicenter study in China, 2011–2015","type":"article-journal","volume":"6"},"uris":["http://www.mendeley.com/documents/?uuid=41588ded-c29f-370a-afa1-4ef68e69a443"]},{"id":"ITEM-2","itemData":{"ISSN":"15710661","abstract":"The cost of deploying a ubiquitous system to enhance a physical environment is likely to be considerable. The success of its deployment is highly dependent on its context: the physical environment and the activities that are to be carried out within it. This paper provides an initial exploration of whether stochastic process algebras (in particular PEPA with a Fluid Flow semantics) might be used to explore consequences before deployment. The focus of the exploration is to aid understanding of how a proposed system supports users within the environment. The challenge is to provide notations and techniques that will enable the analysis of potentially complex systems.","author":[{"dropping-particle":"","family":"Global Health Data","given":"","non-dropping-particle":"","parse-names":false,"suffix":""}],"container-title":"Institue for Health Metrics and Evaluation","id":"ITEM-2","issued":{"date-parts":[["2017"]]},"title":"GBD Results Tool | GHDx","type":"article-journal"},"uris":["http://www.mendeley.com/documents/?uuid=332eefb7-f956-486f-a7e0-95858fee8e38"]}],"mendeley":{"formattedCitation":"(H. Tian et al. 2018; Global Health Data 2017)","plainTextFormattedCitation":"(H. Tian et al. 2018; Global Health Data 2017)","previouslyFormattedCitation":"(H. Tian et al. 2018; Global Health Data 2017)"},"properties":{"noteIndex":0},"schema":"https://github.com/citation-style-language/schema/raw/master/csl-citation.json"}</w:instrText>
            </w:r>
            <w:r>
              <w:fldChar w:fldCharType="separate"/>
            </w:r>
            <w:r w:rsidRPr="00A91689">
              <w:rPr>
                <w:noProof/>
              </w:rPr>
              <w:t>(H. Tian et al. 2018; Global Health Data 2017)</w:t>
            </w:r>
            <w:r>
              <w:fldChar w:fldCharType="end"/>
            </w:r>
          </w:p>
        </w:tc>
      </w:tr>
      <w:tr w:rsidR="00D52A47" w14:paraId="39120AA6" w14:textId="77777777" w:rsidTr="00356EB3">
        <w:tc>
          <w:tcPr>
            <w:tcW w:w="3255" w:type="dxa"/>
            <w:vAlign w:val="bottom"/>
          </w:tcPr>
          <w:p w14:paraId="0633A643" w14:textId="77777777" w:rsidR="00D52A47" w:rsidRPr="007B7749" w:rsidRDefault="00D52A47" w:rsidP="00356EB3">
            <w:pPr>
              <w:keepNext/>
              <w:spacing w:line="480" w:lineRule="auto"/>
              <w:jc w:val="center"/>
            </w:pPr>
            <w:r>
              <w:rPr>
                <w:rFonts w:ascii="Calibri" w:hAnsi="Calibri" w:cs="Calibri"/>
                <w:color w:val="000000"/>
              </w:rPr>
              <w:t>abdomen_prob_552</w:t>
            </w:r>
          </w:p>
        </w:tc>
        <w:tc>
          <w:tcPr>
            <w:tcW w:w="1702" w:type="dxa"/>
          </w:tcPr>
          <w:p w14:paraId="067DFFAE" w14:textId="77777777" w:rsidR="00D52A47" w:rsidRDefault="00D52A47" w:rsidP="00356EB3">
            <w:pPr>
              <w:keepNext/>
              <w:spacing w:line="480" w:lineRule="auto"/>
              <w:jc w:val="center"/>
            </w:pPr>
            <w:r>
              <w:t>Probability of an injury to stomach/</w:t>
            </w:r>
          </w:p>
          <w:p w14:paraId="2AC6778D" w14:textId="77777777" w:rsidR="00D52A47" w:rsidRDefault="00D52A47" w:rsidP="00356EB3">
            <w:pPr>
              <w:keepNext/>
              <w:spacing w:line="480" w:lineRule="auto"/>
              <w:jc w:val="center"/>
            </w:pPr>
            <w:r>
              <w:t>intestines/</w:t>
            </w:r>
          </w:p>
          <w:p w14:paraId="1AE51EB0" w14:textId="77777777" w:rsidR="00D52A47" w:rsidRPr="007B7749" w:rsidRDefault="00D52A47" w:rsidP="00356EB3">
            <w:pPr>
              <w:keepNext/>
              <w:spacing w:line="480" w:lineRule="auto"/>
              <w:jc w:val="center"/>
            </w:pPr>
            <w:r>
              <w:t>colon</w:t>
            </w:r>
          </w:p>
        </w:tc>
        <w:tc>
          <w:tcPr>
            <w:tcW w:w="2587" w:type="dxa"/>
            <w:gridSpan w:val="2"/>
            <w:vAlign w:val="bottom"/>
          </w:tcPr>
          <w:p w14:paraId="62D6FDD5" w14:textId="77777777" w:rsidR="00D52A47" w:rsidRPr="007B7749" w:rsidRDefault="00D52A47" w:rsidP="00356EB3">
            <w:pPr>
              <w:keepNext/>
              <w:spacing w:line="480" w:lineRule="auto"/>
              <w:jc w:val="center"/>
            </w:pPr>
            <w:r>
              <w:rPr>
                <w:rFonts w:ascii="Calibri" w:hAnsi="Calibri" w:cs="Calibri"/>
                <w:color w:val="000000"/>
              </w:rPr>
              <w:t>0.047656</w:t>
            </w:r>
          </w:p>
        </w:tc>
        <w:tc>
          <w:tcPr>
            <w:tcW w:w="1472" w:type="dxa"/>
          </w:tcPr>
          <w:p w14:paraId="6CD4C18C" w14:textId="77777777" w:rsidR="00D52A47" w:rsidRDefault="00D52A47" w:rsidP="00356EB3">
            <w:pPr>
              <w:keepNext/>
              <w:spacing w:line="480" w:lineRule="auto"/>
              <w:jc w:val="center"/>
            </w:pPr>
            <w:r>
              <w:fldChar w:fldCharType="begin" w:fldLock="1"/>
            </w:r>
            <w:r>
              <w:instrText>ADDIN CSL_CITATION {"citationItems":[{"id":"ITEM-1","itemData":{"ISSN":"15710661","abstract":"The cost of deploying a ubiquitous system to enhance a physical environment is likely to be considerable. The success of its deployment is highly dependent on its context: the physical environment and the activities that are to be carried out within it. This paper provides an initial exploration of whether stochastic process algebras (in particular PEPA with a Fluid Flow semantics) might be used to explore consequences before deployment. The focus of the exploration is to aid understanding of how a proposed system supports users within the environment. The challenge is to provide notations and techniques that will enable the analysis of potentially complex systems.","author":[{"dropping-particle":"","family":"Global Health Data","given":"","non-dropping-particle":"","parse-names":false,"suffix":""}],"container-title":"Institue for Health Metrics and Evaluation","id":"ITEM-1","issued":{"date-parts":[["2017"]]},"title":"GBD Results Tool | GHDx","type":"article-journal"},"uris":["http://www.mendeley.com/documents/?uuid=332eefb7-f956-486f-a7e0-95858fee8e38"]},{"id":"ITEM-2","itemData":{"abstract":"Background: Trauma poses a major public health challenge in Africa. This study was aimed at determining the prevalence, patterns and predisposing factors of abdominal injury in Mbarara Regional Referral Hospital (MRRH). Methods: A standard questionnaire was used to record the patterns, type and predisposing factors of injuries. All patients admitted to Mbarara Regional Referral Hospital (MRRH) with a diagnosis of abdominal injury over the study period made the study population. Results: Abdominal trauma accounted for 14.23% of the 836 trauma admissions seen over the study period. Fifty two percent of the injuries had been sustained on the road. Males were five times more than females and the age range was 3-88 years, with a mode of 27 years. Blunt trauma accounted for 85.71% of abdominal injury, the spleen was injured in 43.7% and fractures were associated in 27.7%. Most patients (68.9 %) were managed nonoperatively. Conclusion: Blunt abdominal injury was the commonest pattern of injury (85.7%). Abdominal trauma is a common emergency at Mbarara Regional Referral Hospital accounting for 14.23% of admissions due to injury. Most injuries are a result of road traffic crushes (47.1%) and assault. Alcohol consumption is a major predisposing factor. Peasants are more predisposed to abdominal injuries. Non-operative management of hemoperitoneum is safe in hemodynamically stable patients.","author":[{"dropping-particle":"","family":"Ruhinda","given":"G.","non-dropping-particle":"","parse-names":false,"suffix":""},{"dropping-particle":"","family":"Kyamanywa","given":"P.","non-dropping-particle":"","parse-names":false,"suffix":""},{"dropping-particle":"","family":"Kitya","given":"D.","non-dropping-particle":"","parse-names":false,"suffix":""},{"dropping-particle":"","family":"Bajunirwe","given":"F.","non-dropping-particle":"","parse-names":false,"suffix":""}],"container-title":"East and Central African Journal of Surgery","id":"ITEM-2","issue":"2","issued":{"date-parts":[["2008"]]},"page":"29-36","title":"Abdominal injury at Mbarara Regional Referral Hospital, Uganda","type":"article-journal","volume":"13"},"uris":["http://www.mendeley.com/documents/?uuid=96b42e00-aa2f-3ca6-baf3-342d7db9e01b"]}],"mendeley":{"formattedCitation":"(Global Health Data 2017; Ruhinda et al. 2008)","plainTextFormattedCitation":"(Global Health Data 2017; Ruhinda et al. 2008)","previouslyFormattedCitation":"(Global Health Data 2017; Ruhinda et al. 2008)"},"properties":{"noteIndex":0},"schema":"https://github.com/citation-style-language/schema/raw/master/csl-citation.json"}</w:instrText>
            </w:r>
            <w:r>
              <w:fldChar w:fldCharType="separate"/>
            </w:r>
            <w:r w:rsidRPr="00E7261D">
              <w:rPr>
                <w:noProof/>
              </w:rPr>
              <w:t>(Global Health Data 2017; Ruhinda et al. 2008)</w:t>
            </w:r>
            <w:r>
              <w:fldChar w:fldCharType="end"/>
            </w:r>
          </w:p>
        </w:tc>
      </w:tr>
      <w:tr w:rsidR="00D52A47" w14:paraId="5C3D9B63" w14:textId="77777777" w:rsidTr="00356EB3">
        <w:tc>
          <w:tcPr>
            <w:tcW w:w="3255" w:type="dxa"/>
            <w:vAlign w:val="bottom"/>
          </w:tcPr>
          <w:p w14:paraId="042F66A3" w14:textId="77777777" w:rsidR="00D52A47" w:rsidRPr="007B7749" w:rsidRDefault="00D52A47" w:rsidP="00356EB3">
            <w:pPr>
              <w:keepNext/>
              <w:spacing w:line="480" w:lineRule="auto"/>
              <w:jc w:val="center"/>
            </w:pPr>
            <w:r>
              <w:rPr>
                <w:rFonts w:ascii="Calibri" w:hAnsi="Calibri" w:cs="Calibri"/>
                <w:color w:val="000000"/>
              </w:rPr>
              <w:t>abdomen_prob_553</w:t>
            </w:r>
          </w:p>
        </w:tc>
        <w:tc>
          <w:tcPr>
            <w:tcW w:w="1702" w:type="dxa"/>
          </w:tcPr>
          <w:p w14:paraId="29813702" w14:textId="77777777" w:rsidR="00D52A47" w:rsidRDefault="00D52A47" w:rsidP="00356EB3">
            <w:pPr>
              <w:keepNext/>
              <w:spacing w:line="480" w:lineRule="auto"/>
              <w:jc w:val="center"/>
            </w:pPr>
            <w:r>
              <w:t>Probability of injury to spleen/</w:t>
            </w:r>
          </w:p>
          <w:p w14:paraId="5D281F9E" w14:textId="77777777" w:rsidR="00D52A47" w:rsidRDefault="00D52A47" w:rsidP="00356EB3">
            <w:pPr>
              <w:keepNext/>
              <w:spacing w:line="480" w:lineRule="auto"/>
              <w:jc w:val="center"/>
            </w:pPr>
            <w:r>
              <w:t>Urinary bladder/</w:t>
            </w:r>
          </w:p>
          <w:p w14:paraId="6751CCB5" w14:textId="77777777" w:rsidR="00D52A47" w:rsidRDefault="00D52A47" w:rsidP="00356EB3">
            <w:pPr>
              <w:keepNext/>
              <w:spacing w:line="480" w:lineRule="auto"/>
              <w:jc w:val="center"/>
            </w:pPr>
            <w:r>
              <w:t>Liver/</w:t>
            </w:r>
          </w:p>
          <w:p w14:paraId="48273390" w14:textId="77777777" w:rsidR="00D52A47" w:rsidRDefault="00D52A47" w:rsidP="00356EB3">
            <w:pPr>
              <w:keepNext/>
              <w:spacing w:line="480" w:lineRule="auto"/>
              <w:jc w:val="center"/>
            </w:pPr>
            <w:r>
              <w:t>Urethra/</w:t>
            </w:r>
          </w:p>
          <w:p w14:paraId="22F2062A" w14:textId="77777777" w:rsidR="00D52A47" w:rsidRPr="007B7749" w:rsidRDefault="00D52A47" w:rsidP="00356EB3">
            <w:pPr>
              <w:keepNext/>
              <w:spacing w:line="480" w:lineRule="auto"/>
              <w:jc w:val="center"/>
            </w:pPr>
            <w:r>
              <w:t>Diaphragm</w:t>
            </w:r>
          </w:p>
        </w:tc>
        <w:tc>
          <w:tcPr>
            <w:tcW w:w="2587" w:type="dxa"/>
            <w:gridSpan w:val="2"/>
            <w:vAlign w:val="bottom"/>
          </w:tcPr>
          <w:p w14:paraId="39E32D7C" w14:textId="77777777" w:rsidR="00D52A47" w:rsidRPr="007B7749" w:rsidRDefault="00D52A47" w:rsidP="00356EB3">
            <w:pPr>
              <w:keepNext/>
              <w:spacing w:line="480" w:lineRule="auto"/>
              <w:jc w:val="center"/>
            </w:pPr>
            <w:r>
              <w:rPr>
                <w:rFonts w:ascii="Calibri" w:hAnsi="Calibri" w:cs="Calibri"/>
                <w:color w:val="000000"/>
              </w:rPr>
              <w:t>0.77441</w:t>
            </w:r>
          </w:p>
        </w:tc>
        <w:tc>
          <w:tcPr>
            <w:tcW w:w="1472" w:type="dxa"/>
          </w:tcPr>
          <w:p w14:paraId="5B54B8AD" w14:textId="77777777" w:rsidR="00D52A47" w:rsidRDefault="00D52A47" w:rsidP="00356EB3">
            <w:pPr>
              <w:keepNext/>
              <w:spacing w:line="480" w:lineRule="auto"/>
              <w:jc w:val="center"/>
            </w:pPr>
            <w:r w:rsidRPr="00E7261D">
              <w:rPr>
                <w:noProof/>
              </w:rPr>
              <w:t>(Global Health Data 2017; Ruhinda et al. 2008</w:t>
            </w:r>
          </w:p>
        </w:tc>
      </w:tr>
      <w:tr w:rsidR="00D52A47" w14:paraId="1CFD9E10" w14:textId="77777777" w:rsidTr="00356EB3">
        <w:tc>
          <w:tcPr>
            <w:tcW w:w="3255" w:type="dxa"/>
            <w:vAlign w:val="bottom"/>
          </w:tcPr>
          <w:p w14:paraId="427F1D4D" w14:textId="77777777" w:rsidR="00D52A47" w:rsidRPr="007B7749" w:rsidRDefault="00D52A47" w:rsidP="00356EB3">
            <w:pPr>
              <w:keepNext/>
              <w:spacing w:line="480" w:lineRule="auto"/>
              <w:jc w:val="center"/>
            </w:pPr>
            <w:r>
              <w:rPr>
                <w:rFonts w:ascii="Calibri" w:hAnsi="Calibri" w:cs="Calibri"/>
                <w:color w:val="000000"/>
              </w:rPr>
              <w:t>abdomen_prob_554</w:t>
            </w:r>
          </w:p>
        </w:tc>
        <w:tc>
          <w:tcPr>
            <w:tcW w:w="1702" w:type="dxa"/>
          </w:tcPr>
          <w:p w14:paraId="2193E1E0" w14:textId="77777777" w:rsidR="00D52A47" w:rsidRPr="007B7749" w:rsidRDefault="00D52A47" w:rsidP="00356EB3">
            <w:pPr>
              <w:keepNext/>
              <w:spacing w:line="480" w:lineRule="auto"/>
              <w:jc w:val="center"/>
            </w:pPr>
            <w:r>
              <w:t>Probability of an i</w:t>
            </w:r>
            <w:r w:rsidRPr="00E7261D">
              <w:t>njury to kidney</w:t>
            </w:r>
          </w:p>
        </w:tc>
        <w:tc>
          <w:tcPr>
            <w:tcW w:w="2587" w:type="dxa"/>
            <w:gridSpan w:val="2"/>
            <w:vAlign w:val="bottom"/>
          </w:tcPr>
          <w:p w14:paraId="414D0C1E" w14:textId="77777777" w:rsidR="00D52A47" w:rsidRPr="007B7749" w:rsidRDefault="00D52A47" w:rsidP="00356EB3">
            <w:pPr>
              <w:keepNext/>
              <w:spacing w:line="480" w:lineRule="auto"/>
              <w:jc w:val="center"/>
            </w:pPr>
            <w:r>
              <w:rPr>
                <w:rFonts w:ascii="Calibri" w:hAnsi="Calibri" w:cs="Calibri"/>
                <w:color w:val="000000"/>
              </w:rPr>
              <w:t>0.028934</w:t>
            </w:r>
          </w:p>
        </w:tc>
        <w:tc>
          <w:tcPr>
            <w:tcW w:w="1472" w:type="dxa"/>
          </w:tcPr>
          <w:p w14:paraId="43D6A826" w14:textId="77777777" w:rsidR="00D52A47" w:rsidRDefault="00D52A47" w:rsidP="00356EB3">
            <w:pPr>
              <w:keepNext/>
              <w:spacing w:line="480" w:lineRule="auto"/>
              <w:jc w:val="center"/>
            </w:pPr>
            <w:r w:rsidRPr="00E7261D">
              <w:rPr>
                <w:noProof/>
              </w:rPr>
              <w:t>(Global Health Data 2017; Ruhinda et al. 2008</w:t>
            </w:r>
          </w:p>
        </w:tc>
      </w:tr>
      <w:tr w:rsidR="00D52A47" w14:paraId="0D89D8D5" w14:textId="77777777" w:rsidTr="00356EB3">
        <w:tc>
          <w:tcPr>
            <w:tcW w:w="3255" w:type="dxa"/>
            <w:vAlign w:val="bottom"/>
          </w:tcPr>
          <w:p w14:paraId="48A580A3" w14:textId="77777777" w:rsidR="00D52A47" w:rsidRPr="007B7749" w:rsidRDefault="00D52A47" w:rsidP="00356EB3">
            <w:pPr>
              <w:keepNext/>
              <w:spacing w:line="480" w:lineRule="auto"/>
              <w:jc w:val="center"/>
            </w:pPr>
            <w:r>
              <w:rPr>
                <w:rFonts w:ascii="Calibri" w:hAnsi="Calibri" w:cs="Calibri"/>
                <w:color w:val="000000"/>
              </w:rPr>
              <w:t>spine_prob_612</w:t>
            </w:r>
          </w:p>
        </w:tc>
        <w:tc>
          <w:tcPr>
            <w:tcW w:w="1702" w:type="dxa"/>
          </w:tcPr>
          <w:p w14:paraId="1044C93B" w14:textId="77777777" w:rsidR="00D52A47" w:rsidRPr="007B7749" w:rsidRDefault="00D52A47" w:rsidP="00356EB3">
            <w:pPr>
              <w:keepNext/>
              <w:spacing w:line="480" w:lineRule="auto"/>
              <w:jc w:val="center"/>
            </w:pPr>
            <w:r>
              <w:t>Probability of fractured vertebrae</w:t>
            </w:r>
          </w:p>
        </w:tc>
        <w:tc>
          <w:tcPr>
            <w:tcW w:w="2587" w:type="dxa"/>
            <w:gridSpan w:val="2"/>
            <w:vAlign w:val="bottom"/>
          </w:tcPr>
          <w:p w14:paraId="39E89202" w14:textId="77777777" w:rsidR="00D52A47" w:rsidRDefault="00D52A47" w:rsidP="00356EB3">
            <w:pPr>
              <w:keepNext/>
              <w:spacing w:line="480" w:lineRule="auto"/>
              <w:jc w:val="center"/>
              <w:rPr>
                <w:rFonts w:ascii="Calibri" w:hAnsi="Calibri" w:cs="Calibri"/>
                <w:color w:val="000000"/>
              </w:rPr>
            </w:pPr>
            <w:r>
              <w:rPr>
                <w:rFonts w:ascii="Calibri" w:hAnsi="Calibri" w:cs="Calibri"/>
                <w:color w:val="000000"/>
              </w:rPr>
              <w:t>0.364</w:t>
            </w:r>
          </w:p>
          <w:p w14:paraId="2A362BB2" w14:textId="77777777" w:rsidR="00D52A47" w:rsidRPr="007B7749" w:rsidRDefault="00D52A47" w:rsidP="00356EB3">
            <w:pPr>
              <w:keepNext/>
              <w:spacing w:line="480" w:lineRule="auto"/>
              <w:jc w:val="center"/>
            </w:pPr>
          </w:p>
        </w:tc>
        <w:tc>
          <w:tcPr>
            <w:tcW w:w="1472" w:type="dxa"/>
          </w:tcPr>
          <w:p w14:paraId="7B3724C0" w14:textId="77777777" w:rsidR="00D52A47" w:rsidRDefault="00D52A47" w:rsidP="00356EB3">
            <w:pPr>
              <w:keepNext/>
              <w:spacing w:line="480" w:lineRule="auto"/>
              <w:jc w:val="center"/>
            </w:pPr>
            <w:r>
              <w:fldChar w:fldCharType="begin" w:fldLock="1"/>
            </w:r>
            <w:r>
              <w:instrText>ADDIN CSL_CITATION {"citationItems":[{"id":"ITEM-1","itemData":{"ISSN":"0014-1755","PMID":"26591295","abstract":"BACKGROUND Spinal injury is a major cause of morbidity and mortality worldwide. Fall and Road traffic accident are the main etiologic factor. OBJECTIVE The aim of this study was to asses local hospital patterns of spinal injury and compare them with published reports. METHODS AND PATIENTS This is a hospital based cross sectional study of patterns of patients with spine and spinal cord injury seen at the Emergency OPD, Tikur Anbessa Specialized Teaching Hospital (TASTH), Department of Neurosurgery, Addis Ababa, Ethiopia in the period between April 2008 and March 2012. Data was collected using structured questionnaires. The variables included were the Socio-demographic such as age sex, distance of patients' residence area from the TAH. In addition to the above profiles, causes of injuries, Occupation, diagnosis, time spent between arrival andAdmission and decision taken at OPD level. Differences in proportions were examined using Chi-square test. RESULTS A statistically significant male predominance (84.9%) (p, 0.0001) was observed, the mean age was 32.8 years, with range 10 to 84 years. Mean duration of presentation to TASH was 4.3 days with a range 1 hour-60 days, Fall from height (P &lt; 0.001) and Road traffic collisions were the main cause of spine and spinal cord injuries in 36.4% and 32.9% of the patients respectively. Most often the cervical spine was involved (33.0%), Sixty-nine (17.9%) patients had associated injuries, majority of respondents (25.5%) were farmers, Majority belonged to ASIA A grade. All the deaths, 7 (8.3%) occurred in patients with complete cervical spine lesion. CONCLUSION Spinal injury was an important indication for neurosurgical consultations in our service. Complete cord injuries were more common than incomplete and the case incidence from fall was remarkably high.","author":[{"dropping-particle":"","family":"Biluts","given":"Hagos","non-dropping-particle":"","parse-names":false,"suffix":""},{"dropping-particle":"","family":"Abebe","given":"Mersha","non-dropping-particle":"","parse-names":false,"suffix":""},{"dropping-particle":"","family":"Laeke","given":"Tsegazeab","non-dropping-particle":"","parse-names":false,"suffix":""},{"dropping-particle":"","family":"Tirsit","given":"Abenezer","non-dropping-particle":"","parse-names":false,"suffix":""},{"dropping-particle":"","family":"Belete","given":"Addisalem","non-dropping-particle":"","parse-names":false,"suffix":""}],"container-title":"Ethiopian medical journal","id":"ITEM-1","issue":"2","issued":{"date-parts":[["2015","4"]]},"page":"75-82","title":"PATTERN OF SPINE AND SPINAL CORD INJURIES IN TIKUR ANBESSA HOSPITAL, ETHIOPIA.","type":"article-journal","volume":"53"},"uris":["http://www.mendeley.com/documents/?uuid=afbaf117-8123-3fa9-af55-d76dcf40d6cd"]}],"mendeley":{"formattedCitation":"(Biluts et al. 2015)","plainTextFormattedCitation":"(Biluts et al. 2015)","previouslyFormattedCitation":"(Biluts et al. 2015)"},"properties":{"noteIndex":0},"schema":"https://github.com/citation-style-language/schema/raw/master/csl-citation.json"}</w:instrText>
            </w:r>
            <w:r>
              <w:fldChar w:fldCharType="separate"/>
            </w:r>
            <w:r w:rsidRPr="008923C6">
              <w:rPr>
                <w:noProof/>
              </w:rPr>
              <w:t>(Biluts et al. 2015)</w:t>
            </w:r>
            <w:r>
              <w:fldChar w:fldCharType="end"/>
            </w:r>
          </w:p>
        </w:tc>
      </w:tr>
      <w:tr w:rsidR="00D52A47" w14:paraId="5870D414" w14:textId="77777777" w:rsidTr="00356EB3">
        <w:tc>
          <w:tcPr>
            <w:tcW w:w="3255" w:type="dxa"/>
            <w:vAlign w:val="bottom"/>
          </w:tcPr>
          <w:p w14:paraId="7C501940" w14:textId="77777777" w:rsidR="00D52A47" w:rsidRPr="007B7749" w:rsidRDefault="00D52A47" w:rsidP="00356EB3">
            <w:pPr>
              <w:keepNext/>
              <w:spacing w:line="480" w:lineRule="auto"/>
              <w:jc w:val="center"/>
            </w:pPr>
            <w:r>
              <w:rPr>
                <w:rFonts w:ascii="Calibri" w:hAnsi="Calibri" w:cs="Calibri"/>
                <w:color w:val="000000"/>
              </w:rPr>
              <w:t>spine_prob_673a</w:t>
            </w:r>
          </w:p>
        </w:tc>
        <w:tc>
          <w:tcPr>
            <w:tcW w:w="1702" w:type="dxa"/>
          </w:tcPr>
          <w:p w14:paraId="27E59D18" w14:textId="77777777" w:rsidR="00D52A47" w:rsidRPr="007B7749" w:rsidRDefault="00D52A47" w:rsidP="00356EB3">
            <w:pPr>
              <w:keepNext/>
              <w:spacing w:line="480" w:lineRule="auto"/>
              <w:jc w:val="center"/>
            </w:pPr>
            <w:r>
              <w:t>Probability of a spinal cord injury at neck level with an AIS score of 3</w:t>
            </w:r>
          </w:p>
        </w:tc>
        <w:tc>
          <w:tcPr>
            <w:tcW w:w="2587" w:type="dxa"/>
            <w:gridSpan w:val="2"/>
            <w:vAlign w:val="bottom"/>
          </w:tcPr>
          <w:p w14:paraId="2EC86A7A" w14:textId="77777777" w:rsidR="00D52A47" w:rsidRPr="007B7749" w:rsidRDefault="00D52A47" w:rsidP="00356EB3">
            <w:pPr>
              <w:keepNext/>
              <w:spacing w:line="480" w:lineRule="auto"/>
              <w:jc w:val="center"/>
            </w:pPr>
            <w:r>
              <w:rPr>
                <w:rFonts w:ascii="Calibri" w:hAnsi="Calibri" w:cs="Calibri"/>
                <w:color w:val="000000"/>
              </w:rPr>
              <w:t>0.015840216</w:t>
            </w:r>
          </w:p>
        </w:tc>
        <w:tc>
          <w:tcPr>
            <w:tcW w:w="1472" w:type="dxa"/>
          </w:tcPr>
          <w:p w14:paraId="59A98C1B" w14:textId="77777777" w:rsidR="00D52A47" w:rsidRDefault="00D52A47" w:rsidP="00356EB3">
            <w:pPr>
              <w:keepNext/>
              <w:spacing w:line="480" w:lineRule="auto"/>
              <w:jc w:val="center"/>
            </w:pPr>
            <w:r>
              <w:fldChar w:fldCharType="begin" w:fldLock="1"/>
            </w:r>
            <w:r>
              <w:instrText>ADDIN CSL_CITATION {"citationItems":[{"id":"ITEM-1","itemData":{"ISSN":"0014-1755","PMID":"26591295","abstract":"BACKGROUND Spinal injury is a major cause of morbidity and mortality worldwide. Fall and Road traffic accident are the main etiologic factor. OBJECTIVE The aim of this study was to asses local hospital patterns of spinal injury and compare them with published reports. METHODS AND PATIENTS This is a hospital based cross sectional study of patterns of patients with spine and spinal cord injury seen at the Emergency OPD, Tikur Anbessa Specialized Teaching Hospital (TASTH), Department of Neurosurgery, Addis Ababa, Ethiopia in the period between April 2008 and March 2012. Data was collected using structured questionnaires. The variables included were the Socio-demographic such as age sex, distance of patients' residence area from the TAH. In addition to the above profiles, causes of injuries, Occupation, diagnosis, time spent between arrival andAdmission and decision taken at OPD level. Differences in proportions were examined using Chi-square test. RESULTS A statistically significant male predominance (84.9%) (p, 0.0001) was observed, the mean age was 32.8 years, with range 10 to 84 years. Mean duration of presentation to TASH was 4.3 days with a range 1 hour-60 days, Fall from height (P &lt; 0.001) and Road traffic collisions were the main cause of spine and spinal cord injuries in 36.4% and 32.9% of the patients respectively. Most often the cervical spine was involved (33.0%), Sixty-nine (17.9%) patients had associated injuries, majority of respondents (25.5%) were farmers, Majority belonged to ASIA A grade. All the deaths, 7 (8.3%) occurred in patients with complete cervical spine lesion. CONCLUSION Spinal injury was an important indication for neurosurgical consultations in our service. Complete cord injuries were more common than incomplete and the case incidence from fall was remarkably high.","author":[{"dropping-particle":"","family":"Biluts","given":"Hagos","non-dropping-particle":"","parse-names":false,"suffix":""},{"dropping-particle":"","family":"Abebe","given":"Mersha","non-dropping-particle":"","parse-names":false,"suffix":""},{"dropping-particle":"","family":"Laeke","given":"Tsegazeab","non-dropping-particle":"","parse-names":false,"suffix":""},{"dropping-particle":"","family":"Tirsit","given":"Abenezer","non-dropping-particle":"","parse-names":false,"suffix":""},{"dropping-particle":"","family":"Belete","given":"Addisalem","non-dropping-particle":"","parse-names":false,"suffix":""}],"container-title":"Ethiopian medical journal","id":"ITEM-1","issue":"2","issued":{"date-parts":[["2015","4"]]},"page":"75-82","title":"PATTERN OF SPINE AND SPINAL CORD INJURIES IN TIKUR ANBESSA HOSPITAL, ETHIOPIA.","type":"article-journal","volume":"53"},"uris":["http://www.mendeley.com/documents/?uuid=afbaf117-8123-3fa9-af55-d76dcf40d6cd"]},{"id":"ITEM-2","itemData":{"DOI":"10.1016/j.spinee.2015.04.041","ISSN":"18781632","abstract":"Background context Little is known about the incidence of spinal cord injury (SCI) in polytrauma patients. Purpose The purpose of this study was to analyze incidence, prognosis, and outcome of SCI in polytrauma patients. Study design/setting This is a retrospective multicenter cohort study. Patient sample A total of 57,310 patients of TraumaRegister DGU (2002-2012) of the German Trauma Society were included. Aim of this large multicentre database is a standardized documentation of severely injured patients. Outcome measures Outcome measures were mortality and Glasgow Outcome 4Scale. Methods Inclusion criteria were adult blunt trauma patients (age greater than 16 years) and injury severity score (ISS) greater than 16. The severity of SCI was based on the Abbreviated Injury Scale (AIS), and the outcome of patients was assessed with the Glasgow Outcome Scale (GOS). Factors with an impact on the outcome were analyzed with a logistic regression model. Results Four thousand two hundred eighty five (7.5%) of 57,310 patients sustained SCI. Mean age was 48.9±20.7 years, ISS 28.0±12, and 72.7% were men. Two thousand two hundred twenty two (3.9%) SCIs involved the cervical, 1,388 (2.4%) the thoracic, and 791 (1.4%) the lumbar spine. One hundred fifty-nine (7.2%) cervical spine injuries were associated with transient neurologic deficit (TND) (AIS 3), 612 (27.5%) with an incomplete paraplegia (AIS 4), 1,101 (49.6%) with a complete paraplegia (AIS 5), and 350 (15.8%) with a complete lesion above C3 (AIS 6). Lesions of the thoracic spine showed in 93 (6.7%) of the 1,388 lesions a TND (AIS 3), in 332 (23.9%) an incomplete paraplegia (AIS 4), and in 963 (69.4%) a complete lesion (AIS 5). In the lumbar region, lesions were distributed as follows: TND (AIS 3) 145 (18.3%), incomplete paraplegia (AIS 4) 305 (38.6%), and complete lesion 341 (43.1%). Sepsis and multiorgan failure were found more often in patients with AIS 5/6 lesions (p&lt;.001). The hospital length of stay in SCIs was significantly longer. Most of the patients (85.8%) with SCI were treated in Level I trauma centers. Spinal cord injuries had a minor impact in the mortality. Only AIS 6 injuries resulted in a significantly higher mortality (64.6%). Adjusted logistic regression analysis (target variable: GOS 4 or 5, good outcome) showed that the following factors were significantly associated with an unfavorable outcome (p.02): AIS greater than or equal to 4, age greater than or equal to 60 years, resuscitation, se…","author":[{"dropping-particle":"","family":"Stephan","given":"Katharina","non-dropping-particle":"","parse-names":false,"suffix":""},{"dropping-particle":"","family":"Huber","given":"Stephan","non-dropping-particle":"","parse-names":false,"suffix":""},{"dropping-particle":"","family":"Häberle","given":"Sandra","non-dropping-particle":"","parse-names":false,"suffix":""},{"dropping-particle":"","family":"Kanz","given":"Karl Georg","non-dropping-particle":"","parse-names":false,"suffix":""},{"dropping-particle":"","family":"Bühren","given":"Volker","non-dropping-particle":"","parse-names":false,"suffix":""},{"dropping-particle":"","family":"Griensven","given":"Martijn","non-dropping-particle":"Van","parse-names":false,"suffix":""},{"dropping-particle":"","family":"Meyer","given":"Bernhard","non-dropping-particle":"","parse-names":false,"suffix":""},{"dropping-particle":"","family":"Biberthaler","given":"Peter","non-dropping-particle":"","parse-names":false,"suffix":""},{"dropping-particle":"","family":"Lefering","given":"Rolf","non-dropping-particle":"","parse-names":false,"suffix":""},{"dropping-particle":"","family":"Huber-Wagner","given":"Stefan","non-dropping-particle":"","parse-names":false,"suffix":""}],"container-title":"Spine Journal","id":"ITEM-2","issue":"9","issued":{"date-parts":[["2015","9","1"]]},"page":"1994-2001","publisher":"Elsevier Inc.","title":"Spinal cord injury - Incidence, prognosis, and outcome: An analysis of the TraumaRegister DGU","type":"article-journal","volume":"15"},"uris":["http://www.mendeley.com/documents/?uuid=d917b507-c590-396f-a487-c9fda3efd8e4"]}],"mendeley":{"formattedCitation":"(Biluts et al. 2015; Stephan et al. 2015)","plainTextFormattedCitation":"(Biluts et al. 2015; Stephan et al. 2015)","previouslyFormattedCitation":"(Biluts et al. 2015; Stephan et al. 2015)"},"properties":{"noteIndex":0},"schema":"https://github.com/citation-style-language/schema/raw/master/csl-citation.json"}</w:instrText>
            </w:r>
            <w:r>
              <w:fldChar w:fldCharType="separate"/>
            </w:r>
            <w:r w:rsidRPr="008F13AF">
              <w:rPr>
                <w:noProof/>
              </w:rPr>
              <w:t>(Biluts et al. 2015; Stephan et al. 2015)</w:t>
            </w:r>
            <w:r>
              <w:fldChar w:fldCharType="end"/>
            </w:r>
          </w:p>
        </w:tc>
      </w:tr>
      <w:tr w:rsidR="00D52A47" w14:paraId="5153D88F" w14:textId="77777777" w:rsidTr="00356EB3">
        <w:tc>
          <w:tcPr>
            <w:tcW w:w="3255" w:type="dxa"/>
            <w:vAlign w:val="bottom"/>
          </w:tcPr>
          <w:p w14:paraId="7B84EF29" w14:textId="77777777" w:rsidR="00D52A47" w:rsidRPr="007B7749" w:rsidRDefault="00D52A47" w:rsidP="00356EB3">
            <w:pPr>
              <w:keepNext/>
              <w:spacing w:line="480" w:lineRule="auto"/>
              <w:jc w:val="center"/>
            </w:pPr>
            <w:r>
              <w:rPr>
                <w:rFonts w:ascii="Calibri" w:hAnsi="Calibri" w:cs="Calibri"/>
                <w:color w:val="000000"/>
              </w:rPr>
              <w:lastRenderedPageBreak/>
              <w:t>spine_prob_673b</w:t>
            </w:r>
          </w:p>
        </w:tc>
        <w:tc>
          <w:tcPr>
            <w:tcW w:w="1702" w:type="dxa"/>
          </w:tcPr>
          <w:p w14:paraId="35D7E750" w14:textId="77777777" w:rsidR="00D52A47" w:rsidRPr="007B7749" w:rsidRDefault="00D52A47" w:rsidP="00356EB3">
            <w:pPr>
              <w:keepNext/>
              <w:spacing w:line="480" w:lineRule="auto"/>
              <w:jc w:val="center"/>
            </w:pPr>
            <w:r>
              <w:t>Probability of a spinal cord injury below neck level with an AIS score of 3</w:t>
            </w:r>
          </w:p>
        </w:tc>
        <w:tc>
          <w:tcPr>
            <w:tcW w:w="2587" w:type="dxa"/>
            <w:gridSpan w:val="2"/>
            <w:vAlign w:val="bottom"/>
          </w:tcPr>
          <w:p w14:paraId="36D1C5CC" w14:textId="77777777" w:rsidR="00D52A47" w:rsidRPr="007B7749" w:rsidRDefault="00D52A47" w:rsidP="00356EB3">
            <w:pPr>
              <w:keepNext/>
              <w:spacing w:line="480" w:lineRule="auto"/>
              <w:jc w:val="center"/>
            </w:pPr>
            <w:r>
              <w:rPr>
                <w:rFonts w:ascii="Calibri" w:hAnsi="Calibri" w:cs="Calibri"/>
                <w:color w:val="000000"/>
              </w:rPr>
              <w:t>0.040731984</w:t>
            </w:r>
          </w:p>
        </w:tc>
        <w:tc>
          <w:tcPr>
            <w:tcW w:w="1472" w:type="dxa"/>
          </w:tcPr>
          <w:p w14:paraId="289E05DE" w14:textId="77777777" w:rsidR="00D52A47" w:rsidRDefault="00D52A47" w:rsidP="00356EB3">
            <w:pPr>
              <w:keepNext/>
              <w:spacing w:line="480" w:lineRule="auto"/>
              <w:jc w:val="center"/>
            </w:pPr>
            <w:r>
              <w:fldChar w:fldCharType="begin" w:fldLock="1"/>
            </w:r>
            <w:r>
              <w:instrText>ADDIN CSL_CITATION {"citationItems":[{"id":"ITEM-1","itemData":{"ISSN":"0014-1755","PMID":"26591295","abstract":"BACKGROUND Spinal injury is a major cause of morbidity and mortality worldwide. Fall and Road traffic accident are the main etiologic factor. OBJECTIVE The aim of this study was to asses local hospital patterns of spinal injury and compare them with published reports. METHODS AND PATIENTS This is a hospital based cross sectional study of patterns of patients with spine and spinal cord injury seen at the Emergency OPD, Tikur Anbessa Specialized Teaching Hospital (TASTH), Department of Neurosurgery, Addis Ababa, Ethiopia in the period between April 2008 and March 2012. Data was collected using structured questionnaires. The variables included were the Socio-demographic such as age sex, distance of patients' residence area from the TAH. In addition to the above profiles, causes of injuries, Occupation, diagnosis, time spent between arrival andAdmission and decision taken at OPD level. Differences in proportions were examined using Chi-square test. RESULTS A statistically significant male predominance (84.9%) (p, 0.0001) was observed, the mean age was 32.8 years, with range 10 to 84 years. Mean duration of presentation to TASH was 4.3 days with a range 1 hour-60 days, Fall from height (P &lt; 0.001) and Road traffic collisions were the main cause of spine and spinal cord injuries in 36.4% and 32.9% of the patients respectively. Most often the cervical spine was involved (33.0%), Sixty-nine (17.9%) patients had associated injuries, majority of respondents (25.5%) were farmers, Majority belonged to ASIA A grade. All the deaths, 7 (8.3%) occurred in patients with complete cervical spine lesion. CONCLUSION Spinal injury was an important indication for neurosurgical consultations in our service. Complete cord injuries were more common than incomplete and the case incidence from fall was remarkably high.","author":[{"dropping-particle":"","family":"Biluts","given":"Hagos","non-dropping-particle":"","parse-names":false,"suffix":""},{"dropping-particle":"","family":"Abebe","given":"Mersha","non-dropping-particle":"","parse-names":false,"suffix":""},{"dropping-particle":"","family":"Laeke","given":"Tsegazeab","non-dropping-particle":"","parse-names":false,"suffix":""},{"dropping-particle":"","family":"Tirsit","given":"Abenezer","non-dropping-particle":"","parse-names":false,"suffix":""},{"dropping-particle":"","family":"Belete","given":"Addisalem","non-dropping-particle":"","parse-names":false,"suffix":""}],"container-title":"Ethiopian medical journal","id":"ITEM-1","issue":"2","issued":{"date-parts":[["2015","4"]]},"page":"75-82","title":"PATTERN OF SPINE AND SPINAL CORD INJURIES IN TIKUR ANBESSA HOSPITAL, ETHIOPIA.","type":"article-journal","volume":"53"},"uris":["http://www.mendeley.com/documents/?uuid=afbaf117-8123-3fa9-af55-d76dcf40d6cd"]},{"id":"ITEM-2","itemData":{"DOI":"10.1016/j.spinee.2015.04.041","ISSN":"18781632","abstract":"Background context Little is known about the incidence of spinal cord injury (SCI) in polytrauma patients. Purpose The purpose of this study was to analyze incidence, prognosis, and outcome of SCI in polytrauma patients. Study design/setting This is a retrospective multicenter cohort study. Patient sample A total of 57,310 patients of TraumaRegister DGU (2002-2012) of the German Trauma Society were included. Aim of this large multicentre database is a standardized documentation of severely injured patients. Outcome measures Outcome measures were mortality and Glasgow Outcome 4Scale. Methods Inclusion criteria were adult blunt trauma patients (age greater than 16 years) and injury severity score (ISS) greater than 16. The severity of SCI was based on the Abbreviated Injury Scale (AIS), and the outcome of patients was assessed with the Glasgow Outcome Scale (GOS). Factors with an impact on the outcome were analyzed with a logistic regression model. Results Four thousand two hundred eighty five (7.5%) of 57,310 patients sustained SCI. Mean age was 48.9±20.7 years, ISS 28.0±12, and 72.7% were men. Two thousand two hundred twenty two (3.9%) SCIs involved the cervical, 1,388 (2.4%) the thoracic, and 791 (1.4%) the lumbar spine. One hundred fifty-nine (7.2%) cervical spine injuries were associated with transient neurologic deficit (TND) (AIS 3), 612 (27.5%) with an incomplete paraplegia (AIS 4), 1,101 (49.6%) with a complete paraplegia (AIS 5), and 350 (15.8%) with a complete lesion above C3 (AIS 6). Lesions of the thoracic spine showed in 93 (6.7%) of the 1,388 lesions a TND (AIS 3), in 332 (23.9%) an incomplete paraplegia (AIS 4), and in 963 (69.4%) a complete lesion (AIS 5). In the lumbar region, lesions were distributed as follows: TND (AIS 3) 145 (18.3%), incomplete paraplegia (AIS 4) 305 (38.6%), and complete lesion 341 (43.1%). Sepsis and multiorgan failure were found more often in patients with AIS 5/6 lesions (p&lt;.001). The hospital length of stay in SCIs was significantly longer. Most of the patients (85.8%) with SCI were treated in Level I trauma centers. Spinal cord injuries had a minor impact in the mortality. Only AIS 6 injuries resulted in a significantly higher mortality (64.6%). Adjusted logistic regression analysis (target variable: GOS 4 or 5, good outcome) showed that the following factors were significantly associated with an unfavorable outcome (p.02): AIS greater than or equal to 4, age greater than or equal to 60 years, resuscitation, se…","author":[{"dropping-particle":"","family":"Stephan","given":"Katharina","non-dropping-particle":"","parse-names":false,"suffix":""},{"dropping-particle":"","family":"Huber","given":"Stephan","non-dropping-particle":"","parse-names":false,"suffix":""},{"dropping-particle":"","family":"Häberle","given":"Sandra","non-dropping-particle":"","parse-names":false,"suffix":""},{"dropping-particle":"","family":"Kanz","given":"Karl Georg","non-dropping-particle":"","parse-names":false,"suffix":""},{"dropping-particle":"","family":"Bühren","given":"Volker","non-dropping-particle":"","parse-names":false,"suffix":""},{"dropping-particle":"","family":"Griensven","given":"Martijn","non-dropping-particle":"Van","parse-names":false,"suffix":""},{"dropping-particle":"","family":"Meyer","given":"Bernhard","non-dropping-particle":"","parse-names":false,"suffix":""},{"dropping-particle":"","family":"Biberthaler","given":"Peter","non-dropping-particle":"","parse-names":false,"suffix":""},{"dropping-particle":"","family":"Lefering","given":"Rolf","non-dropping-particle":"","parse-names":false,"suffix":""},{"dropping-particle":"","family":"Huber-Wagner","given":"Stefan","non-dropping-particle":"","parse-names":false,"suffix":""}],"container-title":"Spine Journal","id":"ITEM-2","issue":"9","issued":{"date-parts":[["2015","9","1"]]},"page":"1994-2001","publisher":"Elsevier Inc.","title":"Spinal cord injury - Incidence, prognosis, and outcome: An analysis of the TraumaRegister DGU","type":"article-journal","volume":"15"},"uris":["http://www.mendeley.com/documents/?uuid=d917b507-c590-396f-a487-c9fda3efd8e4"]}],"mendeley":{"formattedCitation":"(Biluts et al. 2015; Stephan et al. 2015)","plainTextFormattedCitation":"(Biluts et al. 2015; Stephan et al. 2015)","previouslyFormattedCitation":"(Biluts et al. 2015; Stephan et al. 2015)"},"properties":{"noteIndex":0},"schema":"https://github.com/citation-style-language/schema/raw/master/csl-citation.json"}</w:instrText>
            </w:r>
            <w:r>
              <w:fldChar w:fldCharType="separate"/>
            </w:r>
            <w:r w:rsidRPr="008F13AF">
              <w:rPr>
                <w:noProof/>
              </w:rPr>
              <w:t>(Biluts et al. 2015; Stephan et al. 2015)</w:t>
            </w:r>
            <w:r>
              <w:fldChar w:fldCharType="end"/>
            </w:r>
          </w:p>
        </w:tc>
      </w:tr>
      <w:tr w:rsidR="00D52A47" w14:paraId="45B03E19" w14:textId="77777777" w:rsidTr="00356EB3">
        <w:tc>
          <w:tcPr>
            <w:tcW w:w="3255" w:type="dxa"/>
            <w:vAlign w:val="bottom"/>
          </w:tcPr>
          <w:p w14:paraId="18A7C7A9" w14:textId="77777777" w:rsidR="00D52A47" w:rsidRPr="007B7749" w:rsidRDefault="00D52A47" w:rsidP="00356EB3">
            <w:pPr>
              <w:keepNext/>
              <w:spacing w:line="480" w:lineRule="auto"/>
              <w:jc w:val="center"/>
            </w:pPr>
            <w:r>
              <w:rPr>
                <w:rFonts w:ascii="Calibri" w:hAnsi="Calibri" w:cs="Calibri"/>
                <w:color w:val="000000"/>
              </w:rPr>
              <w:t>spine_prob_674a</w:t>
            </w:r>
          </w:p>
        </w:tc>
        <w:tc>
          <w:tcPr>
            <w:tcW w:w="1702" w:type="dxa"/>
          </w:tcPr>
          <w:p w14:paraId="77A34C79" w14:textId="77777777" w:rsidR="00D52A47" w:rsidRPr="007B7749" w:rsidRDefault="00D52A47" w:rsidP="00356EB3">
            <w:pPr>
              <w:keepNext/>
              <w:spacing w:line="480" w:lineRule="auto"/>
              <w:jc w:val="center"/>
            </w:pPr>
            <w:r>
              <w:t>Probability of a spinal cord injury at neck level with an AIS score of 4</w:t>
            </w:r>
          </w:p>
        </w:tc>
        <w:tc>
          <w:tcPr>
            <w:tcW w:w="2587" w:type="dxa"/>
            <w:gridSpan w:val="2"/>
            <w:vAlign w:val="bottom"/>
          </w:tcPr>
          <w:p w14:paraId="4EB9B2FF" w14:textId="77777777" w:rsidR="00D52A47" w:rsidRPr="007B7749" w:rsidRDefault="00D52A47" w:rsidP="00356EB3">
            <w:pPr>
              <w:keepNext/>
              <w:spacing w:line="480" w:lineRule="auto"/>
              <w:jc w:val="center"/>
            </w:pPr>
            <w:r>
              <w:rPr>
                <w:rFonts w:ascii="Calibri" w:hAnsi="Calibri" w:cs="Calibri"/>
                <w:color w:val="000000"/>
              </w:rPr>
              <w:t>0.074477731</w:t>
            </w:r>
          </w:p>
        </w:tc>
        <w:tc>
          <w:tcPr>
            <w:tcW w:w="1472" w:type="dxa"/>
          </w:tcPr>
          <w:p w14:paraId="4514AFFC" w14:textId="77777777" w:rsidR="00D52A47" w:rsidRDefault="00D52A47" w:rsidP="00356EB3">
            <w:pPr>
              <w:keepNext/>
              <w:spacing w:line="480" w:lineRule="auto"/>
              <w:jc w:val="center"/>
            </w:pPr>
            <w:r>
              <w:fldChar w:fldCharType="begin" w:fldLock="1"/>
            </w:r>
            <w:r>
              <w:instrText>ADDIN CSL_CITATION {"citationItems":[{"id":"ITEM-1","itemData":{"ISSN":"0014-1755","PMID":"26591295","abstract":"BACKGROUND Spinal injury is a major cause of morbidity and mortality worldwide. Fall and Road traffic accident are the main etiologic factor. OBJECTIVE The aim of this study was to asses local hospital patterns of spinal injury and compare them with published reports. METHODS AND PATIENTS This is a hospital based cross sectional study of patterns of patients with spine and spinal cord injury seen at the Emergency OPD, Tikur Anbessa Specialized Teaching Hospital (TASTH), Department of Neurosurgery, Addis Ababa, Ethiopia in the period between April 2008 and March 2012. Data was collected using structured questionnaires. The variables included were the Socio-demographic such as age sex, distance of patients' residence area from the TAH. In addition to the above profiles, causes of injuries, Occupation, diagnosis, time spent between arrival andAdmission and decision taken at OPD level. Differences in proportions were examined using Chi-square test. RESULTS A statistically significant male predominance (84.9%) (p, 0.0001) was observed, the mean age was 32.8 years, with range 10 to 84 years. Mean duration of presentation to TASH was 4.3 days with a range 1 hour-60 days, Fall from height (P &lt; 0.001) and Road traffic collisions were the main cause of spine and spinal cord injuries in 36.4% and 32.9% of the patients respectively. Most often the cervical spine was involved (33.0%), Sixty-nine (17.9%) patients had associated injuries, majority of respondents (25.5%) were farmers, Majority belonged to ASIA A grade. All the deaths, 7 (8.3%) occurred in patients with complete cervical spine lesion. CONCLUSION Spinal injury was an important indication for neurosurgical consultations in our service. Complete cord injuries were more common than incomplete and the case incidence from fall was remarkably high.","author":[{"dropping-particle":"","family":"Biluts","given":"Hagos","non-dropping-particle":"","parse-names":false,"suffix":""},{"dropping-particle":"","family":"Abebe","given":"Mersha","non-dropping-particle":"","parse-names":false,"suffix":""},{"dropping-particle":"","family":"Laeke","given":"Tsegazeab","non-dropping-particle":"","parse-names":false,"suffix":""},{"dropping-particle":"","family":"Tirsit","given":"Abenezer","non-dropping-particle":"","parse-names":false,"suffix":""},{"dropping-particle":"","family":"Belete","given":"Addisalem","non-dropping-particle":"","parse-names":false,"suffix":""}],"container-title":"Ethiopian medical journal","id":"ITEM-1","issue":"2","issued":{"date-parts":[["2015","4"]]},"page":"75-82","title":"PATTERN OF SPINE AND SPINAL CORD INJURIES IN TIKUR ANBESSA HOSPITAL, ETHIOPIA.","type":"article-journal","volume":"53"},"uris":["http://www.mendeley.com/documents/?uuid=afbaf117-8123-3fa9-af55-d76dcf40d6cd"]},{"id":"ITEM-2","itemData":{"DOI":"10.1016/j.spinee.2015.04.041","ISSN":"18781632","abstract":"Background context Little is known about the incidence of spinal cord injury (SCI) in polytrauma patients. Purpose The purpose of this study was to analyze incidence, prognosis, and outcome of SCI in polytrauma patients. Study design/setting This is a retrospective multicenter cohort study. Patient sample A total of 57,310 patients of TraumaRegister DGU (2002-2012) of the German Trauma Society were included. Aim of this large multicentre database is a standardized documentation of severely injured patients. Outcome measures Outcome measures were mortality and Glasgow Outcome 4Scale. Methods Inclusion criteria were adult blunt trauma patients (age greater than 16 years) and injury severity score (ISS) greater than 16. The severity of SCI was based on the Abbreviated Injury Scale (AIS), and the outcome of patients was assessed with the Glasgow Outcome Scale (GOS). Factors with an impact on the outcome were analyzed with a logistic regression model. Results Four thousand two hundred eighty five (7.5%) of 57,310 patients sustained SCI. Mean age was 48.9±20.7 years, ISS 28.0±12, and 72.7% were men. Two thousand two hundred twenty two (3.9%) SCIs involved the cervical, 1,388 (2.4%) the thoracic, and 791 (1.4%) the lumbar spine. One hundred fifty-nine (7.2%) cervical spine injuries were associated with transient neurologic deficit (TND) (AIS 3), 612 (27.5%) with an incomplete paraplegia (AIS 4), 1,101 (49.6%) with a complete paraplegia (AIS 5), and 350 (15.8%) with a complete lesion above C3 (AIS 6). Lesions of the thoracic spine showed in 93 (6.7%) of the 1,388 lesions a TND (AIS 3), in 332 (23.9%) an incomplete paraplegia (AIS 4), and in 963 (69.4%) a complete lesion (AIS 5). In the lumbar region, lesions were distributed as follows: TND (AIS 3) 145 (18.3%), incomplete paraplegia (AIS 4) 305 (38.6%), and complete lesion 341 (43.1%). Sepsis and multiorgan failure were found more often in patients with AIS 5/6 lesions (p&lt;.001). The hospital length of stay in SCIs was significantly longer. Most of the patients (85.8%) with SCI were treated in Level I trauma centers. Spinal cord injuries had a minor impact in the mortality. Only AIS 6 injuries resulted in a significantly higher mortality (64.6%). Adjusted logistic regression analysis (target variable: GOS 4 or 5, good outcome) showed that the following factors were significantly associated with an unfavorable outcome (p.02): AIS greater than or equal to 4, age greater than or equal to 60 years, resuscitation, se…","author":[{"dropping-particle":"","family":"Stephan","given":"Katharina","non-dropping-particle":"","parse-names":false,"suffix":""},{"dropping-particle":"","family":"Huber","given":"Stephan","non-dropping-particle":"","parse-names":false,"suffix":""},{"dropping-particle":"","family":"Häberle","given":"Sandra","non-dropping-particle":"","parse-names":false,"suffix":""},{"dropping-particle":"","family":"Kanz","given":"Karl Georg","non-dropping-particle":"","parse-names":false,"suffix":""},{"dropping-particle":"","family":"Bühren","given":"Volker","non-dropping-particle":"","parse-names":false,"suffix":""},{"dropping-particle":"","family":"Griensven","given":"Martijn","non-dropping-particle":"Van","parse-names":false,"suffix":""},{"dropping-particle":"","family":"Meyer","given":"Bernhard","non-dropping-particle":"","parse-names":false,"suffix":""},{"dropping-particle":"","family":"Biberthaler","given":"Peter","non-dropping-particle":"","parse-names":false,"suffix":""},{"dropping-particle":"","family":"Lefering","given":"Rolf","non-dropping-particle":"","parse-names":false,"suffix":""},{"dropping-particle":"","family":"Huber-Wagner","given":"Stefan","non-dropping-particle":"","parse-names":false,"suffix":""}],"container-title":"Spine Journal","id":"ITEM-2","issue":"9","issued":{"date-parts":[["2015","9","1"]]},"page":"1994-2001","publisher":"Elsevier Inc.","title":"Spinal cord injury - Incidence, prognosis, and outcome: An analysis of the TraumaRegister DGU","type":"article-journal","volume":"15"},"uris":["http://www.mendeley.com/documents/?uuid=d917b507-c590-396f-a487-c9fda3efd8e4"]}],"mendeley":{"formattedCitation":"(Biluts et al. 2015; Stephan et al. 2015)","plainTextFormattedCitation":"(Biluts et al. 2015; Stephan et al. 2015)","previouslyFormattedCitation":"(Biluts et al. 2015; Stephan et al. 2015)"},"properties":{"noteIndex":0},"schema":"https://github.com/citation-style-language/schema/raw/master/csl-citation.json"}</w:instrText>
            </w:r>
            <w:r>
              <w:fldChar w:fldCharType="separate"/>
            </w:r>
            <w:r w:rsidRPr="008F13AF">
              <w:rPr>
                <w:noProof/>
              </w:rPr>
              <w:t>(Biluts et al. 2015; Stephan et al. 2015)</w:t>
            </w:r>
            <w:r>
              <w:fldChar w:fldCharType="end"/>
            </w:r>
          </w:p>
        </w:tc>
      </w:tr>
      <w:tr w:rsidR="00D52A47" w14:paraId="0C682869" w14:textId="77777777" w:rsidTr="00356EB3">
        <w:tc>
          <w:tcPr>
            <w:tcW w:w="3255" w:type="dxa"/>
            <w:vAlign w:val="bottom"/>
          </w:tcPr>
          <w:p w14:paraId="154B1FF9" w14:textId="77777777" w:rsidR="00D52A47" w:rsidRPr="007B7749" w:rsidRDefault="00D52A47" w:rsidP="00356EB3">
            <w:pPr>
              <w:keepNext/>
              <w:spacing w:line="480" w:lineRule="auto"/>
              <w:jc w:val="center"/>
            </w:pPr>
            <w:r>
              <w:rPr>
                <w:rFonts w:ascii="Calibri" w:hAnsi="Calibri" w:cs="Calibri"/>
                <w:color w:val="000000"/>
              </w:rPr>
              <w:t>spine_prob_674b</w:t>
            </w:r>
          </w:p>
        </w:tc>
        <w:tc>
          <w:tcPr>
            <w:tcW w:w="1702" w:type="dxa"/>
          </w:tcPr>
          <w:p w14:paraId="7E165398" w14:textId="77777777" w:rsidR="00D52A47" w:rsidRPr="007B7749" w:rsidRDefault="00D52A47" w:rsidP="00356EB3">
            <w:pPr>
              <w:keepNext/>
              <w:spacing w:line="480" w:lineRule="auto"/>
              <w:jc w:val="center"/>
            </w:pPr>
            <w:r>
              <w:t>Probability of a spinal cord injury below neck level with an AIS score of 4</w:t>
            </w:r>
          </w:p>
        </w:tc>
        <w:tc>
          <w:tcPr>
            <w:tcW w:w="2587" w:type="dxa"/>
            <w:gridSpan w:val="2"/>
            <w:vAlign w:val="bottom"/>
          </w:tcPr>
          <w:p w14:paraId="3991DAA4" w14:textId="77777777" w:rsidR="00D52A47" w:rsidRPr="007B7749" w:rsidRDefault="00D52A47" w:rsidP="00356EB3">
            <w:pPr>
              <w:keepNext/>
              <w:spacing w:line="480" w:lineRule="auto"/>
              <w:jc w:val="center"/>
            </w:pPr>
            <w:r>
              <w:rPr>
                <w:rFonts w:ascii="Calibri" w:hAnsi="Calibri" w:cs="Calibri"/>
                <w:color w:val="000000"/>
              </w:rPr>
              <w:t>0.116490809</w:t>
            </w:r>
          </w:p>
        </w:tc>
        <w:tc>
          <w:tcPr>
            <w:tcW w:w="1472" w:type="dxa"/>
          </w:tcPr>
          <w:p w14:paraId="2B7D9920" w14:textId="77777777" w:rsidR="00D52A47" w:rsidRDefault="00D52A47" w:rsidP="00356EB3">
            <w:pPr>
              <w:keepNext/>
              <w:spacing w:line="480" w:lineRule="auto"/>
              <w:jc w:val="center"/>
            </w:pPr>
            <w:r>
              <w:fldChar w:fldCharType="begin" w:fldLock="1"/>
            </w:r>
            <w:r>
              <w:instrText>ADDIN CSL_CITATION {"citationItems":[{"id":"ITEM-1","itemData":{"ISSN":"0014-1755","PMID":"26591295","abstract":"BACKGROUND Spinal injury is a major cause of morbidity and mortality worldwide. Fall and Road traffic accident are the main etiologic factor. OBJECTIVE The aim of this study was to asses local hospital patterns of spinal injury and compare them with published reports. METHODS AND PATIENTS This is a hospital based cross sectional study of patterns of patients with spine and spinal cord injury seen at the Emergency OPD, Tikur Anbessa Specialized Teaching Hospital (TASTH), Department of Neurosurgery, Addis Ababa, Ethiopia in the period between April 2008 and March 2012. Data was collected using structured questionnaires. The variables included were the Socio-demographic such as age sex, distance of patients' residence area from the TAH. In addition to the above profiles, causes of injuries, Occupation, diagnosis, time spent between arrival andAdmission and decision taken at OPD level. Differences in proportions were examined using Chi-square test. RESULTS A statistically significant male predominance (84.9%) (p, 0.0001) was observed, the mean age was 32.8 years, with range 10 to 84 years. Mean duration of presentation to TASH was 4.3 days with a range 1 hour-60 days, Fall from height (P &lt; 0.001) and Road traffic collisions were the main cause of spine and spinal cord injuries in 36.4% and 32.9% of the patients respectively. Most often the cervical spine was involved (33.0%), Sixty-nine (17.9%) patients had associated injuries, majority of respondents (25.5%) were farmers, Majority belonged to ASIA A grade. All the deaths, 7 (8.3%) occurred in patients with complete cervical spine lesion. CONCLUSION Spinal injury was an important indication for neurosurgical consultations in our service. Complete cord injuries were more common than incomplete and the case incidence from fall was remarkably high.","author":[{"dropping-particle":"","family":"Biluts","given":"Hagos","non-dropping-particle":"","parse-names":false,"suffix":""},{"dropping-particle":"","family":"Abebe","given":"Mersha","non-dropping-particle":"","parse-names":false,"suffix":""},{"dropping-particle":"","family":"Laeke","given":"Tsegazeab","non-dropping-particle":"","parse-names":false,"suffix":""},{"dropping-particle":"","family":"Tirsit","given":"Abenezer","non-dropping-particle":"","parse-names":false,"suffix":""},{"dropping-particle":"","family":"Belete","given":"Addisalem","non-dropping-particle":"","parse-names":false,"suffix":""}],"container-title":"Ethiopian medical journal","id":"ITEM-1","issue":"2","issued":{"date-parts":[["2015","4"]]},"page":"75-82","title":"PATTERN OF SPINE AND SPINAL CORD INJURIES IN TIKUR ANBESSA HOSPITAL, ETHIOPIA.","type":"article-journal","volume":"53"},"uris":["http://www.mendeley.com/documents/?uuid=afbaf117-8123-3fa9-af55-d76dcf40d6cd"]},{"id":"ITEM-2","itemData":{"DOI":"10.1016/j.spinee.2015.04.041","ISSN":"18781632","abstract":"Background context Little is known about the incidence of spinal cord injury (SCI) in polytrauma patients. Purpose The purpose of this study was to analyze incidence, prognosis, and outcome of SCI in polytrauma patients. Study design/setting This is a retrospective multicenter cohort study. Patient sample A total of 57,310 patients of TraumaRegister DGU (2002-2012) of the German Trauma Society were included. Aim of this large multicentre database is a standardized documentation of severely injured patients. Outcome measures Outcome measures were mortality and Glasgow Outcome 4Scale. Methods Inclusion criteria were adult blunt trauma patients (age greater than 16 years) and injury severity score (ISS) greater than 16. The severity of SCI was based on the Abbreviated Injury Scale (AIS), and the outcome of patients was assessed with the Glasgow Outcome Scale (GOS). Factors with an impact on the outcome were analyzed with a logistic regression model. Results Four thousand two hundred eighty five (7.5%) of 57,310 patients sustained SCI. Mean age was 48.9±20.7 years, ISS 28.0±12, and 72.7% were men. Two thousand two hundred twenty two (3.9%) SCIs involved the cervical, 1,388 (2.4%) the thoracic, and 791 (1.4%) the lumbar spine. One hundred fifty-nine (7.2%) cervical spine injuries were associated with transient neurologic deficit (TND) (AIS 3), 612 (27.5%) with an incomplete paraplegia (AIS 4), 1,101 (49.6%) with a complete paraplegia (AIS 5), and 350 (15.8%) with a complete lesion above C3 (AIS 6). Lesions of the thoracic spine showed in 93 (6.7%) of the 1,388 lesions a TND (AIS 3), in 332 (23.9%) an incomplete paraplegia (AIS 4), and in 963 (69.4%) a complete lesion (AIS 5). In the lumbar region, lesions were distributed as follows: TND (AIS 3) 145 (18.3%), incomplete paraplegia (AIS 4) 305 (38.6%), and complete lesion 341 (43.1%). Sepsis and multiorgan failure were found more often in patients with AIS 5/6 lesions (p&lt;.001). The hospital length of stay in SCIs was significantly longer. Most of the patients (85.8%) with SCI were treated in Level I trauma centers. Spinal cord injuries had a minor impact in the mortality. Only AIS 6 injuries resulted in a significantly higher mortality (64.6%). Adjusted logistic regression analysis (target variable: GOS 4 or 5, good outcome) showed that the following factors were significantly associated with an unfavorable outcome (p.02): AIS greater than or equal to 4, age greater than or equal to 60 years, resuscitation, se…","author":[{"dropping-particle":"","family":"Stephan","given":"Katharina","non-dropping-particle":"","parse-names":false,"suffix":""},{"dropping-particle":"","family":"Huber","given":"Stephan","non-dropping-particle":"","parse-names":false,"suffix":""},{"dropping-particle":"","family":"Häberle","given":"Sandra","non-dropping-particle":"","parse-names":false,"suffix":""},{"dropping-particle":"","family":"Kanz","given":"Karl Georg","non-dropping-particle":"","parse-names":false,"suffix":""},{"dropping-particle":"","family":"Bühren","given":"Volker","non-dropping-particle":"","parse-names":false,"suffix":""},{"dropping-particle":"","family":"Griensven","given":"Martijn","non-dropping-particle":"Van","parse-names":false,"suffix":""},{"dropping-particle":"","family":"Meyer","given":"Bernhard","non-dropping-particle":"","parse-names":false,"suffix":""},{"dropping-particle":"","family":"Biberthaler","given":"Peter","non-dropping-particle":"","parse-names":false,"suffix":""},{"dropping-particle":"","family":"Lefering","given":"Rolf","non-dropping-particle":"","parse-names":false,"suffix":""},{"dropping-particle":"","family":"Huber-Wagner","given":"Stefan","non-dropping-particle":"","parse-names":false,"suffix":""}],"container-title":"Spine Journal","id":"ITEM-2","issue":"9","issued":{"date-parts":[["2015","9","1"]]},"page":"1994-2001","publisher":"Elsevier Inc.","title":"Spinal cord injury - Incidence, prognosis, and outcome: An analysis of the TraumaRegister DGU","type":"article-journal","volume":"15"},"uris":["http://www.mendeley.com/documents/?uuid=d917b507-c590-396f-a487-c9fda3efd8e4"]}],"mendeley":{"formattedCitation":"(Biluts et al. 2015; Stephan et al. 2015)","plainTextFormattedCitation":"(Biluts et al. 2015; Stephan et al. 2015)","previouslyFormattedCitation":"(Biluts et al. 2015; Stephan et al. 2015)"},"properties":{"noteIndex":0},"schema":"https://github.com/citation-style-language/schema/raw/master/csl-citation.json"}</w:instrText>
            </w:r>
            <w:r>
              <w:fldChar w:fldCharType="separate"/>
            </w:r>
            <w:r w:rsidRPr="008F13AF">
              <w:rPr>
                <w:noProof/>
              </w:rPr>
              <w:t>(Biluts et al. 2015; Stephan et al. 2015)</w:t>
            </w:r>
            <w:r>
              <w:fldChar w:fldCharType="end"/>
            </w:r>
          </w:p>
        </w:tc>
      </w:tr>
      <w:tr w:rsidR="00D52A47" w14:paraId="30667CB9" w14:textId="77777777" w:rsidTr="00356EB3">
        <w:tc>
          <w:tcPr>
            <w:tcW w:w="3255" w:type="dxa"/>
            <w:vAlign w:val="bottom"/>
          </w:tcPr>
          <w:p w14:paraId="12E2F813" w14:textId="77777777" w:rsidR="00D52A47" w:rsidRPr="007B7749" w:rsidRDefault="00D52A47" w:rsidP="00356EB3">
            <w:pPr>
              <w:keepNext/>
              <w:spacing w:line="480" w:lineRule="auto"/>
              <w:jc w:val="center"/>
            </w:pPr>
            <w:r>
              <w:rPr>
                <w:rFonts w:ascii="Calibri" w:hAnsi="Calibri" w:cs="Calibri"/>
                <w:color w:val="000000"/>
              </w:rPr>
              <w:t>spine_prob_675a</w:t>
            </w:r>
          </w:p>
        </w:tc>
        <w:tc>
          <w:tcPr>
            <w:tcW w:w="1702" w:type="dxa"/>
          </w:tcPr>
          <w:p w14:paraId="28539FA9" w14:textId="77777777" w:rsidR="00D52A47" w:rsidRDefault="00D52A47" w:rsidP="00356EB3">
            <w:pPr>
              <w:keepNext/>
              <w:spacing w:line="480" w:lineRule="auto"/>
              <w:jc w:val="center"/>
            </w:pPr>
            <w:r>
              <w:t>Probability of a spinal cord injury at neck level with an AIS score of 5</w:t>
            </w:r>
          </w:p>
        </w:tc>
        <w:tc>
          <w:tcPr>
            <w:tcW w:w="2587" w:type="dxa"/>
            <w:gridSpan w:val="2"/>
            <w:vAlign w:val="bottom"/>
          </w:tcPr>
          <w:p w14:paraId="2B20D70F" w14:textId="77777777" w:rsidR="00D52A47" w:rsidRPr="007B7749" w:rsidRDefault="00D52A47" w:rsidP="00356EB3">
            <w:pPr>
              <w:keepNext/>
              <w:spacing w:line="480" w:lineRule="auto"/>
              <w:jc w:val="center"/>
            </w:pPr>
            <w:r>
              <w:rPr>
                <w:rFonts w:ascii="Calibri" w:hAnsi="Calibri" w:cs="Calibri"/>
                <w:color w:val="000000"/>
              </w:rPr>
              <w:t>0.134791137</w:t>
            </w:r>
          </w:p>
        </w:tc>
        <w:tc>
          <w:tcPr>
            <w:tcW w:w="1472" w:type="dxa"/>
          </w:tcPr>
          <w:p w14:paraId="25E72AED" w14:textId="77777777" w:rsidR="00D52A47" w:rsidRDefault="00D52A47" w:rsidP="00356EB3">
            <w:pPr>
              <w:keepNext/>
              <w:spacing w:line="480" w:lineRule="auto"/>
              <w:jc w:val="center"/>
            </w:pPr>
            <w:r>
              <w:fldChar w:fldCharType="begin" w:fldLock="1"/>
            </w:r>
            <w:r>
              <w:instrText>ADDIN CSL_CITATION {"citationItems":[{"id":"ITEM-1","itemData":{"ISSN":"0014-1755","PMID":"26591295","abstract":"BACKGROUND Spinal injury is a major cause of morbidity and mortality worldwide. Fall and Road traffic accident are the main etiologic factor. OBJECTIVE The aim of this study was to asses local hospital patterns of spinal injury and compare them with published reports. METHODS AND PATIENTS This is a hospital based cross sectional study of patterns of patients with spine and spinal cord injury seen at the Emergency OPD, Tikur Anbessa Specialized Teaching Hospital (TASTH), Department of Neurosurgery, Addis Ababa, Ethiopia in the period between April 2008 and March 2012. Data was collected using structured questionnaires. The variables included were the Socio-demographic such as age sex, distance of patients' residence area from the TAH. In addition to the above profiles, causes of injuries, Occupation, diagnosis, time spent between arrival andAdmission and decision taken at OPD level. Differences in proportions were examined using Chi-square test. RESULTS A statistically significant male predominance (84.9%) (p, 0.0001) was observed, the mean age was 32.8 years, with range 10 to 84 years. Mean duration of presentation to TASH was 4.3 days with a range 1 hour-60 days, Fall from height (P &lt; 0.001) and Road traffic collisions were the main cause of spine and spinal cord injuries in 36.4% and 32.9% of the patients respectively. Most often the cervical spine was involved (33.0%), Sixty-nine (17.9%) patients had associated injuries, majority of respondents (25.5%) were farmers, Majority belonged to ASIA A grade. All the deaths, 7 (8.3%) occurred in patients with complete cervical spine lesion. CONCLUSION Spinal injury was an important indication for neurosurgical consultations in our service. Complete cord injuries were more common than incomplete and the case incidence from fall was remarkably high.","author":[{"dropping-particle":"","family":"Biluts","given":"Hagos","non-dropping-particle":"","parse-names":false,"suffix":""},{"dropping-particle":"","family":"Abebe","given":"Mersha","non-dropping-particle":"","parse-names":false,"suffix":""},{"dropping-particle":"","family":"Laeke","given":"Tsegazeab","non-dropping-particle":"","parse-names":false,"suffix":""},{"dropping-particle":"","family":"Tirsit","given":"Abenezer","non-dropping-particle":"","parse-names":false,"suffix":""},{"dropping-particle":"","family":"Belete","given":"Addisalem","non-dropping-particle":"","parse-names":false,"suffix":""}],"container-title":"Ethiopian medical journal","id":"ITEM-1","issue":"2","issued":{"date-parts":[["2015","4"]]},"page":"75-82","title":"PATTERN OF SPINE AND SPINAL CORD INJURIES IN TIKUR ANBESSA HOSPITAL, ETHIOPIA.","type":"article-journal","volume":"53"},"uris":["http://www.mendeley.com/documents/?uuid=afbaf117-8123-3fa9-af55-d76dcf40d6cd"]},{"id":"ITEM-2","itemData":{"DOI":"10.1016/j.spinee.2015.04.041","ISSN":"18781632","abstract":"Background context Little is known about the incidence of spinal cord injury (SCI) in polytrauma patients. Purpose The purpose of this study was to analyze incidence, prognosis, and outcome of SCI in polytrauma patients. Study design/setting This is a retrospective multicenter cohort study. Patient sample A total of 57,310 patients of TraumaRegister DGU (2002-2012) of the German Trauma Society were included. Aim of this large multicentre database is a standardized documentation of severely injured patients. Outcome measures Outcome measures were mortality and Glasgow Outcome 4Scale. Methods Inclusion criteria were adult blunt trauma patients (age greater than 16 years) and injury severity score (ISS) greater than 16. The severity of SCI was based on the Abbreviated Injury Scale (AIS), and the outcome of patients was assessed with the Glasgow Outcome Scale (GOS). Factors with an impact on the outcome were analyzed with a logistic regression model. Results Four thousand two hundred eighty five (7.5%) of 57,310 patients sustained SCI. Mean age was 48.9±20.7 years, ISS 28.0±12, and 72.7% were men. Two thousand two hundred twenty two (3.9%) SCIs involved the cervical, 1,388 (2.4%) the thoracic, and 791 (1.4%) the lumbar spine. One hundred fifty-nine (7.2%) cervical spine injuries were associated with transient neurologic deficit (TND) (AIS 3), 612 (27.5%) with an incomplete paraplegia (AIS 4), 1,101 (49.6%) with a complete paraplegia (AIS 5), and 350 (15.8%) with a complete lesion above C3 (AIS 6). Lesions of the thoracic spine showed in 93 (6.7%) of the 1,388 lesions a TND (AIS 3), in 332 (23.9%) an incomplete paraplegia (AIS 4), and in 963 (69.4%) a complete lesion (AIS 5). In the lumbar region, lesions were distributed as follows: TND (AIS 3) 145 (18.3%), incomplete paraplegia (AIS 4) 305 (38.6%), and complete lesion 341 (43.1%). Sepsis and multiorgan failure were found more often in patients with AIS 5/6 lesions (p&lt;.001). The hospital length of stay in SCIs was significantly longer. Most of the patients (85.8%) with SCI were treated in Level I trauma centers. Spinal cord injuries had a minor impact in the mortality. Only AIS 6 injuries resulted in a significantly higher mortality (64.6%). Adjusted logistic regression analysis (target variable: GOS 4 or 5, good outcome) showed that the following factors were significantly associated with an unfavorable outcome (p.02): AIS greater than or equal to 4, age greater than or equal to 60 years, resuscitation, se…","author":[{"dropping-particle":"","family":"Stephan","given":"Katharina","non-dropping-particle":"","parse-names":false,"suffix":""},{"dropping-particle":"","family":"Huber","given":"Stephan","non-dropping-particle":"","parse-names":false,"suffix":""},{"dropping-particle":"","family":"Häberle","given":"Sandra","non-dropping-particle":"","parse-names":false,"suffix":""},{"dropping-particle":"","family":"Kanz","given":"Karl Georg","non-dropping-particle":"","parse-names":false,"suffix":""},{"dropping-particle":"","family":"Bühren","given":"Volker","non-dropping-particle":"","parse-names":false,"suffix":""},{"dropping-particle":"","family":"Griensven","given":"Martijn","non-dropping-particle":"Van","parse-names":false,"suffix":""},{"dropping-particle":"","family":"Meyer","given":"Bernhard","non-dropping-particle":"","parse-names":false,"suffix":""},{"dropping-particle":"","family":"Biberthaler","given":"Peter","non-dropping-particle":"","parse-names":false,"suffix":""},{"dropping-particle":"","family":"Lefering","given":"Rolf","non-dropping-particle":"","parse-names":false,"suffix":""},{"dropping-particle":"","family":"Huber-Wagner","given":"Stefan","non-dropping-particle":"","parse-names":false,"suffix":""}],"container-title":"Spine Journal","id":"ITEM-2","issue":"9","issued":{"date-parts":[["2015","9","1"]]},"page":"1994-2001","publisher":"Elsevier Inc.","title":"Spinal cord injury - Incidence, prognosis, and outcome: An analysis of the TraumaRegister DGU","type":"article-journal","volume":"15"},"uris":["http://www.mendeley.com/documents/?uuid=d917b507-c590-396f-a487-c9fda3efd8e4"]}],"mendeley":{"formattedCitation":"(Biluts et al. 2015; Stephan et al. 2015)","plainTextFormattedCitation":"(Biluts et al. 2015; Stephan et al. 2015)","previouslyFormattedCitation":"(Biluts et al. 2015; Stephan et al. 2015)"},"properties":{"noteIndex":0},"schema":"https://github.com/citation-style-language/schema/raw/master/csl-citation.json"}</w:instrText>
            </w:r>
            <w:r>
              <w:fldChar w:fldCharType="separate"/>
            </w:r>
            <w:r w:rsidRPr="008F13AF">
              <w:rPr>
                <w:noProof/>
              </w:rPr>
              <w:t>(Biluts et al. 2015; Stephan et al. 2015)</w:t>
            </w:r>
            <w:r>
              <w:fldChar w:fldCharType="end"/>
            </w:r>
          </w:p>
        </w:tc>
      </w:tr>
      <w:tr w:rsidR="00D52A47" w14:paraId="4333703D" w14:textId="77777777" w:rsidTr="00356EB3">
        <w:tc>
          <w:tcPr>
            <w:tcW w:w="3255" w:type="dxa"/>
            <w:vAlign w:val="bottom"/>
          </w:tcPr>
          <w:p w14:paraId="66CB88A4" w14:textId="77777777" w:rsidR="00D52A47" w:rsidRPr="007B7749" w:rsidRDefault="00D52A47" w:rsidP="00356EB3">
            <w:pPr>
              <w:keepNext/>
              <w:spacing w:line="480" w:lineRule="auto"/>
              <w:jc w:val="center"/>
            </w:pPr>
            <w:r>
              <w:rPr>
                <w:rFonts w:ascii="Calibri" w:hAnsi="Calibri" w:cs="Calibri"/>
                <w:color w:val="000000"/>
              </w:rPr>
              <w:t>spine_prob_675b</w:t>
            </w:r>
          </w:p>
        </w:tc>
        <w:tc>
          <w:tcPr>
            <w:tcW w:w="1702" w:type="dxa"/>
          </w:tcPr>
          <w:p w14:paraId="2945E7B4" w14:textId="77777777" w:rsidR="00D52A47" w:rsidRDefault="00D52A47" w:rsidP="00356EB3">
            <w:pPr>
              <w:keepNext/>
              <w:spacing w:line="480" w:lineRule="auto"/>
              <w:jc w:val="center"/>
            </w:pPr>
            <w:r>
              <w:t>Probability of a spinal cord injury below neck level with an AIS score of 5</w:t>
            </w:r>
          </w:p>
        </w:tc>
        <w:tc>
          <w:tcPr>
            <w:tcW w:w="2587" w:type="dxa"/>
            <w:gridSpan w:val="2"/>
            <w:vAlign w:val="bottom"/>
          </w:tcPr>
          <w:p w14:paraId="79D69BFC" w14:textId="77777777" w:rsidR="00D52A47" w:rsidRPr="007B7749" w:rsidRDefault="00D52A47" w:rsidP="00356EB3">
            <w:pPr>
              <w:keepNext/>
              <w:spacing w:line="480" w:lineRule="auto"/>
              <w:jc w:val="center"/>
            </w:pPr>
            <w:r>
              <w:rPr>
                <w:rFonts w:ascii="Calibri" w:hAnsi="Calibri" w:cs="Calibri"/>
                <w:color w:val="000000"/>
              </w:rPr>
              <w:t>0.210827163</w:t>
            </w:r>
          </w:p>
        </w:tc>
        <w:tc>
          <w:tcPr>
            <w:tcW w:w="1472" w:type="dxa"/>
          </w:tcPr>
          <w:p w14:paraId="392B0A35" w14:textId="77777777" w:rsidR="00D52A47" w:rsidRDefault="00D52A47" w:rsidP="00356EB3">
            <w:pPr>
              <w:keepNext/>
              <w:spacing w:line="480" w:lineRule="auto"/>
              <w:jc w:val="center"/>
            </w:pPr>
            <w:r>
              <w:fldChar w:fldCharType="begin" w:fldLock="1"/>
            </w:r>
            <w:r>
              <w:instrText>ADDIN CSL_CITATION {"citationItems":[{"id":"ITEM-1","itemData":{"ISSN":"0014-1755","PMID":"26591295","abstract":"BACKGROUND Spinal injury is a major cause of morbidity and mortality worldwide. Fall and Road traffic accident are the main etiologic factor. OBJECTIVE The aim of this study was to asses local hospital patterns of spinal injury and compare them with published reports. METHODS AND PATIENTS This is a hospital based cross sectional study of patterns of patients with spine and spinal cord injury seen at the Emergency OPD, Tikur Anbessa Specialized Teaching Hospital (TASTH), Department of Neurosurgery, Addis Ababa, Ethiopia in the period between April 2008 and March 2012. Data was collected using structured questionnaires. The variables included were the Socio-demographic such as age sex, distance of patients' residence area from the TAH. In addition to the above profiles, causes of injuries, Occupation, diagnosis, time spent between arrival andAdmission and decision taken at OPD level. Differences in proportions were examined using Chi-square test. RESULTS A statistically significant male predominance (84.9%) (p, 0.0001) was observed, the mean age was 32.8 years, with range 10 to 84 years. Mean duration of presentation to TASH was 4.3 days with a range 1 hour-60 days, Fall from height (P &lt; 0.001) and Road traffic collisions were the main cause of spine and spinal cord injuries in 36.4% and 32.9% of the patients respectively. Most often the cervical spine was involved (33.0%), Sixty-nine (17.9%) patients had associated injuries, majority of respondents (25.5%) were farmers, Majority belonged to ASIA A grade. All the deaths, 7 (8.3%) occurred in patients with complete cervical spine lesion. CONCLUSION Spinal injury was an important indication for neurosurgical consultations in our service. Complete cord injuries were more common than incomplete and the case incidence from fall was remarkably high.","author":[{"dropping-particle":"","family":"Biluts","given":"Hagos","non-dropping-particle":"","parse-names":false,"suffix":""},{"dropping-particle":"","family":"Abebe","given":"Mersha","non-dropping-particle":"","parse-names":false,"suffix":""},{"dropping-particle":"","family":"Laeke","given":"Tsegazeab","non-dropping-particle":"","parse-names":false,"suffix":""},{"dropping-particle":"","family":"Tirsit","given":"Abenezer","non-dropping-particle":"","parse-names":false,"suffix":""},{"dropping-particle":"","family":"Belete","given":"Addisalem","non-dropping-particle":"","parse-names":false,"suffix":""}],"container-title":"Ethiopian medical journal","id":"ITEM-1","issue":"2","issued":{"date-parts":[["2015","4"]]},"page":"75-82","title":"PATTERN OF SPINE AND SPINAL CORD INJURIES IN TIKUR ANBESSA HOSPITAL, ETHIOPIA.","type":"article-journal","volume":"53"},"uris":["http://www.mendeley.com/documents/?uuid=afbaf117-8123-3fa9-af55-d76dcf40d6cd"]},{"id":"ITEM-2","itemData":{"DOI":"10.1016/j.spinee.2015.04.041","ISSN":"18781632","abstract":"Background context Little is known about the incidence of spinal cord injury (SCI) in polytrauma patients. Purpose The purpose of this study was to analyze incidence, prognosis, and outcome of SCI in polytrauma patients. Study design/setting This is a retrospective multicenter cohort study. Patient sample A total of 57,310 patients of TraumaRegister DGU (2002-2012) of the German Trauma Society were included. Aim of this large multicentre database is a standardized documentation of severely injured patients. Outcome measures Outcome measures were mortality and Glasgow Outcome 4Scale. Methods Inclusion criteria were adult blunt trauma patients (age greater than 16 years) and injury severity score (ISS) greater than 16. The severity of SCI was based on the Abbreviated Injury Scale (AIS), and the outcome of patients was assessed with the Glasgow Outcome Scale (GOS). Factors with an impact on the outcome were analyzed with a logistic regression model. Results Four thousand two hundred eighty five (7.5%) of 57,310 patients sustained SCI. Mean age was 48.9±20.7 years, ISS 28.0±12, and 72.7% were men. Two thousand two hundred twenty two (3.9%) SCIs involved the cervical, 1,388 (2.4%) the thoracic, and 791 (1.4%) the lumbar spine. One hundred fifty-nine (7.2%) cervical spine injuries were associated with transient neurologic deficit (TND) (AIS 3), 612 (27.5%) with an incomplete paraplegia (AIS 4), 1,101 (49.6%) with a complete paraplegia (AIS 5), and 350 (15.8%) with a complete lesion above C3 (AIS 6). Lesions of the thoracic spine showed in 93 (6.7%) of the 1,388 lesions a TND (AIS 3), in 332 (23.9%) an incomplete paraplegia (AIS 4), and in 963 (69.4%) a complete lesion (AIS 5). In the lumbar region, lesions were distributed as follows: TND (AIS 3) 145 (18.3%), incomplete paraplegia (AIS 4) 305 (38.6%), and complete lesion 341 (43.1%). Sepsis and multiorgan failure were found more often in patients with AIS 5/6 lesions (p&lt;.001). The hospital length of stay in SCIs was significantly longer. Most of the patients (85.8%) with SCI were treated in Level I trauma centers. Spinal cord injuries had a minor impact in the mortality. Only AIS 6 injuries resulted in a significantly higher mortality (64.6%). Adjusted logistic regression analysis (target variable: GOS 4 or 5, good outcome) showed that the following factors were significantly associated with an unfavorable outcome (p.02): AIS greater than or equal to 4, age greater than or equal to 60 years, resuscitation, se…","author":[{"dropping-particle":"","family":"Stephan","given":"Katharina","non-dropping-particle":"","parse-names":false,"suffix":""},{"dropping-particle":"","family":"Huber","given":"Stephan","non-dropping-particle":"","parse-names":false,"suffix":""},{"dropping-particle":"","family":"Häberle","given":"Sandra","non-dropping-particle":"","parse-names":false,"suffix":""},{"dropping-particle":"","family":"Kanz","given":"Karl Georg","non-dropping-particle":"","parse-names":false,"suffix":""},{"dropping-particle":"","family":"Bühren","given":"Volker","non-dropping-particle":"","parse-names":false,"suffix":""},{"dropping-particle":"","family":"Griensven","given":"Martijn","non-dropping-particle":"Van","parse-names":false,"suffix":""},{"dropping-particle":"","family":"Meyer","given":"Bernhard","non-dropping-particle":"","parse-names":false,"suffix":""},{"dropping-particle":"","family":"Biberthaler","given":"Peter","non-dropping-particle":"","parse-names":false,"suffix":""},{"dropping-particle":"","family":"Lefering","given":"Rolf","non-dropping-particle":"","parse-names":false,"suffix":""},{"dropping-particle":"","family":"Huber-Wagner","given":"Stefan","non-dropping-particle":"","parse-names":false,"suffix":""}],"container-title":"Spine Journal","id":"ITEM-2","issue":"9","issued":{"date-parts":[["2015","9","1"]]},"page":"1994-2001","publisher":"Elsevier Inc.","title":"Spinal cord injury - Incidence, prognosis, and outcome: An analysis of the TraumaRegister DGU","type":"article-journal","volume":"15"},"uris":["http://www.mendeley.com/documents/?uuid=d917b507-c590-396f-a487-c9fda3efd8e4"]}],"mendeley":{"formattedCitation":"(Biluts et al. 2015; Stephan et al. 2015)","plainTextFormattedCitation":"(Biluts et al. 2015; Stephan et al. 2015)","previouslyFormattedCitation":"(Biluts et al. 2015; Stephan et al. 2015)"},"properties":{"noteIndex":0},"schema":"https://github.com/citation-style-language/schema/raw/master/csl-citation.json"}</w:instrText>
            </w:r>
            <w:r>
              <w:fldChar w:fldCharType="separate"/>
            </w:r>
            <w:r w:rsidRPr="008F13AF">
              <w:rPr>
                <w:noProof/>
              </w:rPr>
              <w:t>(Biluts et al. 2015; Stephan et al. 2015)</w:t>
            </w:r>
            <w:r>
              <w:fldChar w:fldCharType="end"/>
            </w:r>
          </w:p>
        </w:tc>
      </w:tr>
      <w:tr w:rsidR="00D52A47" w14:paraId="772C8E4A" w14:textId="77777777" w:rsidTr="00356EB3">
        <w:tc>
          <w:tcPr>
            <w:tcW w:w="3255" w:type="dxa"/>
            <w:vAlign w:val="bottom"/>
          </w:tcPr>
          <w:p w14:paraId="2765BDF6" w14:textId="77777777" w:rsidR="00D52A47" w:rsidRPr="007B7749" w:rsidRDefault="00D52A47" w:rsidP="00356EB3">
            <w:pPr>
              <w:keepNext/>
              <w:spacing w:line="480" w:lineRule="auto"/>
              <w:jc w:val="center"/>
            </w:pPr>
            <w:r>
              <w:rPr>
                <w:rFonts w:ascii="Calibri" w:hAnsi="Calibri" w:cs="Calibri"/>
                <w:color w:val="000000"/>
              </w:rPr>
              <w:t>spine_prob_676</w:t>
            </w:r>
          </w:p>
        </w:tc>
        <w:tc>
          <w:tcPr>
            <w:tcW w:w="1702" w:type="dxa"/>
          </w:tcPr>
          <w:p w14:paraId="05354C21" w14:textId="77777777" w:rsidR="00D52A47" w:rsidRDefault="00D52A47" w:rsidP="00356EB3">
            <w:pPr>
              <w:keepNext/>
              <w:spacing w:line="480" w:lineRule="auto"/>
              <w:jc w:val="center"/>
            </w:pPr>
            <w:r>
              <w:t>Probability of a spinal cord injury at neck level with an AIS score of 6</w:t>
            </w:r>
          </w:p>
        </w:tc>
        <w:tc>
          <w:tcPr>
            <w:tcW w:w="2587" w:type="dxa"/>
            <w:gridSpan w:val="2"/>
            <w:vAlign w:val="bottom"/>
          </w:tcPr>
          <w:p w14:paraId="68B64595" w14:textId="77777777" w:rsidR="00D52A47" w:rsidRPr="007B7749" w:rsidRDefault="00D52A47" w:rsidP="00356EB3">
            <w:pPr>
              <w:keepNext/>
              <w:spacing w:line="480" w:lineRule="auto"/>
              <w:jc w:val="center"/>
            </w:pPr>
            <w:r>
              <w:rPr>
                <w:rFonts w:ascii="Calibri" w:hAnsi="Calibri" w:cs="Calibri"/>
                <w:color w:val="000000"/>
              </w:rPr>
              <w:t>0.04284096</w:t>
            </w:r>
          </w:p>
        </w:tc>
        <w:tc>
          <w:tcPr>
            <w:tcW w:w="1472" w:type="dxa"/>
          </w:tcPr>
          <w:p w14:paraId="33985CCA" w14:textId="77777777" w:rsidR="00D52A47" w:rsidRDefault="00D52A47" w:rsidP="00356EB3">
            <w:pPr>
              <w:keepNext/>
              <w:spacing w:line="480" w:lineRule="auto"/>
              <w:jc w:val="center"/>
            </w:pPr>
            <w:r>
              <w:fldChar w:fldCharType="begin" w:fldLock="1"/>
            </w:r>
            <w:r>
              <w:instrText>ADDIN CSL_CITATION {"citationItems":[{"id":"ITEM-1","itemData":{"ISSN":"0014-1755","PMID":"26591295","abstract":"BACKGROUND Spinal injury is a major cause of morbidity and mortality worldwide. Fall and Road traffic accident are the main etiologic factor. OBJECTIVE The aim of this study was to asses local hospital patterns of spinal injury and compare them with published reports. METHODS AND PATIENTS This is a hospital based cross sectional study of patterns of patients with spine and spinal cord injury seen at the Emergency OPD, Tikur Anbessa Specialized Teaching Hospital (TASTH), Department of Neurosurgery, Addis Ababa, Ethiopia in the period between April 2008 and March 2012. Data was collected using structured questionnaires. The variables included were the Socio-demographic such as age sex, distance of patients' residence area from the TAH. In addition to the above profiles, causes of injuries, Occupation, diagnosis, time spent between arrival andAdmission and decision taken at OPD level. Differences in proportions were examined using Chi-square test. RESULTS A statistically significant male predominance (84.9%) (p, 0.0001) was observed, the mean age was 32.8 years, with range 10 to 84 years. Mean duration of presentation to TASH was 4.3 days with a range 1 hour-60 days, Fall from height (P &lt; 0.001) and Road traffic collisions were the main cause of spine and spinal cord injuries in 36.4% and 32.9% of the patients respectively. Most often the cervical spine was involved (33.0%), Sixty-nine (17.9%) patients had associated injuries, majority of respondents (25.5%) were farmers, Majority belonged to ASIA A grade. All the deaths, 7 (8.3%) occurred in patients with complete cervical spine lesion. CONCLUSION Spinal injury was an important indication for neurosurgical consultations in our service. Complete cord injuries were more common than incomplete and the case incidence from fall was remarkably high.","author":[{"dropping-particle":"","family":"Biluts","given":"Hagos","non-dropping-particle":"","parse-names":false,"suffix":""},{"dropping-particle":"","family":"Abebe","given":"Mersha","non-dropping-particle":"","parse-names":false,"suffix":""},{"dropping-particle":"","family":"Laeke","given":"Tsegazeab","non-dropping-particle":"","parse-names":false,"suffix":""},{"dropping-particle":"","family":"Tirsit","given":"Abenezer","non-dropping-particle":"","parse-names":false,"suffix":""},{"dropping-particle":"","family":"Belete","given":"Addisalem","non-dropping-particle":"","parse-names":false,"suffix":""}],"container-title":"Ethiopian medical journal","id":"ITEM-1","issue":"2","issued":{"date-parts":[["2015","4"]]},"page":"75-82","title":"PATTERN OF SPINE AND SPINAL CORD INJURIES IN TIKUR ANBESSA HOSPITAL, ETHIOPIA.","type":"article-journal","volume":"53"},"uris":["http://www.mendeley.com/documents/?uuid=afbaf117-8123-3fa9-af55-d76dcf40d6cd"]},{"id":"ITEM-2","itemData":{"DOI":"10.1016/j.spinee.2015.04.041","ISSN":"18781632","abstract":"Background context Little is known about the incidence of spinal cord injury (SCI) in polytrauma patients. Purpose The purpose of this study was to analyze incidence, prognosis, and outcome of SCI in polytrauma patients. Study design/setting This is a retrospective multicenter cohort study. Patient sample A total of 57,310 patients of TraumaRegister DGU (2002-2012) of the German Trauma Society were included. Aim of this large multicentre database is a standardized documentation of severely injured patients. Outcome measures Outcome measures were mortality and Glasgow Outcome 4Scale. Methods Inclusion criteria were adult blunt trauma patients (age greater than 16 years) and injury severity score (ISS) greater than 16. The severity of SCI was based on the Abbreviated Injury Scale (AIS), and the outcome of patients was assessed with the Glasgow Outcome Scale (GOS). Factors with an impact on the outcome were analyzed with a logistic regression model. Results Four thousand two hundred eighty five (7.5%) of 57,310 patients sustained SCI. Mean age was 48.9±20.7 years, ISS 28.0±12, and 72.7% were men. Two thousand two hundred twenty two (3.9%) SCIs involved the cervical, 1,388 (2.4%) the thoracic, and 791 (1.4%) the lumbar spine. One hundred fifty-nine (7.2%) cervical spine injuries were associated with transient neurologic deficit (TND) (AIS 3), 612 (27.5%) with an incomplete paraplegia (AIS 4), 1,101 (49.6%) with a complete paraplegia (AIS 5), and 350 (15.8%) with a complete lesion above C3 (AIS 6). Lesions of the thoracic spine showed in 93 (6.7%) of the 1,388 lesions a TND (AIS 3), in 332 (23.9%) an incomplete paraplegia (AIS 4), and in 963 (69.4%) a complete lesion (AIS 5). In the lumbar region, lesions were distributed as follows: TND (AIS 3) 145 (18.3%), incomplete paraplegia (AIS 4) 305 (38.6%), and complete lesion 341 (43.1%). Sepsis and multiorgan failure were found more often in patients with AIS 5/6 lesions (p&lt;.001). The hospital length of stay in SCIs was significantly longer. Most of the patients (85.8%) with SCI were treated in Level I trauma centers. Spinal cord injuries had a minor impact in the mortality. Only AIS 6 injuries resulted in a significantly higher mortality (64.6%). Adjusted logistic regression analysis (target variable: GOS 4 or 5, good outcome) showed that the following factors were significantly associated with an unfavorable outcome (p.02): AIS greater than or equal to 4, age greater than or equal to 60 years, resuscitation, se…","author":[{"dropping-particle":"","family":"Stephan","given":"Katharina","non-dropping-particle":"","parse-names":false,"suffix":""},{"dropping-particle":"","family":"Huber","given":"Stephan","non-dropping-particle":"","parse-names":false,"suffix":""},{"dropping-particle":"","family":"Häberle","given":"Sandra","non-dropping-particle":"","parse-names":false,"suffix":""},{"dropping-particle":"","family":"Kanz","given":"Karl Georg","non-dropping-particle":"","parse-names":false,"suffix":""},{"dropping-particle":"","family":"Bühren","given":"Volker","non-dropping-particle":"","parse-names":false,"suffix":""},{"dropping-particle":"","family":"Griensven","given":"Martijn","non-dropping-particle":"Van","parse-names":false,"suffix":""},{"dropping-particle":"","family":"Meyer","given":"Bernhard","non-dropping-particle":"","parse-names":false,"suffix":""},{"dropping-particle":"","family":"Biberthaler","given":"Peter","non-dropping-particle":"","parse-names":false,"suffix":""},{"dropping-particle":"","family":"Lefering","given":"Rolf","non-dropping-particle":"","parse-names":false,"suffix":""},{"dropping-particle":"","family":"Huber-Wagner","given":"Stefan","non-dropping-particle":"","parse-names":false,"suffix":""}],"container-title":"Spine Journal","id":"ITEM-2","issue":"9","issued":{"date-parts":[["2015","9","1"]]},"page":"1994-2001","publisher":"Elsevier Inc.","title":"Spinal cord injury - Incidence, prognosis, and outcome: An analysis of the TraumaRegister DGU","type":"article-journal","volume":"15"},"uris":["http://www.mendeley.com/documents/?uuid=d917b507-c590-396f-a487-c9fda3efd8e4"]}],"mendeley":{"formattedCitation":"(Biluts et al. 2015; Stephan et al. 2015)","plainTextFormattedCitation":"(Biluts et al. 2015; Stephan et al. 2015)","previouslyFormattedCitation":"(Biluts et al. 2015; Stephan et al. 2015)"},"properties":{"noteIndex":0},"schema":"https://github.com/citation-style-language/schema/raw/master/csl-citation.json"}</w:instrText>
            </w:r>
            <w:r>
              <w:fldChar w:fldCharType="separate"/>
            </w:r>
            <w:r w:rsidRPr="008F13AF">
              <w:rPr>
                <w:noProof/>
              </w:rPr>
              <w:t>(Biluts et al. 2015; Stephan et al. 2015)</w:t>
            </w:r>
            <w:r>
              <w:fldChar w:fldCharType="end"/>
            </w:r>
          </w:p>
        </w:tc>
      </w:tr>
      <w:tr w:rsidR="00D52A47" w14:paraId="1D477BE3" w14:textId="77777777" w:rsidTr="00356EB3">
        <w:tc>
          <w:tcPr>
            <w:tcW w:w="3255" w:type="dxa"/>
            <w:vAlign w:val="bottom"/>
          </w:tcPr>
          <w:p w14:paraId="035BB615" w14:textId="77777777" w:rsidR="00D52A47" w:rsidRPr="007B7749" w:rsidRDefault="00D52A47" w:rsidP="00356EB3">
            <w:pPr>
              <w:keepNext/>
              <w:spacing w:line="480" w:lineRule="auto"/>
            </w:pPr>
            <w:r>
              <w:rPr>
                <w:rFonts w:ascii="Calibri" w:hAnsi="Calibri" w:cs="Calibri"/>
                <w:color w:val="000000"/>
              </w:rPr>
              <w:lastRenderedPageBreak/>
              <w:t>upper_ex_prob_7101</w:t>
            </w:r>
          </w:p>
        </w:tc>
        <w:tc>
          <w:tcPr>
            <w:tcW w:w="1702" w:type="dxa"/>
          </w:tcPr>
          <w:p w14:paraId="7064E738" w14:textId="77777777" w:rsidR="00D52A47" w:rsidRDefault="00D52A47" w:rsidP="00356EB3">
            <w:pPr>
              <w:keepNext/>
              <w:spacing w:line="480" w:lineRule="auto"/>
              <w:jc w:val="center"/>
            </w:pPr>
            <w:r>
              <w:t>Probability of a laceration to the upper extremities</w:t>
            </w:r>
          </w:p>
        </w:tc>
        <w:tc>
          <w:tcPr>
            <w:tcW w:w="2587" w:type="dxa"/>
            <w:gridSpan w:val="2"/>
            <w:vAlign w:val="bottom"/>
          </w:tcPr>
          <w:p w14:paraId="6A0733E5" w14:textId="77777777" w:rsidR="00D52A47" w:rsidRPr="007B7749" w:rsidRDefault="00D52A47" w:rsidP="00356EB3">
            <w:pPr>
              <w:keepNext/>
              <w:spacing w:line="480" w:lineRule="auto"/>
              <w:jc w:val="center"/>
            </w:pPr>
            <w:r>
              <w:rPr>
                <w:rFonts w:ascii="Calibri" w:hAnsi="Calibri" w:cs="Calibri"/>
                <w:color w:val="000000"/>
              </w:rPr>
              <w:t>0.43896</w:t>
            </w:r>
          </w:p>
        </w:tc>
        <w:tc>
          <w:tcPr>
            <w:tcW w:w="1472" w:type="dxa"/>
          </w:tcPr>
          <w:p w14:paraId="315ECF67" w14:textId="77777777" w:rsidR="00D52A47" w:rsidRDefault="00D52A47" w:rsidP="00356EB3">
            <w:pPr>
              <w:keepNext/>
              <w:spacing w:line="480" w:lineRule="auto"/>
              <w:jc w:val="center"/>
            </w:pPr>
            <w:r>
              <w:fldChar w:fldCharType="begin" w:fldLock="1"/>
            </w:r>
            <w:r>
              <w:instrText>ADDIN CSL_CITATION {"citationItems":[{"id":"ITEM-1","itemData":{"ISSN":"1943-2461","PMID":"19026226","abstract":"In addition to investigating risk of death due to road traffic injuries, there is a need to better describe the risk of serious consequences. This study assessed risk of permanent medical impairment based on road traffic injuries classified according to AIS-2005. Injured car occupants were followed for at least 5 years to assess permanent medical impairment. After an initial injury, the risk of permanent impairment was established for injuries to different body regions and AIS levels. Degree of impairment was assessed according to a manual used by all Swedish insurance companies. Those included in the study were 20,484 car occupants injured in crashes that occurred between 1995 and 2001. Three risk levels of sustaining a permanent medical impairment (RPMI) were made. It was concluded that almost 10% of all car occupants with AISl injuries sustained a permanent medical impairment. It is therefore important to include minor injuries leading to impairment when measuring loss of health due to road traffic crashes. Furthermore the highest risk of sustaining a permanent medical impairment from an AISl injury was associated with injuries to the cervical spine and upper and lower extremities. One third of AIS3 head and cervical spine injuries led to the highest RPMI level of impairment. Injuries to the thorax and abdomen gave the lowest risk of permanent medical impairment on all AIS levels and all impairment levels. The result can be used for road transport system strategies, and for making priority decisions in vehicle design.","author":[{"dropping-particle":"","family":"Malm","given":"Sigrun","non-dropping-particle":"","parse-names":false,"suffix":""},{"dropping-particle":"","family":"Krafft","given":"Maria","non-dropping-particle":"","parse-names":false,"suffix":""},{"dropping-particle":"","family":"Kullgren","given":"Anders","non-dropping-particle":"","parse-names":false,"suffix":""},{"dropping-particle":"","family":"Ydenius","given":"Anders","non-dropping-particle":"","parse-names":false,"suffix":""},{"dropping-particle":"","family":"Tingvall","given":"Claes","non-dropping-particle":"","parse-names":false,"suffix":""}],"container-title":"Annals of Advances in Automotive Medicine - 52nd Annual Scientific Conference","id":"ITEM-1","issued":{"date-parts":[["2008"]]},"page":"93-100","title":"Risk of permanent medical impairment (RPMI) in road traffic accidents","type":"paper-conference","volume":"52"},"uris":["http://www.mendeley.com/documents/?uuid=1a59c942-dcac-3c10-88a7-d12e806e32e0"]},{"id":"ITEM-2","itemData":{"ISSN":"15710661","abstract":"The cost of deploying a ubiquitous system to enhance a physical environment is likely to be considerable. The success of its deployment is highly dependent on its context: the physical environment and the activities that are to be carried out within it. This paper provides an initial exploration of whether stochastic process algebras (in particular PEPA with a Fluid Flow semantics) might be used to explore consequences before deployment. The focus of the exploration is to aid understanding of how a proposed system supports users within the environment. The challenge is to provide notations and techniques that will enable the analysis of potentially complex systems.","author":[{"dropping-particle":"","family":"Global Health Data","given":"","non-dropping-particle":"","parse-names":false,"suffix":""}],"container-title":"Institue for Health Metrics and Evaluation","id":"ITEM-2","issued":{"date-parts":[["2017"]]},"title":"GBD Results Tool | GHDx","type":"article-journal"},"uris":["http://www.mendeley.com/documents/?uuid=332eefb7-f956-486f-a7e0-95858fee8e38"]}],"mendeley":{"formattedCitation":"(Malm et al. 2008; Global Health Data 2017)","plainTextFormattedCitation":"(Malm et al. 2008; Global Health Data 2017)","previouslyFormattedCitation":"(Malm et al. 2008; Global Health Data 2017)"},"properties":{"noteIndex":0},"schema":"https://github.com/citation-style-language/schema/raw/master/csl-citation.json"}</w:instrText>
            </w:r>
            <w:r>
              <w:fldChar w:fldCharType="separate"/>
            </w:r>
            <w:r w:rsidRPr="00BB6083">
              <w:rPr>
                <w:noProof/>
              </w:rPr>
              <w:t>(Malm et al. 2008; Global Health Data 2017)</w:t>
            </w:r>
            <w:r>
              <w:fldChar w:fldCharType="end"/>
            </w:r>
          </w:p>
        </w:tc>
      </w:tr>
      <w:tr w:rsidR="00D52A47" w14:paraId="44AA0772" w14:textId="77777777" w:rsidTr="00356EB3">
        <w:tc>
          <w:tcPr>
            <w:tcW w:w="3255" w:type="dxa"/>
            <w:vAlign w:val="bottom"/>
          </w:tcPr>
          <w:p w14:paraId="5A68624B" w14:textId="77777777" w:rsidR="00D52A47" w:rsidRPr="007B7749" w:rsidRDefault="00D52A47" w:rsidP="00356EB3">
            <w:pPr>
              <w:keepNext/>
              <w:spacing w:line="480" w:lineRule="auto"/>
            </w:pPr>
            <w:r>
              <w:rPr>
                <w:rFonts w:ascii="Calibri" w:hAnsi="Calibri" w:cs="Calibri"/>
                <w:color w:val="000000"/>
              </w:rPr>
              <w:t>upper_ex_prob_7113</w:t>
            </w:r>
          </w:p>
        </w:tc>
        <w:tc>
          <w:tcPr>
            <w:tcW w:w="1702" w:type="dxa"/>
          </w:tcPr>
          <w:p w14:paraId="718FC53D" w14:textId="77777777" w:rsidR="00D52A47" w:rsidRDefault="00D52A47" w:rsidP="00356EB3">
            <w:pPr>
              <w:keepNext/>
              <w:spacing w:line="480" w:lineRule="auto"/>
              <w:jc w:val="center"/>
            </w:pPr>
            <w:r>
              <w:t>Probability of a burn to the upper extremities</w:t>
            </w:r>
          </w:p>
        </w:tc>
        <w:tc>
          <w:tcPr>
            <w:tcW w:w="2587" w:type="dxa"/>
            <w:gridSpan w:val="2"/>
            <w:vAlign w:val="bottom"/>
          </w:tcPr>
          <w:p w14:paraId="338EA7E0" w14:textId="77777777" w:rsidR="00D52A47" w:rsidRPr="007B7749" w:rsidRDefault="00D52A47" w:rsidP="00356EB3">
            <w:pPr>
              <w:keepNext/>
              <w:spacing w:line="480" w:lineRule="auto"/>
              <w:jc w:val="center"/>
            </w:pPr>
            <w:r>
              <w:rPr>
                <w:rFonts w:ascii="Calibri" w:hAnsi="Calibri" w:cs="Calibri"/>
                <w:color w:val="000000"/>
              </w:rPr>
              <w:t>0.03304</w:t>
            </w:r>
          </w:p>
        </w:tc>
        <w:tc>
          <w:tcPr>
            <w:tcW w:w="1472" w:type="dxa"/>
          </w:tcPr>
          <w:p w14:paraId="02CB19D1" w14:textId="77777777" w:rsidR="00D52A47" w:rsidRDefault="00D52A47" w:rsidP="00356EB3">
            <w:pPr>
              <w:keepNext/>
              <w:spacing w:line="480" w:lineRule="auto"/>
              <w:jc w:val="center"/>
            </w:pPr>
            <w:r>
              <w:fldChar w:fldCharType="begin" w:fldLock="1"/>
            </w:r>
            <w:r>
              <w:instrText>ADDIN CSL_CITATION {"citationItems":[{"id":"ITEM-1","itemData":{"DOI":"10.1186/s41038-018-0118-z","ISSN":"2321-3876","abstract":"Severe burns injury is a serious pathology, leading to teratogenicity and significant mortality, and it also has a long-term social impact. The aim of this article is to describe the hospitalized population with severe burns injuries in eight burn centers in China between 2011 and 2015 and to suggest future preventive strategies. This 5-year retrospective review included all patients with severe burns in a database at eight institutions. The data collected included gender, age, month distribution, etiology, location, presence of inhalation injury, total burn surface area, depth of the burn, the length of hospitalization, and mortality. SPSS 19.0 software was used to analyze the data. A total of 1126 patients were included: 803 (71.3%) male patients and 323 (28.7%) female patients. Scalds were the most common cause of burns (476, 42.27%), followed by fire (457, 40.59%). The extremities were the most frequently affected areas, followed by the trunk. The median length of hospitalization was 30 (15, 52) days. The overall mortality rate was 14.21%. Although medical centers have devoted intensive resources to improving the survival rates of burn patients, expenditures for prevention and education programs are minimal. Our findings suggest that more attention should be paid to the importance of prevention and the reduction of injury severity. This study may contribute to the establishment of a nationwide burn database and the elaboration of strategies to prevent severe burns injury.","author":[{"dropping-particle":"","family":"Tian","given":"Hao","non-dropping-particle":"","parse-names":false,"suffix":""},{"dropping-particle":"","family":"Wang","given":"Liangxi","non-dropping-particle":"","parse-names":false,"suffix":""},{"dropping-particle":"","family":"Xie","given":"Weiguo","non-dropping-particle":"","parse-names":false,"suffix":""},{"dropping-particle":"","family":"Shen","given":"Chuanan","non-dropping-particle":"","parse-names":false,"suffix":""},{"dropping-particle":"","family":"Guo","given":"Guanghua","non-dropping-particle":"","parse-names":false,"suffix":""},{"dropping-particle":"","family":"Liu","given":"Jiaqi","non-dropping-particle":"","parse-names":false,"suffix":""},{"dropping-particle":"","family":"Han","given":"Chunmao","non-dropping-particle":"","parse-names":false,"suffix":""},{"dropping-particle":"","family":"Ren","given":"Licheng","non-dropping-particle":"","parse-names":false,"suffix":""},{"dropping-particle":"","family":"Liang","given":"Yi","non-dropping-particle":"","parse-names":false,"suffix":""},{"dropping-particle":"","family":"Tang","given":"Yong","non-dropping-particle":"","parse-names":false,"suffix":""},{"dropping-particle":"","family":"Wang","given":"Yuan","non-dropping-particle":"","parse-names":false,"suffix":""},{"dropping-particle":"","family":"Yin","given":"Meifang","non-dropping-particle":"","parse-names":false,"suffix":""},{"dropping-particle":"","family":"Zhang","given":"Jiaping","non-dropping-particle":"","parse-names":false,"suffix":""},{"dropping-particle":"","family":"Huang","given":"Yuesheng","non-dropping-particle":"","parse-names":false,"suffix":""}],"container-title":"Burns &amp; Trauma","id":"ITEM-1","issued":{"date-parts":[["2018"]]},"page":"2011-2015","title":"Epidemiologic and clinical characteristics of severe burn patients: results of a retrospective multicenter study in China, 2011–2015","type":"article-journal","volume":"6"},"uris":["http://www.mendeley.com/documents/?uuid=41588ded-c29f-370a-afa1-4ef68e69a443"]},{"id":"ITEM-2","itemData":{"ISSN":"15710661","abstract":"The cost of deploying a ubiquitous system to enhance a physical environment is likely to be considerable. The success of its deployment is highly dependent on its context: the physical environment and the activities that are to be carried out within it. This paper provides an initial exploration of whether stochastic process algebras (in particular PEPA with a Fluid Flow semantics) might be used to explore consequences before deployment. The focus of the exploration is to aid understanding of how a proposed system supports users within the environment. The challenge is to provide notations and techniques that will enable the analysis of potentially complex systems.","author":[{"dropping-particle":"","family":"Global Health Data","given":"","non-dropping-particle":"","parse-names":false,"suffix":""}],"container-title":"Institue for Health Metrics and Evaluation","id":"ITEM-2","issued":{"date-parts":[["2017"]]},"title":"GBD Results Tool | GHDx","type":"article-journal"},"uris":["http://www.mendeley.com/documents/?uuid=332eefb7-f956-486f-a7e0-95858fee8e38"]}],"mendeley":{"formattedCitation":"(H. Tian et al. 2018; Global Health Data 2017)","plainTextFormattedCitation":"(H. Tian et al. 2018; Global Health Data 2017)","previouslyFormattedCitation":"(H. Tian et al. 2018; Global Health Data 2017)"},"properties":{"noteIndex":0},"schema":"https://github.com/citation-style-language/schema/raw/master/csl-citation.json"}</w:instrText>
            </w:r>
            <w:r>
              <w:fldChar w:fldCharType="separate"/>
            </w:r>
            <w:r w:rsidRPr="00A91689">
              <w:rPr>
                <w:noProof/>
              </w:rPr>
              <w:t>(H. Tian et al. 2018; Global Health Data 2017)</w:t>
            </w:r>
            <w:r>
              <w:fldChar w:fldCharType="end"/>
            </w:r>
          </w:p>
        </w:tc>
      </w:tr>
      <w:tr w:rsidR="00D52A47" w14:paraId="5AB01947" w14:textId="77777777" w:rsidTr="00356EB3">
        <w:tc>
          <w:tcPr>
            <w:tcW w:w="3255" w:type="dxa"/>
            <w:vAlign w:val="bottom"/>
          </w:tcPr>
          <w:p w14:paraId="49EC73D0" w14:textId="77777777" w:rsidR="00D52A47" w:rsidRPr="007B7749" w:rsidRDefault="00D52A47" w:rsidP="00356EB3">
            <w:pPr>
              <w:keepNext/>
              <w:spacing w:line="480" w:lineRule="auto"/>
            </w:pPr>
            <w:r>
              <w:rPr>
                <w:rFonts w:ascii="Calibri" w:hAnsi="Calibri" w:cs="Calibri"/>
                <w:color w:val="000000"/>
              </w:rPr>
              <w:t>upper_ex_prob_712a</w:t>
            </w:r>
          </w:p>
        </w:tc>
        <w:tc>
          <w:tcPr>
            <w:tcW w:w="1702" w:type="dxa"/>
          </w:tcPr>
          <w:p w14:paraId="0F23C36A" w14:textId="77777777" w:rsidR="00D52A47" w:rsidRDefault="00D52A47" w:rsidP="00356EB3">
            <w:pPr>
              <w:keepNext/>
              <w:spacing w:line="480" w:lineRule="auto"/>
              <w:jc w:val="center"/>
            </w:pPr>
            <w:r>
              <w:t>Probability of a f</w:t>
            </w:r>
            <w:r w:rsidRPr="00BF29F9">
              <w:t>racture to Clavicle, scapula, humerus</w:t>
            </w:r>
          </w:p>
        </w:tc>
        <w:tc>
          <w:tcPr>
            <w:tcW w:w="2587" w:type="dxa"/>
            <w:gridSpan w:val="2"/>
            <w:vAlign w:val="bottom"/>
          </w:tcPr>
          <w:p w14:paraId="6A0C6C9B" w14:textId="77777777" w:rsidR="00D52A47" w:rsidRPr="007B7749" w:rsidRDefault="00D52A47" w:rsidP="00356EB3">
            <w:pPr>
              <w:keepNext/>
              <w:spacing w:line="480" w:lineRule="auto"/>
              <w:jc w:val="center"/>
            </w:pPr>
            <w:r>
              <w:rPr>
                <w:rFonts w:ascii="Calibri" w:hAnsi="Calibri" w:cs="Calibri"/>
                <w:color w:val="000000"/>
              </w:rPr>
              <w:t>0.10802</w:t>
            </w:r>
          </w:p>
        </w:tc>
        <w:tc>
          <w:tcPr>
            <w:tcW w:w="1472" w:type="dxa"/>
          </w:tcPr>
          <w:p w14:paraId="79AF71DD" w14:textId="77777777" w:rsidR="00D52A47" w:rsidRDefault="00D52A47" w:rsidP="00356EB3">
            <w:pPr>
              <w:keepNext/>
              <w:spacing w:line="480" w:lineRule="auto"/>
              <w:jc w:val="center"/>
            </w:pPr>
            <w:r>
              <w:fldChar w:fldCharType="begin" w:fldLock="1"/>
            </w:r>
            <w:r>
              <w:instrText>ADDIN CSL_CITATION {"citationItems":[{"id":"ITEM-1","itemData":{"ISSN":"15710661","abstract":"The cost of deploying a ubiquitous system to enhance a physical environment is likely to be considerable. The success of its deployment is highly dependent on its context: the physical environment and the activities that are to be carried out within it. This paper provides an initial exploration of whether stochastic process algebras (in particular PEPA with a Fluid Flow semantics) might be used to explore consequences before deployment. The focus of the exploration is to aid understanding of how a proposed system supports users within the environment. The challenge is to provide notations and techniques that will enable the analysis of potentially complex systems.","author":[{"dropping-particle":"","family":"Global Health Data","given":"","non-dropping-particle":"","parse-names":false,"suffix":""}],"container-title":"Institue for Health Metrics and Evaluation","id":"ITEM-1","issued":{"date-parts":[["2017"]]},"title":"GBD Results Tool | GHDx","type":"article-journal"},"uris":["http://www.mendeley.com/documents/?uuid=332eefb7-f956-486f-a7e0-95858fee8e38"]}],"mendeley":{"formattedCitation":"(Global Health Data 2017)","plainTextFormattedCitation":"(Global Health Data 2017)","previouslyFormattedCitation":"(Global Health Data 2017)"},"properties":{"noteIndex":0},"schema":"https://github.com/citation-style-language/schema/raw/master/csl-citation.json"}</w:instrText>
            </w:r>
            <w:r>
              <w:fldChar w:fldCharType="separate"/>
            </w:r>
            <w:r w:rsidRPr="00BB6083">
              <w:rPr>
                <w:noProof/>
              </w:rPr>
              <w:t>(Global Health Data 2017)</w:t>
            </w:r>
            <w:r>
              <w:fldChar w:fldCharType="end"/>
            </w:r>
          </w:p>
        </w:tc>
      </w:tr>
      <w:tr w:rsidR="00D52A47" w14:paraId="45488176" w14:textId="77777777" w:rsidTr="00356EB3">
        <w:tc>
          <w:tcPr>
            <w:tcW w:w="3255" w:type="dxa"/>
            <w:vAlign w:val="bottom"/>
          </w:tcPr>
          <w:p w14:paraId="30C6AB82" w14:textId="77777777" w:rsidR="00D52A47" w:rsidRPr="007B7749" w:rsidRDefault="00D52A47" w:rsidP="00356EB3">
            <w:pPr>
              <w:keepNext/>
              <w:spacing w:line="480" w:lineRule="auto"/>
            </w:pPr>
            <w:r>
              <w:rPr>
                <w:rFonts w:ascii="Calibri" w:hAnsi="Calibri" w:cs="Calibri"/>
                <w:color w:val="000000"/>
              </w:rPr>
              <w:t>upper_ex_prob_712b</w:t>
            </w:r>
          </w:p>
        </w:tc>
        <w:tc>
          <w:tcPr>
            <w:tcW w:w="1702" w:type="dxa"/>
          </w:tcPr>
          <w:p w14:paraId="50AE7796" w14:textId="77777777" w:rsidR="00D52A47" w:rsidRDefault="00D52A47" w:rsidP="00356EB3">
            <w:pPr>
              <w:keepNext/>
              <w:spacing w:line="480" w:lineRule="auto"/>
              <w:jc w:val="center"/>
            </w:pPr>
            <w:r>
              <w:t>Probability of a f</w:t>
            </w:r>
            <w:r w:rsidRPr="00BF29F9">
              <w:t>racture to Hand/wrist</w:t>
            </w:r>
          </w:p>
        </w:tc>
        <w:tc>
          <w:tcPr>
            <w:tcW w:w="2587" w:type="dxa"/>
            <w:gridSpan w:val="2"/>
            <w:vAlign w:val="bottom"/>
          </w:tcPr>
          <w:p w14:paraId="502E9BC5" w14:textId="77777777" w:rsidR="00D52A47" w:rsidRPr="007B7749" w:rsidRDefault="00D52A47" w:rsidP="00356EB3">
            <w:pPr>
              <w:keepNext/>
              <w:spacing w:line="480" w:lineRule="auto"/>
              <w:jc w:val="center"/>
            </w:pPr>
            <w:r>
              <w:rPr>
                <w:rFonts w:ascii="Calibri" w:hAnsi="Calibri" w:cs="Calibri"/>
                <w:color w:val="000000"/>
              </w:rPr>
              <w:t>0.28969</w:t>
            </w:r>
          </w:p>
        </w:tc>
        <w:tc>
          <w:tcPr>
            <w:tcW w:w="1472" w:type="dxa"/>
          </w:tcPr>
          <w:p w14:paraId="271AAC16" w14:textId="77777777" w:rsidR="00D52A47" w:rsidRDefault="00D52A47" w:rsidP="00356EB3">
            <w:pPr>
              <w:keepNext/>
              <w:spacing w:line="480" w:lineRule="auto"/>
              <w:jc w:val="center"/>
            </w:pPr>
            <w:r>
              <w:fldChar w:fldCharType="begin" w:fldLock="1"/>
            </w:r>
            <w:r>
              <w:instrText>ADDIN CSL_CITATION {"citationItems":[{"id":"ITEM-1","itemData":{"ISSN":"15710661","abstract":"The cost of deploying a ubiquitous system to enhance a physical environment is likely to be considerable. The success of its deployment is highly dependent on its context: the physical environment and the activities that are to be carried out within it. This paper provides an initial exploration of whether stochastic process algebras (in particular PEPA with a Fluid Flow semantics) might be used to explore consequences before deployment. The focus of the exploration is to aid understanding of how a proposed system supports users within the environment. The challenge is to provide notations and techniques that will enable the analysis of potentially complex systems.","author":[{"dropping-particle":"","family":"Global Health Data","given":"","non-dropping-particle":"","parse-names":false,"suffix":""}],"container-title":"Institue for Health Metrics and Evaluation","id":"ITEM-1","issued":{"date-parts":[["2017"]]},"title":"GBD Results Tool | GHDx","type":"article-journal"},"uris":["http://www.mendeley.com/documents/?uuid=332eefb7-f956-486f-a7e0-95858fee8e38"]}],"mendeley":{"formattedCitation":"(Global Health Data 2017)","plainTextFormattedCitation":"(Global Health Data 2017)","previouslyFormattedCitation":"(Global Health Data 2017)"},"properties":{"noteIndex":0},"schema":"https://github.com/citation-style-language/schema/raw/master/csl-citation.json"}</w:instrText>
            </w:r>
            <w:r>
              <w:fldChar w:fldCharType="separate"/>
            </w:r>
            <w:r w:rsidRPr="00BB6083">
              <w:rPr>
                <w:noProof/>
              </w:rPr>
              <w:t>(Global Health Data 2017)</w:t>
            </w:r>
            <w:r>
              <w:fldChar w:fldCharType="end"/>
            </w:r>
          </w:p>
        </w:tc>
      </w:tr>
      <w:tr w:rsidR="00D52A47" w14:paraId="3FA74B9D" w14:textId="77777777" w:rsidTr="00356EB3">
        <w:tc>
          <w:tcPr>
            <w:tcW w:w="3255" w:type="dxa"/>
            <w:vAlign w:val="bottom"/>
          </w:tcPr>
          <w:p w14:paraId="099B71EC" w14:textId="77777777" w:rsidR="00D52A47" w:rsidRPr="007B7749" w:rsidRDefault="00D52A47" w:rsidP="00356EB3">
            <w:pPr>
              <w:keepNext/>
              <w:spacing w:line="480" w:lineRule="auto"/>
            </w:pPr>
            <w:r>
              <w:rPr>
                <w:rFonts w:ascii="Calibri" w:hAnsi="Calibri" w:cs="Calibri"/>
                <w:color w:val="000000"/>
              </w:rPr>
              <w:t>upper_ex_prob_712c</w:t>
            </w:r>
          </w:p>
        </w:tc>
        <w:tc>
          <w:tcPr>
            <w:tcW w:w="1702" w:type="dxa"/>
          </w:tcPr>
          <w:p w14:paraId="2B6E2D59" w14:textId="77777777" w:rsidR="00D52A47" w:rsidRDefault="00D52A47" w:rsidP="00356EB3">
            <w:pPr>
              <w:keepNext/>
              <w:spacing w:line="480" w:lineRule="auto"/>
              <w:jc w:val="center"/>
            </w:pPr>
            <w:r>
              <w:t>Probability of a f</w:t>
            </w:r>
            <w:r w:rsidRPr="00BF29F9">
              <w:t>racture to Radius/ulna</w:t>
            </w:r>
          </w:p>
        </w:tc>
        <w:tc>
          <w:tcPr>
            <w:tcW w:w="2587" w:type="dxa"/>
            <w:gridSpan w:val="2"/>
            <w:vAlign w:val="bottom"/>
          </w:tcPr>
          <w:p w14:paraId="3CCE752A" w14:textId="77777777" w:rsidR="00D52A47" w:rsidRPr="007B7749" w:rsidRDefault="00D52A47" w:rsidP="00356EB3">
            <w:pPr>
              <w:keepNext/>
              <w:spacing w:line="480" w:lineRule="auto"/>
              <w:jc w:val="center"/>
            </w:pPr>
            <w:r>
              <w:rPr>
                <w:rFonts w:ascii="Calibri" w:hAnsi="Calibri" w:cs="Calibri"/>
                <w:color w:val="000000"/>
              </w:rPr>
              <w:t>0.09329</w:t>
            </w:r>
          </w:p>
        </w:tc>
        <w:tc>
          <w:tcPr>
            <w:tcW w:w="1472" w:type="dxa"/>
          </w:tcPr>
          <w:p w14:paraId="5771B12F" w14:textId="77777777" w:rsidR="00D52A47" w:rsidRDefault="00D52A47" w:rsidP="00356EB3">
            <w:pPr>
              <w:keepNext/>
              <w:spacing w:line="480" w:lineRule="auto"/>
              <w:jc w:val="center"/>
            </w:pPr>
            <w:r>
              <w:fldChar w:fldCharType="begin" w:fldLock="1"/>
            </w:r>
            <w:r>
              <w:instrText>ADDIN CSL_CITATION {"citationItems":[{"id":"ITEM-1","itemData":{"ISSN":"15710661","abstract":"The cost of deploying a ubiquitous system to enhance a physical environment is likely to be considerable. The success of its deployment is highly dependent on its context: the physical environment and the activities that are to be carried out within it. This paper provides an initial exploration of whether stochastic process algebras (in particular PEPA with a Fluid Flow semantics) might be used to explore consequences before deployment. The focus of the exploration is to aid understanding of how a proposed system supports users within the environment. The challenge is to provide notations and techniques that will enable the analysis of potentially complex systems.","author":[{"dropping-particle":"","family":"Global Health Data","given":"","non-dropping-particle":"","parse-names":false,"suffix":""}],"container-title":"Institue for Health Metrics and Evaluation","id":"ITEM-1","issued":{"date-parts":[["2017"]]},"title":"GBD Results Tool | GHDx","type":"article-journal"},"uris":["http://www.mendeley.com/documents/?uuid=332eefb7-f956-486f-a7e0-95858fee8e38"]}],"mendeley":{"formattedCitation":"(Global Health Data 2017)","plainTextFormattedCitation":"(Global Health Data 2017)","previouslyFormattedCitation":"(Global Health Data 2017)"},"properties":{"noteIndex":0},"schema":"https://github.com/citation-style-language/schema/raw/master/csl-citation.json"}</w:instrText>
            </w:r>
            <w:r>
              <w:fldChar w:fldCharType="separate"/>
            </w:r>
            <w:r w:rsidRPr="00BB6083">
              <w:rPr>
                <w:noProof/>
              </w:rPr>
              <w:t>(Global Health Data 2017)</w:t>
            </w:r>
            <w:r>
              <w:fldChar w:fldCharType="end"/>
            </w:r>
          </w:p>
        </w:tc>
      </w:tr>
      <w:tr w:rsidR="00D52A47" w14:paraId="6BDCA78B" w14:textId="77777777" w:rsidTr="00356EB3">
        <w:tc>
          <w:tcPr>
            <w:tcW w:w="3255" w:type="dxa"/>
            <w:vAlign w:val="bottom"/>
          </w:tcPr>
          <w:p w14:paraId="100CA353" w14:textId="77777777" w:rsidR="00D52A47" w:rsidRPr="007B7749" w:rsidRDefault="00D52A47" w:rsidP="00356EB3">
            <w:pPr>
              <w:keepNext/>
              <w:spacing w:line="480" w:lineRule="auto"/>
            </w:pPr>
            <w:r>
              <w:rPr>
                <w:rFonts w:ascii="Calibri" w:hAnsi="Calibri" w:cs="Calibri"/>
                <w:color w:val="000000"/>
              </w:rPr>
              <w:t>upper_ex_prob_722</w:t>
            </w:r>
          </w:p>
        </w:tc>
        <w:tc>
          <w:tcPr>
            <w:tcW w:w="1702" w:type="dxa"/>
          </w:tcPr>
          <w:p w14:paraId="4FE26019" w14:textId="77777777" w:rsidR="00D52A47" w:rsidRDefault="00D52A47" w:rsidP="00356EB3">
            <w:pPr>
              <w:keepNext/>
              <w:spacing w:line="480" w:lineRule="auto"/>
              <w:jc w:val="center"/>
            </w:pPr>
            <w:r>
              <w:t>Probability of a dislocated shoulder</w:t>
            </w:r>
          </w:p>
        </w:tc>
        <w:tc>
          <w:tcPr>
            <w:tcW w:w="2587" w:type="dxa"/>
            <w:gridSpan w:val="2"/>
            <w:vAlign w:val="bottom"/>
          </w:tcPr>
          <w:p w14:paraId="3A8D7AB8" w14:textId="77777777" w:rsidR="00D52A47" w:rsidRPr="007B7749" w:rsidRDefault="00D52A47" w:rsidP="00356EB3">
            <w:pPr>
              <w:keepNext/>
              <w:spacing w:line="480" w:lineRule="auto"/>
              <w:jc w:val="center"/>
            </w:pPr>
            <w:r>
              <w:rPr>
                <w:rFonts w:ascii="Calibri" w:hAnsi="Calibri" w:cs="Calibri"/>
                <w:color w:val="000000"/>
              </w:rPr>
              <w:t>0.025</w:t>
            </w:r>
          </w:p>
        </w:tc>
        <w:tc>
          <w:tcPr>
            <w:tcW w:w="1472" w:type="dxa"/>
          </w:tcPr>
          <w:p w14:paraId="60A9C44D" w14:textId="77777777" w:rsidR="00D52A47" w:rsidRDefault="00D52A47" w:rsidP="00356EB3">
            <w:pPr>
              <w:keepNext/>
              <w:spacing w:line="480" w:lineRule="auto"/>
              <w:jc w:val="center"/>
            </w:pPr>
            <w:r>
              <w:fldChar w:fldCharType="begin" w:fldLock="1"/>
            </w:r>
            <w:r>
              <w:instrText>ADDIN CSL_CITATION {"citationItems":[{"id":"ITEM-1","itemData":{"ISSN":"15710661","abstract":"The cost of deploying a ubiquitous system to enhance a physical environment is likely to be considerable. The success of its deployment is highly dependent on its context: the physical environment and the activities that are to be carried out within it. This paper provides an initial exploration of whether stochastic process algebras (in particular PEPA with a Fluid Flow semantics) might be used to explore consequences before deployment. The focus of the exploration is to aid understanding of how a proposed system supports users within the environment. The challenge is to provide notations and techniques that will enable the analysis of potentially complex systems.","author":[{"dropping-particle":"","family":"Global Health Data","given":"","non-dropping-particle":"","parse-names":false,"suffix":""}],"container-title":"Institue for Health Metrics and Evaluation","id":"ITEM-1","issued":{"date-parts":[["2017"]]},"title":"GBD Results Tool | GHDx","type":"article-journal"},"uris":["http://www.mendeley.com/documents/?uuid=332eefb7-f956-486f-a7e0-95858fee8e38"]}],"mendeley":{"formattedCitation":"(Global Health Data 2017)","plainTextFormattedCitation":"(Global Health Data 2017)","previouslyFormattedCitation":"(Global Health Data 2017)"},"properties":{"noteIndex":0},"schema":"https://github.com/citation-style-language/schema/raw/master/csl-citation.json"}</w:instrText>
            </w:r>
            <w:r>
              <w:fldChar w:fldCharType="separate"/>
            </w:r>
            <w:r w:rsidRPr="00BB6083">
              <w:rPr>
                <w:noProof/>
              </w:rPr>
              <w:t>(Global Health Data 2017)</w:t>
            </w:r>
            <w:r>
              <w:fldChar w:fldCharType="end"/>
            </w:r>
          </w:p>
        </w:tc>
      </w:tr>
      <w:tr w:rsidR="00D52A47" w14:paraId="1B5422EC" w14:textId="77777777" w:rsidTr="00356EB3">
        <w:tc>
          <w:tcPr>
            <w:tcW w:w="3255" w:type="dxa"/>
            <w:vAlign w:val="bottom"/>
          </w:tcPr>
          <w:p w14:paraId="0B147D14" w14:textId="77777777" w:rsidR="00D52A47" w:rsidRPr="007B7749" w:rsidRDefault="00D52A47" w:rsidP="00356EB3">
            <w:pPr>
              <w:keepNext/>
              <w:spacing w:line="480" w:lineRule="auto"/>
            </w:pPr>
            <w:r>
              <w:rPr>
                <w:rFonts w:ascii="Calibri" w:hAnsi="Calibri" w:cs="Calibri"/>
                <w:color w:val="000000"/>
              </w:rPr>
              <w:t>upper_ex_prob_782a</w:t>
            </w:r>
          </w:p>
        </w:tc>
        <w:tc>
          <w:tcPr>
            <w:tcW w:w="1702" w:type="dxa"/>
          </w:tcPr>
          <w:p w14:paraId="2C0F2C3A" w14:textId="77777777" w:rsidR="00D52A47" w:rsidRDefault="00D52A47" w:rsidP="00356EB3">
            <w:pPr>
              <w:keepNext/>
              <w:spacing w:line="480" w:lineRule="auto"/>
              <w:jc w:val="center"/>
            </w:pPr>
            <w:r>
              <w:t>Probability of an a</w:t>
            </w:r>
            <w:r w:rsidRPr="00BF29F9">
              <w:t>mputated finger</w:t>
            </w:r>
          </w:p>
        </w:tc>
        <w:tc>
          <w:tcPr>
            <w:tcW w:w="2587" w:type="dxa"/>
            <w:gridSpan w:val="2"/>
            <w:vAlign w:val="bottom"/>
          </w:tcPr>
          <w:p w14:paraId="5D207D3E" w14:textId="77777777" w:rsidR="00D52A47" w:rsidRPr="007B7749" w:rsidRDefault="00D52A47" w:rsidP="00356EB3">
            <w:pPr>
              <w:keepNext/>
              <w:spacing w:line="480" w:lineRule="auto"/>
              <w:jc w:val="center"/>
            </w:pPr>
            <w:r>
              <w:rPr>
                <w:rFonts w:ascii="Calibri" w:hAnsi="Calibri" w:cs="Calibri"/>
                <w:color w:val="000000"/>
              </w:rPr>
              <w:t>0.00750024</w:t>
            </w:r>
          </w:p>
        </w:tc>
        <w:tc>
          <w:tcPr>
            <w:tcW w:w="1472" w:type="dxa"/>
          </w:tcPr>
          <w:p w14:paraId="42719B00" w14:textId="77777777" w:rsidR="00D52A47" w:rsidRDefault="00D52A47" w:rsidP="00356EB3">
            <w:pPr>
              <w:keepNext/>
              <w:spacing w:line="480" w:lineRule="auto"/>
              <w:jc w:val="center"/>
            </w:pPr>
            <w:r>
              <w:fldChar w:fldCharType="begin" w:fldLock="1"/>
            </w:r>
            <w:r>
              <w:instrText>ADDIN CSL_CITATION {"citationItems":[{"id":"ITEM-1","itemData":{"ISSN":"15710661","abstract":"The cost of deploying a ubiquitous system to enhance a physical environment is likely to be considerable. The success of its deployment is highly dependent on its context: the physical environment and the activities that are to be carried out within it. This paper provides an initial exploration of whether stochastic process algebras (in particular PEPA with a Fluid Flow semantics) might be used to explore consequences before deployment. The focus of the exploration is to aid understanding of how a proposed system supports users within the environment. The challenge is to provide notations and techniques that will enable the analysis of potentially complex systems.","author":[{"dropping-particle":"","family":"Global Health Data","given":"","non-dropping-particle":"","parse-names":false,"suffix":""}],"container-title":"Institue for Health Metrics and Evaluation","id":"ITEM-1","issued":{"date-parts":[["2017"]]},"title":"GBD Results Tool | GHDx","type":"article-journal"},"uris":["http://www.mendeley.com/documents/?uuid=332eefb7-f956-486f-a7e0-95858fee8e38"]}],"mendeley":{"formattedCitation":"(Global Health Data 2017)","plainTextFormattedCitation":"(Global Health Data 2017)","previouslyFormattedCitation":"(Global Health Data 2017)"},"properties":{"noteIndex":0},"schema":"https://github.com/citation-style-language/schema/raw/master/csl-citation.json"}</w:instrText>
            </w:r>
            <w:r>
              <w:fldChar w:fldCharType="separate"/>
            </w:r>
            <w:r w:rsidRPr="00BB6083">
              <w:rPr>
                <w:noProof/>
              </w:rPr>
              <w:t>(Global Health Data 2017)</w:t>
            </w:r>
            <w:r>
              <w:fldChar w:fldCharType="end"/>
            </w:r>
          </w:p>
        </w:tc>
      </w:tr>
      <w:tr w:rsidR="00D52A47" w14:paraId="79D70270" w14:textId="77777777" w:rsidTr="00356EB3">
        <w:tc>
          <w:tcPr>
            <w:tcW w:w="3255" w:type="dxa"/>
            <w:vAlign w:val="bottom"/>
          </w:tcPr>
          <w:p w14:paraId="05CC7BFF" w14:textId="77777777" w:rsidR="00D52A47" w:rsidRPr="007B7749" w:rsidRDefault="00D52A47" w:rsidP="00356EB3">
            <w:pPr>
              <w:keepNext/>
              <w:spacing w:line="480" w:lineRule="auto"/>
            </w:pPr>
            <w:r>
              <w:rPr>
                <w:rFonts w:ascii="Calibri" w:hAnsi="Calibri" w:cs="Calibri"/>
                <w:color w:val="000000"/>
              </w:rPr>
              <w:t>upper_ex_prob_782b</w:t>
            </w:r>
          </w:p>
        </w:tc>
        <w:tc>
          <w:tcPr>
            <w:tcW w:w="1702" w:type="dxa"/>
          </w:tcPr>
          <w:p w14:paraId="10BDAB53" w14:textId="77777777" w:rsidR="00D52A47" w:rsidRDefault="00D52A47" w:rsidP="00356EB3">
            <w:pPr>
              <w:keepNext/>
              <w:spacing w:line="480" w:lineRule="auto"/>
              <w:jc w:val="center"/>
            </w:pPr>
            <w:r>
              <w:t>Probability of a u</w:t>
            </w:r>
            <w:r w:rsidRPr="00BF29F9">
              <w:t>nilateral arm amputation</w:t>
            </w:r>
          </w:p>
        </w:tc>
        <w:tc>
          <w:tcPr>
            <w:tcW w:w="2587" w:type="dxa"/>
            <w:gridSpan w:val="2"/>
            <w:vAlign w:val="bottom"/>
          </w:tcPr>
          <w:p w14:paraId="57623FC8" w14:textId="77777777" w:rsidR="00D52A47" w:rsidRPr="007B7749" w:rsidRDefault="00D52A47" w:rsidP="00356EB3">
            <w:pPr>
              <w:keepNext/>
              <w:spacing w:line="480" w:lineRule="auto"/>
              <w:jc w:val="center"/>
            </w:pPr>
            <w:r>
              <w:rPr>
                <w:rFonts w:ascii="Calibri" w:hAnsi="Calibri" w:cs="Calibri"/>
                <w:color w:val="000000"/>
              </w:rPr>
              <w:t>0.00102276</w:t>
            </w:r>
          </w:p>
        </w:tc>
        <w:tc>
          <w:tcPr>
            <w:tcW w:w="1472" w:type="dxa"/>
          </w:tcPr>
          <w:p w14:paraId="6F35B112" w14:textId="77777777" w:rsidR="00D52A47" w:rsidRDefault="00D52A47" w:rsidP="00356EB3">
            <w:pPr>
              <w:keepNext/>
              <w:spacing w:line="480" w:lineRule="auto"/>
              <w:jc w:val="center"/>
            </w:pPr>
            <w:r>
              <w:fldChar w:fldCharType="begin" w:fldLock="1"/>
            </w:r>
            <w:r>
              <w:instrText>ADDIN CSL_CITATION {"citationItems":[{"id":"ITEM-1","itemData":{"ISSN":"15710661","abstract":"The cost of deploying a ubiquitous system to enhance a physical environment is likely to be considerable. The success of its deployment is highly dependent on its context: the physical environment and the activities that are to be carried out within it. This paper provides an initial exploration of whether stochastic process algebras (in particular PEPA with a Fluid Flow semantics) might be used to explore consequences before deployment. The focus of the exploration is to aid understanding of how a proposed system supports users within the environment. The challenge is to provide notations and techniques that will enable the analysis of potentially complex systems.","author":[{"dropping-particle":"","family":"Global Health Data","given":"","non-dropping-particle":"","parse-names":false,"suffix":""}],"container-title":"Institue for Health Metrics and Evaluation","id":"ITEM-1","issued":{"date-parts":[["2017"]]},"title":"GBD Results Tool | GHDx","type":"article-journal"},"uris":["http://www.mendeley.com/documents/?uuid=332eefb7-f956-486f-a7e0-95858fee8e38"]}],"mendeley":{"formattedCitation":"(Global Health Data 2017)","plainTextFormattedCitation":"(Global Health Data 2017)","previouslyFormattedCitation":"(Global Health Data 2017)"},"properties":{"noteIndex":0},"schema":"https://github.com/citation-style-language/schema/raw/master/csl-citation.json"}</w:instrText>
            </w:r>
            <w:r>
              <w:fldChar w:fldCharType="separate"/>
            </w:r>
            <w:r w:rsidRPr="00BB6083">
              <w:rPr>
                <w:noProof/>
              </w:rPr>
              <w:t>(Global Health Data 2017)</w:t>
            </w:r>
            <w:r>
              <w:fldChar w:fldCharType="end"/>
            </w:r>
          </w:p>
        </w:tc>
      </w:tr>
      <w:tr w:rsidR="00D52A47" w14:paraId="56A8D01B" w14:textId="77777777" w:rsidTr="00356EB3">
        <w:tc>
          <w:tcPr>
            <w:tcW w:w="3255" w:type="dxa"/>
            <w:vAlign w:val="bottom"/>
          </w:tcPr>
          <w:p w14:paraId="4885691D" w14:textId="77777777" w:rsidR="00D52A47" w:rsidRPr="007B7749" w:rsidRDefault="00D52A47" w:rsidP="00356EB3">
            <w:pPr>
              <w:keepNext/>
              <w:spacing w:line="480" w:lineRule="auto"/>
            </w:pPr>
            <w:r>
              <w:rPr>
                <w:rFonts w:ascii="Calibri" w:hAnsi="Calibri" w:cs="Calibri"/>
                <w:color w:val="000000"/>
              </w:rPr>
              <w:lastRenderedPageBreak/>
              <w:t>upper_ex_prob_782c</w:t>
            </w:r>
          </w:p>
        </w:tc>
        <w:tc>
          <w:tcPr>
            <w:tcW w:w="1702" w:type="dxa"/>
          </w:tcPr>
          <w:p w14:paraId="411E6310" w14:textId="77777777" w:rsidR="00D52A47" w:rsidRDefault="00D52A47" w:rsidP="00356EB3">
            <w:pPr>
              <w:keepNext/>
              <w:spacing w:line="480" w:lineRule="auto"/>
              <w:jc w:val="center"/>
            </w:pPr>
            <w:r>
              <w:t>Probability of a t</w:t>
            </w:r>
            <w:r w:rsidRPr="00BF29F9">
              <w:t>humb amputation</w:t>
            </w:r>
          </w:p>
        </w:tc>
        <w:tc>
          <w:tcPr>
            <w:tcW w:w="2587" w:type="dxa"/>
            <w:gridSpan w:val="2"/>
            <w:vAlign w:val="bottom"/>
          </w:tcPr>
          <w:p w14:paraId="45CB3B5F" w14:textId="77777777" w:rsidR="00D52A47" w:rsidRPr="007B7749" w:rsidRDefault="00D52A47" w:rsidP="00356EB3">
            <w:pPr>
              <w:keepNext/>
              <w:spacing w:line="480" w:lineRule="auto"/>
              <w:jc w:val="center"/>
            </w:pPr>
            <w:r>
              <w:rPr>
                <w:rFonts w:ascii="Calibri" w:hAnsi="Calibri" w:cs="Calibri"/>
                <w:color w:val="000000"/>
              </w:rPr>
              <w:t>0.002841</w:t>
            </w:r>
          </w:p>
        </w:tc>
        <w:tc>
          <w:tcPr>
            <w:tcW w:w="1472" w:type="dxa"/>
          </w:tcPr>
          <w:p w14:paraId="20B18E32" w14:textId="77777777" w:rsidR="00D52A47" w:rsidRDefault="00D52A47" w:rsidP="00356EB3">
            <w:pPr>
              <w:keepNext/>
              <w:spacing w:line="480" w:lineRule="auto"/>
              <w:jc w:val="center"/>
            </w:pPr>
            <w:r>
              <w:fldChar w:fldCharType="begin" w:fldLock="1"/>
            </w:r>
            <w:r>
              <w:instrText>ADDIN CSL_CITATION {"citationItems":[{"id":"ITEM-1","itemData":{"ISSN":"15710661","abstract":"The cost of deploying a ubiquitous system to enhance a physical environment is likely to be considerable. The success of its deployment is highly dependent on its context: the physical environment and the activities that are to be carried out within it. This paper provides an initial exploration of whether stochastic process algebras (in particular PEPA with a Fluid Flow semantics) might be used to explore consequences before deployment. The focus of the exploration is to aid understanding of how a proposed system supports users within the environment. The challenge is to provide notations and techniques that will enable the analysis of potentially complex systems.","author":[{"dropping-particle":"","family":"Global Health Data","given":"","non-dropping-particle":"","parse-names":false,"suffix":""}],"container-title":"Institue for Health Metrics and Evaluation","id":"ITEM-1","issued":{"date-parts":[["2017"]]},"title":"GBD Results Tool | GHDx","type":"article-journal"},"uris":["http://www.mendeley.com/documents/?uuid=332eefb7-f956-486f-a7e0-95858fee8e38"]}],"mendeley":{"formattedCitation":"(Global Health Data 2017)","plainTextFormattedCitation":"(Global Health Data 2017)","previouslyFormattedCitation":"(Global Health Data 2017)"},"properties":{"noteIndex":0},"schema":"https://github.com/citation-style-language/schema/raw/master/csl-citation.json"}</w:instrText>
            </w:r>
            <w:r>
              <w:fldChar w:fldCharType="separate"/>
            </w:r>
            <w:r w:rsidRPr="00BB6083">
              <w:rPr>
                <w:noProof/>
              </w:rPr>
              <w:t>(Global Health Data 2017)</w:t>
            </w:r>
            <w:r>
              <w:fldChar w:fldCharType="end"/>
            </w:r>
          </w:p>
        </w:tc>
      </w:tr>
      <w:tr w:rsidR="00D52A47" w14:paraId="54D4C042" w14:textId="77777777" w:rsidTr="00356EB3">
        <w:tc>
          <w:tcPr>
            <w:tcW w:w="3255" w:type="dxa"/>
            <w:vAlign w:val="bottom"/>
          </w:tcPr>
          <w:p w14:paraId="254481A3" w14:textId="77777777" w:rsidR="00D52A47" w:rsidRPr="007B7749" w:rsidRDefault="00D52A47" w:rsidP="00356EB3">
            <w:pPr>
              <w:keepNext/>
              <w:spacing w:line="480" w:lineRule="auto"/>
            </w:pPr>
            <w:r>
              <w:rPr>
                <w:rFonts w:ascii="Calibri" w:hAnsi="Calibri" w:cs="Calibri"/>
                <w:color w:val="000000"/>
              </w:rPr>
              <w:t>upper_ex_prob_783</w:t>
            </w:r>
          </w:p>
        </w:tc>
        <w:tc>
          <w:tcPr>
            <w:tcW w:w="1702" w:type="dxa"/>
          </w:tcPr>
          <w:p w14:paraId="502E1E49" w14:textId="77777777" w:rsidR="00D52A47" w:rsidRDefault="00D52A47" w:rsidP="00356EB3">
            <w:pPr>
              <w:keepNext/>
              <w:spacing w:line="480" w:lineRule="auto"/>
              <w:jc w:val="center"/>
            </w:pPr>
            <w:r>
              <w:t>Probability of a bilateral upper extremity amputation</w:t>
            </w:r>
          </w:p>
        </w:tc>
        <w:tc>
          <w:tcPr>
            <w:tcW w:w="2587" w:type="dxa"/>
            <w:gridSpan w:val="2"/>
            <w:vAlign w:val="bottom"/>
          </w:tcPr>
          <w:p w14:paraId="144CA8B8" w14:textId="77777777" w:rsidR="00D52A47" w:rsidRPr="007B7749" w:rsidRDefault="00D52A47" w:rsidP="00356EB3">
            <w:pPr>
              <w:keepNext/>
              <w:spacing w:line="480" w:lineRule="auto"/>
              <w:jc w:val="center"/>
            </w:pPr>
            <w:r>
              <w:rPr>
                <w:rFonts w:ascii="Calibri" w:hAnsi="Calibri" w:cs="Calibri"/>
                <w:color w:val="000000"/>
              </w:rPr>
              <w:t>0.000636</w:t>
            </w:r>
          </w:p>
        </w:tc>
        <w:tc>
          <w:tcPr>
            <w:tcW w:w="1472" w:type="dxa"/>
          </w:tcPr>
          <w:p w14:paraId="5BF15849" w14:textId="77777777" w:rsidR="00D52A47" w:rsidRDefault="00D52A47" w:rsidP="00356EB3">
            <w:pPr>
              <w:keepNext/>
              <w:spacing w:line="480" w:lineRule="auto"/>
              <w:jc w:val="center"/>
            </w:pPr>
            <w:r>
              <w:fldChar w:fldCharType="begin" w:fldLock="1"/>
            </w:r>
            <w:r>
              <w:instrText>ADDIN CSL_CITATION {"citationItems":[{"id":"ITEM-1","itemData":{"ISSN":"15710661","abstract":"The cost of deploying a ubiquitous system to enhance a physical environment is likely to be considerable. The success of its deployment is highly dependent on its context: the physical environment and the activities that are to be carried out within it. This paper provides an initial exploration of whether stochastic process algebras (in particular PEPA with a Fluid Flow semantics) might be used to explore consequences before deployment. The focus of the exploration is to aid understanding of how a proposed system supports users within the environment. The challenge is to provide notations and techniques that will enable the analysis of potentially complex systems.","author":[{"dropping-particle":"","family":"Global Health Data","given":"","non-dropping-particle":"","parse-names":false,"suffix":""}],"container-title":"Institue for Health Metrics and Evaluation","id":"ITEM-1","issued":{"date-parts":[["2017"]]},"title":"GBD Results Tool | GHDx","type":"article-journal"},"uris":["http://www.mendeley.com/documents/?uuid=332eefb7-f956-486f-a7e0-95858fee8e38"]}],"mendeley":{"formattedCitation":"(Global Health Data 2017)","plainTextFormattedCitation":"(Global Health Data 2017)","previouslyFormattedCitation":"(Global Health Data 2017)"},"properties":{"noteIndex":0},"schema":"https://github.com/citation-style-language/schema/raw/master/csl-citation.json"}</w:instrText>
            </w:r>
            <w:r>
              <w:fldChar w:fldCharType="separate"/>
            </w:r>
            <w:r w:rsidRPr="00BB6083">
              <w:rPr>
                <w:noProof/>
              </w:rPr>
              <w:t>(Global Health Data 2017)</w:t>
            </w:r>
            <w:r>
              <w:fldChar w:fldCharType="end"/>
            </w:r>
          </w:p>
        </w:tc>
      </w:tr>
      <w:tr w:rsidR="00D52A47" w14:paraId="321FEF03" w14:textId="77777777" w:rsidTr="00356EB3">
        <w:tc>
          <w:tcPr>
            <w:tcW w:w="3255" w:type="dxa"/>
            <w:vAlign w:val="bottom"/>
          </w:tcPr>
          <w:p w14:paraId="00E098B8" w14:textId="77777777" w:rsidR="00D52A47" w:rsidRPr="007B7749" w:rsidRDefault="00D52A47" w:rsidP="00356EB3">
            <w:pPr>
              <w:keepNext/>
              <w:spacing w:line="480" w:lineRule="auto"/>
              <w:jc w:val="center"/>
            </w:pPr>
            <w:r>
              <w:rPr>
                <w:rFonts w:ascii="Calibri" w:hAnsi="Calibri" w:cs="Calibri"/>
                <w:color w:val="000000"/>
              </w:rPr>
              <w:t>lower_ex_prob_8101</w:t>
            </w:r>
          </w:p>
        </w:tc>
        <w:tc>
          <w:tcPr>
            <w:tcW w:w="1702" w:type="dxa"/>
          </w:tcPr>
          <w:p w14:paraId="434F7E2B" w14:textId="77777777" w:rsidR="00D52A47" w:rsidRDefault="00D52A47" w:rsidP="00356EB3">
            <w:pPr>
              <w:keepNext/>
              <w:spacing w:line="480" w:lineRule="auto"/>
              <w:jc w:val="center"/>
            </w:pPr>
            <w:r>
              <w:t>Probability of a laceration to the lower extremity</w:t>
            </w:r>
          </w:p>
        </w:tc>
        <w:tc>
          <w:tcPr>
            <w:tcW w:w="2587" w:type="dxa"/>
            <w:gridSpan w:val="2"/>
            <w:vAlign w:val="bottom"/>
          </w:tcPr>
          <w:p w14:paraId="5BA821B8" w14:textId="77777777" w:rsidR="00D52A47" w:rsidRPr="007B7749" w:rsidRDefault="00D52A47" w:rsidP="00356EB3">
            <w:pPr>
              <w:keepNext/>
              <w:spacing w:line="480" w:lineRule="auto"/>
              <w:jc w:val="center"/>
            </w:pPr>
            <w:r>
              <w:rPr>
                <w:rFonts w:ascii="Calibri" w:hAnsi="Calibri" w:cs="Calibri"/>
                <w:color w:val="000000"/>
              </w:rPr>
              <w:t>0.186094109</w:t>
            </w:r>
          </w:p>
        </w:tc>
        <w:tc>
          <w:tcPr>
            <w:tcW w:w="1472" w:type="dxa"/>
          </w:tcPr>
          <w:p w14:paraId="5C227CF0" w14:textId="77777777" w:rsidR="00D52A47" w:rsidRDefault="00D52A47" w:rsidP="00356EB3">
            <w:pPr>
              <w:keepNext/>
              <w:spacing w:line="480" w:lineRule="auto"/>
              <w:jc w:val="center"/>
            </w:pPr>
            <w:r>
              <w:fldChar w:fldCharType="begin" w:fldLock="1"/>
            </w:r>
            <w:r>
              <w:instrText>ADDIN CSL_CITATION {"citationItems":[{"id":"ITEM-1","itemData":{"ISSN":"1943-2461","PMID":"19026226","abstract":"In addition to investigating risk of death due to road traffic injuries, there is a need to better describe the risk of serious consequences. This study assessed risk of permanent medical impairment based on road traffic injuries classified according to AIS-2005. Injured car occupants were followed for at least 5 years to assess permanent medical impairment. After an initial injury, the risk of permanent impairment was established for injuries to different body regions and AIS levels. Degree of impairment was assessed according to a manual used by all Swedish insurance companies. Those included in the study were 20,484 car occupants injured in crashes that occurred between 1995 and 2001. Three risk levels of sustaining a permanent medical impairment (RPMI) were made. It was concluded that almost 10% of all car occupants with AISl injuries sustained a permanent medical impairment. It is therefore important to include minor injuries leading to impairment when measuring loss of health due to road traffic crashes. Furthermore the highest risk of sustaining a permanent medical impairment from an AISl injury was associated with injuries to the cervical spine and upper and lower extremities. One third of AIS3 head and cervical spine injuries led to the highest RPMI level of impairment. Injuries to the thorax and abdomen gave the lowest risk of permanent medical impairment on all AIS levels and all impairment levels. The result can be used for road transport system strategies, and for making priority decisions in vehicle design.","author":[{"dropping-particle":"","family":"Malm","given":"Sigrun","non-dropping-particle":"","parse-names":false,"suffix":""},{"dropping-particle":"","family":"Krafft","given":"Maria","non-dropping-particle":"","parse-names":false,"suffix":""},{"dropping-particle":"","family":"Kullgren","given":"Anders","non-dropping-particle":"","parse-names":false,"suffix":""},{"dropping-particle":"","family":"Ydenius","given":"Anders","non-dropping-particle":"","parse-names":false,"suffix":""},{"dropping-particle":"","family":"Tingvall","given":"Claes","non-dropping-particle":"","parse-names":false,"suffix":""}],"container-title":"Annals of Advances in Automotive Medicine - 52nd Annual Scientific Conference","id":"ITEM-1","issued":{"date-parts":[["2008"]]},"page":"93-100","title":"Risk of permanent medical impairment (RPMI) in road traffic accidents","type":"paper-conference","volume":"52"},"uris":["http://www.mendeley.com/documents/?uuid=1a59c942-dcac-3c10-88a7-d12e806e32e0"]},{"id":"ITEM-2","itemData":{"ISSN":"15710661","abstract":"The cost of deploying a ubiquitous system to enhance a physical environment is likely to be considerable. The success of its deployment is highly dependent on its context: the physical environment and the activities that are to be carried out within it. This paper provides an initial exploration of whether stochastic process algebras (in particular PEPA with a Fluid Flow semantics) might be used to explore consequences before deployment. The focus of the exploration is to aid understanding of how a proposed system supports users within the environment. The challenge is to provide notations and techniques that will enable the analysis of potentially complex systems.","author":[{"dropping-particle":"","family":"Global Health Data","given":"","non-dropping-particle":"","parse-names":false,"suffix":""}],"container-title":"Institue for Health Metrics and Evaluation","id":"ITEM-2","issued":{"date-parts":[["2017"]]},"title":"GBD Results Tool | GHDx","type":"article-journal"},"uris":["http://www.mendeley.com/documents/?uuid=332eefb7-f956-486f-a7e0-95858fee8e38"]}],"mendeley":{"formattedCitation":"(Malm et al. 2008; Global Health Data 2017)","plainTextFormattedCitation":"(Malm et al. 2008; Global Health Data 2017)","previouslyFormattedCitation":"(Malm et al. 2008; Global Health Data 2017)"},"properties":{"noteIndex":0},"schema":"https://github.com/citation-style-language/schema/raw/master/csl-citation.json"}</w:instrText>
            </w:r>
            <w:r>
              <w:fldChar w:fldCharType="separate"/>
            </w:r>
            <w:r w:rsidRPr="00BB6083">
              <w:rPr>
                <w:noProof/>
              </w:rPr>
              <w:t>(Malm et al. 2008; Global Health Data 2017)</w:t>
            </w:r>
            <w:r>
              <w:fldChar w:fldCharType="end"/>
            </w:r>
          </w:p>
        </w:tc>
      </w:tr>
      <w:tr w:rsidR="00D52A47" w14:paraId="0CCD7209" w14:textId="77777777" w:rsidTr="00356EB3">
        <w:tc>
          <w:tcPr>
            <w:tcW w:w="3255" w:type="dxa"/>
            <w:vAlign w:val="bottom"/>
          </w:tcPr>
          <w:p w14:paraId="0E21082E" w14:textId="77777777" w:rsidR="00D52A47" w:rsidRPr="007B7749" w:rsidRDefault="00D52A47" w:rsidP="00356EB3">
            <w:pPr>
              <w:keepNext/>
              <w:spacing w:line="480" w:lineRule="auto"/>
              <w:jc w:val="center"/>
            </w:pPr>
            <w:r>
              <w:rPr>
                <w:rFonts w:ascii="Calibri" w:hAnsi="Calibri" w:cs="Calibri"/>
                <w:color w:val="000000"/>
              </w:rPr>
              <w:t>lower_ex_prob_8113</w:t>
            </w:r>
          </w:p>
        </w:tc>
        <w:tc>
          <w:tcPr>
            <w:tcW w:w="1702" w:type="dxa"/>
          </w:tcPr>
          <w:p w14:paraId="24438822" w14:textId="77777777" w:rsidR="00D52A47" w:rsidRPr="007B7749" w:rsidRDefault="00D52A47" w:rsidP="00356EB3">
            <w:pPr>
              <w:keepNext/>
              <w:spacing w:line="480" w:lineRule="auto"/>
              <w:jc w:val="center"/>
            </w:pPr>
            <w:r>
              <w:t>Probability of a burn to the lower extremity</w:t>
            </w:r>
          </w:p>
        </w:tc>
        <w:tc>
          <w:tcPr>
            <w:tcW w:w="2587" w:type="dxa"/>
            <w:gridSpan w:val="2"/>
            <w:vAlign w:val="bottom"/>
          </w:tcPr>
          <w:p w14:paraId="4DCA3566" w14:textId="77777777" w:rsidR="00D52A47" w:rsidRPr="007B7749" w:rsidRDefault="00D52A47" w:rsidP="00356EB3">
            <w:pPr>
              <w:keepNext/>
              <w:spacing w:line="480" w:lineRule="auto"/>
              <w:jc w:val="center"/>
            </w:pPr>
            <w:r>
              <w:rPr>
                <w:rFonts w:ascii="Calibri" w:hAnsi="Calibri" w:cs="Calibri"/>
                <w:color w:val="000000"/>
              </w:rPr>
              <w:t>0.014007083</w:t>
            </w:r>
          </w:p>
        </w:tc>
        <w:tc>
          <w:tcPr>
            <w:tcW w:w="1472" w:type="dxa"/>
          </w:tcPr>
          <w:p w14:paraId="616F7AF8" w14:textId="77777777" w:rsidR="00D52A47" w:rsidRDefault="00D52A47" w:rsidP="00356EB3">
            <w:pPr>
              <w:keepNext/>
              <w:spacing w:line="480" w:lineRule="auto"/>
              <w:jc w:val="center"/>
            </w:pPr>
            <w:r>
              <w:fldChar w:fldCharType="begin" w:fldLock="1"/>
            </w:r>
            <w:r>
              <w:instrText>ADDIN CSL_CITATION {"citationItems":[{"id":"ITEM-1","itemData":{"DOI":"10.1186/s41038-018-0118-z","ISSN":"2321-3876","abstract":"Severe burns injury is a serious pathology, leading to teratogenicity and significant mortality, and it also has a long-term social impact. The aim of this article is to describe the hospitalized population with severe burns injuries in eight burn centers in China between 2011 and 2015 and to suggest future preventive strategies. This 5-year retrospective review included all patients with severe burns in a database at eight institutions. The data collected included gender, age, month distribution, etiology, location, presence of inhalation injury, total burn surface area, depth of the burn, the length of hospitalization, and mortality. SPSS 19.0 software was used to analyze the data. A total of 1126 patients were included: 803 (71.3%) male patients and 323 (28.7%) female patients. Scalds were the most common cause of burns (476, 42.27%), followed by fire (457, 40.59%). The extremities were the most frequently affected areas, followed by the trunk. The median length of hospitalization was 30 (15, 52) days. The overall mortality rate was 14.21%. Although medical centers have devoted intensive resources to improving the survival rates of burn patients, expenditures for prevention and education programs are minimal. Our findings suggest that more attention should be paid to the importance of prevention and the reduction of injury severity. This study may contribute to the establishment of a nationwide burn database and the elaboration of strategies to prevent severe burns injury.","author":[{"dropping-particle":"","family":"Tian","given":"Hao","non-dropping-particle":"","parse-names":false,"suffix":""},{"dropping-particle":"","family":"Wang","given":"Liangxi","non-dropping-particle":"","parse-names":false,"suffix":""},{"dropping-particle":"","family":"Xie","given":"Weiguo","non-dropping-particle":"","parse-names":false,"suffix":""},{"dropping-particle":"","family":"Shen","given":"Chuanan","non-dropping-particle":"","parse-names":false,"suffix":""},{"dropping-particle":"","family":"Guo","given":"Guanghua","non-dropping-particle":"","parse-names":false,"suffix":""},{"dropping-particle":"","family":"Liu","given":"Jiaqi","non-dropping-particle":"","parse-names":false,"suffix":""},{"dropping-particle":"","family":"Han","given":"Chunmao","non-dropping-particle":"","parse-names":false,"suffix":""},{"dropping-particle":"","family":"Ren","given":"Licheng","non-dropping-particle":"","parse-names":false,"suffix":""},{"dropping-particle":"","family":"Liang","given":"Yi","non-dropping-particle":"","parse-names":false,"suffix":""},{"dropping-particle":"","family":"Tang","given":"Yong","non-dropping-particle":"","parse-names":false,"suffix":""},{"dropping-particle":"","family":"Wang","given":"Yuan","non-dropping-particle":"","parse-names":false,"suffix":""},{"dropping-particle":"","family":"Yin","given":"Meifang","non-dropping-particle":"","parse-names":false,"suffix":""},{"dropping-particle":"","family":"Zhang","given":"Jiaping","non-dropping-particle":"","parse-names":false,"suffix":""},{"dropping-particle":"","family":"Huang","given":"Yuesheng","non-dropping-particle":"","parse-names":false,"suffix":""}],"container-title":"Burns &amp; Trauma","id":"ITEM-1","issued":{"date-parts":[["2018"]]},"page":"2011-2015","title":"Epidemiologic and clinical characteristics of severe burn patients: results of a retrospective multicenter study in China, 2011–2015","type":"article-journal","volume":"6"},"uris":["http://www.mendeley.com/documents/?uuid=41588ded-c29f-370a-afa1-4ef68e69a443"]},{"id":"ITEM-2","itemData":{"ISSN":"15710661","abstract":"The cost of deploying a ubiquitous system to enhance a physical environment is likely to be considerable. The success of its deployment is highly dependent on its context: the physical environment and the activities that are to be carried out within it. This paper provides an initial exploration of whether stochastic process algebras (in particular PEPA with a Fluid Flow semantics) might be used to explore consequences before deployment. The focus of the exploration is to aid understanding of how a proposed system supports users within the environment. The challenge is to provide notations and techniques that will enable the analysis of potentially complex systems.","author":[{"dropping-particle":"","family":"Global Health Data","given":"","non-dropping-particle":"","parse-names":false,"suffix":""}],"container-title":"Institue for Health Metrics and Evaluation","id":"ITEM-2","issued":{"date-parts":[["2017"]]},"title":"GBD Results Tool | GHDx","type":"article-journal"},"uris":["http://www.mendeley.com/documents/?uuid=332eefb7-f956-486f-a7e0-95858fee8e38"]}],"mendeley":{"formattedCitation":"(H. Tian et al. 2018; Global Health Data 2017)","plainTextFormattedCitation":"(H. Tian et al. 2018; Global Health Data 2017)","previouslyFormattedCitation":"(H. Tian et al. 2018; Global Health Data 2017)"},"properties":{"noteIndex":0},"schema":"https://github.com/citation-style-language/schema/raw/master/csl-citation.json"}</w:instrText>
            </w:r>
            <w:r>
              <w:fldChar w:fldCharType="separate"/>
            </w:r>
            <w:r w:rsidRPr="00A91689">
              <w:rPr>
                <w:noProof/>
              </w:rPr>
              <w:t>(H. Tian et al. 2018; Global Health Data 2017)</w:t>
            </w:r>
            <w:r>
              <w:fldChar w:fldCharType="end"/>
            </w:r>
          </w:p>
        </w:tc>
      </w:tr>
      <w:tr w:rsidR="00D52A47" w14:paraId="27CE092F" w14:textId="77777777" w:rsidTr="00356EB3">
        <w:tc>
          <w:tcPr>
            <w:tcW w:w="3255" w:type="dxa"/>
            <w:vAlign w:val="bottom"/>
          </w:tcPr>
          <w:p w14:paraId="409C7300" w14:textId="77777777" w:rsidR="00D52A47" w:rsidRPr="007B7749" w:rsidRDefault="00D52A47" w:rsidP="00356EB3">
            <w:pPr>
              <w:keepNext/>
              <w:spacing w:line="480" w:lineRule="auto"/>
              <w:jc w:val="center"/>
            </w:pPr>
            <w:r>
              <w:rPr>
                <w:rFonts w:ascii="Calibri" w:hAnsi="Calibri" w:cs="Calibri"/>
                <w:color w:val="000000"/>
              </w:rPr>
              <w:t>lower_ex_prob_811</w:t>
            </w:r>
          </w:p>
        </w:tc>
        <w:tc>
          <w:tcPr>
            <w:tcW w:w="1702" w:type="dxa"/>
          </w:tcPr>
          <w:p w14:paraId="4CF49586" w14:textId="77777777" w:rsidR="00D52A47" w:rsidRPr="007B7749" w:rsidRDefault="00D52A47" w:rsidP="00356EB3">
            <w:pPr>
              <w:keepNext/>
              <w:spacing w:line="480" w:lineRule="auto"/>
              <w:jc w:val="center"/>
            </w:pPr>
            <w:r>
              <w:t>Probability of a foot fracture</w:t>
            </w:r>
          </w:p>
        </w:tc>
        <w:tc>
          <w:tcPr>
            <w:tcW w:w="2587" w:type="dxa"/>
            <w:gridSpan w:val="2"/>
            <w:vAlign w:val="bottom"/>
          </w:tcPr>
          <w:p w14:paraId="5E191D4E" w14:textId="77777777" w:rsidR="00D52A47" w:rsidRPr="007B7749" w:rsidRDefault="00D52A47" w:rsidP="00356EB3">
            <w:pPr>
              <w:keepNext/>
              <w:spacing w:line="480" w:lineRule="auto"/>
              <w:jc w:val="center"/>
            </w:pPr>
            <w:r>
              <w:rPr>
                <w:rFonts w:ascii="Calibri" w:hAnsi="Calibri" w:cs="Calibri"/>
                <w:color w:val="000000"/>
              </w:rPr>
              <w:t>0.023610948</w:t>
            </w:r>
          </w:p>
        </w:tc>
        <w:tc>
          <w:tcPr>
            <w:tcW w:w="1472" w:type="dxa"/>
          </w:tcPr>
          <w:p w14:paraId="04861B32" w14:textId="77777777" w:rsidR="00D52A47" w:rsidRDefault="00D52A47" w:rsidP="00356EB3">
            <w:pPr>
              <w:keepNext/>
              <w:spacing w:line="480" w:lineRule="auto"/>
              <w:jc w:val="center"/>
            </w:pPr>
            <w:r>
              <w:fldChar w:fldCharType="begin" w:fldLock="1"/>
            </w:r>
            <w:r>
              <w:instrText>ADDIN CSL_CITATION {"citationItems":[{"id":"ITEM-1","itemData":{"ISSN":"15710661","abstract":"The cost of deploying a ubiquitous system to enhance a physical environment is likely to be considerable. The success of its deployment is highly dependent on its context: the physical environment and the activities that are to be carried out within it. This paper provides an initial exploration of whether stochastic process algebras (in particular PEPA with a Fluid Flow semantics) might be used to explore consequences before deployment. The focus of the exploration is to aid understanding of how a proposed system supports users within the environment. The challenge is to provide notations and techniques that will enable the analysis of potentially complex systems.","author":[{"dropping-particle":"","family":"Global Health Data","given":"","non-dropping-particle":"","parse-names":false,"suffix":""}],"container-title":"Institue for Health Metrics and Evaluation","id":"ITEM-1","issued":{"date-parts":[["2017"]]},"title":"GBD Results Tool | GHDx","type":"article-journal"},"uris":["http://www.mendeley.com/documents/?uuid=332eefb7-f956-486f-a7e0-95858fee8e38"]}],"mendeley":{"formattedCitation":"(Global Health Data 2017)","plainTextFormattedCitation":"(Global Health Data 2017)","previouslyFormattedCitation":"(Global Health Data 2017)"},"properties":{"noteIndex":0},"schema":"https://github.com/citation-style-language/schema/raw/master/csl-citation.json"}</w:instrText>
            </w:r>
            <w:r>
              <w:fldChar w:fldCharType="separate"/>
            </w:r>
            <w:r w:rsidRPr="00BB6083">
              <w:rPr>
                <w:noProof/>
              </w:rPr>
              <w:t>(Global Health Data 2017)</w:t>
            </w:r>
            <w:r>
              <w:fldChar w:fldCharType="end"/>
            </w:r>
          </w:p>
        </w:tc>
      </w:tr>
      <w:tr w:rsidR="00D52A47" w14:paraId="509287E8" w14:textId="77777777" w:rsidTr="00356EB3">
        <w:tc>
          <w:tcPr>
            <w:tcW w:w="3255" w:type="dxa"/>
            <w:vAlign w:val="bottom"/>
          </w:tcPr>
          <w:p w14:paraId="26431682" w14:textId="77777777" w:rsidR="00D52A47" w:rsidRDefault="00D52A47" w:rsidP="00356EB3">
            <w:pPr>
              <w:keepNext/>
              <w:spacing w:line="480" w:lineRule="auto"/>
              <w:jc w:val="center"/>
            </w:pPr>
            <w:r>
              <w:rPr>
                <w:rFonts w:ascii="Calibri" w:hAnsi="Calibri" w:cs="Calibri"/>
                <w:color w:val="000000"/>
              </w:rPr>
              <w:t>lower_ex_prob_813do</w:t>
            </w:r>
          </w:p>
        </w:tc>
        <w:tc>
          <w:tcPr>
            <w:tcW w:w="1702" w:type="dxa"/>
          </w:tcPr>
          <w:p w14:paraId="76C3492C" w14:textId="77777777" w:rsidR="00D52A47" w:rsidRDefault="00D52A47" w:rsidP="00356EB3">
            <w:pPr>
              <w:keepNext/>
              <w:spacing w:line="480" w:lineRule="auto"/>
              <w:jc w:val="center"/>
            </w:pPr>
            <w:r>
              <w:t>Probability of an open foot fracture</w:t>
            </w:r>
          </w:p>
        </w:tc>
        <w:tc>
          <w:tcPr>
            <w:tcW w:w="2587" w:type="dxa"/>
            <w:gridSpan w:val="2"/>
            <w:vAlign w:val="bottom"/>
          </w:tcPr>
          <w:p w14:paraId="3CDB15EB" w14:textId="77777777" w:rsidR="00D52A47" w:rsidRPr="007B7749" w:rsidRDefault="00D52A47" w:rsidP="00356EB3">
            <w:pPr>
              <w:keepNext/>
              <w:spacing w:line="480" w:lineRule="auto"/>
              <w:jc w:val="center"/>
            </w:pPr>
            <w:r>
              <w:rPr>
                <w:rFonts w:ascii="Calibri" w:hAnsi="Calibri" w:cs="Calibri"/>
                <w:color w:val="000000"/>
              </w:rPr>
              <w:t>0.013281158</w:t>
            </w:r>
          </w:p>
        </w:tc>
        <w:tc>
          <w:tcPr>
            <w:tcW w:w="1472" w:type="dxa"/>
          </w:tcPr>
          <w:p w14:paraId="3BE4B8CE" w14:textId="77777777" w:rsidR="00D52A47" w:rsidRDefault="00D52A47" w:rsidP="00356EB3">
            <w:pPr>
              <w:keepNext/>
              <w:spacing w:line="480" w:lineRule="auto"/>
              <w:jc w:val="center"/>
            </w:pPr>
            <w:r>
              <w:fldChar w:fldCharType="begin" w:fldLock="1"/>
            </w:r>
            <w:r>
              <w:instrText>ADDIN CSL_CITATION {"citationItems":[{"id":"ITEM-1","itemData":{"ISSN":"15710661","abstract":"The cost of deploying a ubiquitous system to enhance a physical environment is likely to be considerable. The success of its deployment is highly dependent on its context: the physical environment and the activities that are to be carried out within it. This paper provides an initial exploration of whether stochastic process algebras (in particular PEPA with a Fluid Flow semantics) might be used to explore consequences before deployment. The focus of the exploration is to aid understanding of how a proposed system supports users within the environment. The challenge is to provide notations and techniques that will enable the analysis of potentially complex systems.","author":[{"dropping-particle":"","family":"Global Health Data","given":"","non-dropping-particle":"","parse-names":false,"suffix":""}],"container-title":"Institue for Health Metrics and Evaluation","id":"ITEM-1","issued":{"date-parts":[["2017"]]},"title":"GBD Results Tool | GHDx","type":"article-journal"},"uris":["http://www.mendeley.com/documents/?uuid=332eefb7-f956-486f-a7e0-95858fee8e38"]},{"id":"ITEM-2","itemData":{"DOI":"10.1016/j.injury.2011.12.007","ISSN":"00201383","PMID":"22204774","abstract":"There is little information available about the epidemiology of open fractures. We examined 2386 open fractures over a 15-year period analysing the incidence and severity of the fractures. The majority of open fractures are low energy injuries with only 22.3% of open fractures being caused by road traffic accidents or falls from a height. The distribution curves of many open fractures are different to the overall fracture distribution curves with high-energy open fractures being commoner in younger males and low energy open fractures in older females. The mode of injury and the different demographic characteristics between isolated and multiple open fractures are also discussed. © 2011 Elsevier Ltd. All rights reserved.","author":[{"dropping-particle":"","family":"Court-Brown","given":"Charles M.","non-dropping-particle":"","parse-names":false,"suffix":""},{"dropping-particle":"","family":"Bugler","given":"Kate E.","non-dropping-particle":"","parse-names":false,"suffix":""},{"dropping-particle":"","family":"Clement","given":"Nicholas D.","non-dropping-particle":"","parse-names":false,"suffix":""},{"dropping-particle":"","family":"Duckworth","given":"Andrew D.","non-dropping-particle":"","parse-names":false,"suffix":""},{"dropping-particle":"","family":"McQueen","given":"Margaret M.","non-dropping-particle":"","parse-names":false,"suffix":""}],"container-title":"Injury","id":"ITEM-2","issued":{"date-parts":[["2012"]]},"title":"The epidemiology of open fractures in adults. A 15-year review","type":"article-journal"},"uris":["http://www.mendeley.com/documents/?uuid=82d9e688-83d3-4071-ae78-2845c3ca8d8e"]},{"id":"ITEM-3","itemData":{"DOI":"10.1016/j.ijsu.2017.01.047","ISSN":"17439159","PMID":"28110030","abstract":"Introduction A lower extremity injury can be a devastating event in low-income countries due to limited access to surgical care. Its incidence, treatment patterns, and outcomes, however, have not been well-described. Methods We prospectively enrolled all patients admitted with lower extremity trauma to a tertiary hospital in Lilongwe, Malawi between October 2010 and September 2011. Patients with a lower extremity injury but primarily admitted for unrelated reasons were excluded. The outcomes were deaths, complications, and length of hospital stay. Results Of the 905 patients eligible for analysis, 696 (77%) were males. Most patients had femur fractures (46%), and most were treated non-operatively (70%). Overall mortality rate was 3.9%. For adult patients with femur fractures, mortality was higher in patients treated with traction (9.0%) than for those treated with surgery (1.3%). The total complication rate was 15%, with adjusted odds of developing a complication higher in patients with concurrent head injury (OR = 2.8; 95% CI: 1.3–6.0), and patients who had an operative treatment (OR = 2; 95% CI: 1.2–1.9). The median length of stay was 16 days (IQR: 6–27) and was greatest among patients with femur fractures. Conclusion Lower extremity injuries resulted in substantial mortality and morbidity in this low-income country. Mortality was particularly high among patients with femur fractures who did not have surgery. Modern orthopedic trauma surgery is greatly needed in low-income countries.","author":[{"dropping-particle":"","family":"Chagomerana","given":"Maganizo B.","non-dropping-particle":"","parse-names":false,"suffix":""},{"dropping-particle":"","family":"Tomlinson","given":"Jared","non-dropping-particle":"","parse-names":false,"suffix":""},{"dropping-particle":"","family":"Young","given":"Sven","non-dropping-particle":"","parse-names":false,"suffix":""},{"dropping-particle":"","family":"Hosseinipour","given":"Mina C.","non-dropping-particle":"","parse-names":false,"suffix":""},{"dropping-particle":"","family":"Banza","given":"Leonard","non-dropping-particle":"","parse-names":false,"suffix":""},{"dropping-particle":"","family":"Lee","given":"Clara N.","non-dropping-particle":"","parse-names":false,"suffix":""}],"container-title":"International Journal of Surgery","id":"ITEM-3","issued":{"date-parts":[["2017","3","1"]]},"page":"23-29","publisher":"Elsevier Ltd","title":"High morbidity and mortality after lower extremity injuries in Malawi: A prospective cohort study of 905 patients","type":"article-journal","volume":"39"},"uris":["http://www.mendeley.com/documents/?uuid=55d3c196-2dcc-3c44-a62b-cde7c636f1e1"]}],"mendeley":{"formattedCitation":"(Global Health Data 2017; Court-Brown et al. 2012; Chagomerana et al. 2017)","plainTextFormattedCitation":"(Global Health Data 2017; Court-Brown et al. 2012; Chagomerana et al. 2017)","previouslyFormattedCitation":"(Global Health Data 2017; Court-Brown et al. 2012; Chagomerana et al. 2017)"},"properties":{"noteIndex":0},"schema":"https://github.com/citation-style-language/schema/raw/master/csl-citation.json"}</w:instrText>
            </w:r>
            <w:r>
              <w:fldChar w:fldCharType="separate"/>
            </w:r>
            <w:r w:rsidRPr="00FA1B46">
              <w:rPr>
                <w:noProof/>
              </w:rPr>
              <w:t>(Global Health Data 2017; Court-Brown et al. 2012; Chagomerana et al. 2017)</w:t>
            </w:r>
            <w:r>
              <w:fldChar w:fldCharType="end"/>
            </w:r>
          </w:p>
        </w:tc>
      </w:tr>
      <w:tr w:rsidR="00D52A47" w14:paraId="43245D1D" w14:textId="77777777" w:rsidTr="00356EB3">
        <w:tc>
          <w:tcPr>
            <w:tcW w:w="3255" w:type="dxa"/>
            <w:vAlign w:val="bottom"/>
          </w:tcPr>
          <w:p w14:paraId="2074BDA7" w14:textId="77777777" w:rsidR="00D52A47" w:rsidRDefault="00D52A47" w:rsidP="00356EB3">
            <w:pPr>
              <w:keepNext/>
              <w:spacing w:line="480" w:lineRule="auto"/>
              <w:jc w:val="center"/>
            </w:pPr>
            <w:r>
              <w:rPr>
                <w:rFonts w:ascii="Calibri" w:hAnsi="Calibri" w:cs="Calibri"/>
                <w:color w:val="000000"/>
              </w:rPr>
              <w:t>lower_ex_prob_812</w:t>
            </w:r>
          </w:p>
        </w:tc>
        <w:tc>
          <w:tcPr>
            <w:tcW w:w="1702" w:type="dxa"/>
          </w:tcPr>
          <w:p w14:paraId="399C7880" w14:textId="77777777" w:rsidR="00D52A47" w:rsidRDefault="00D52A47" w:rsidP="00356EB3">
            <w:pPr>
              <w:keepNext/>
              <w:spacing w:line="480" w:lineRule="auto"/>
              <w:jc w:val="center"/>
            </w:pPr>
            <w:r>
              <w:t>Probability of a f</w:t>
            </w:r>
            <w:r w:rsidRPr="00FA1B46">
              <w:t>racture to patella, tibia, fibula, ankle</w:t>
            </w:r>
          </w:p>
        </w:tc>
        <w:tc>
          <w:tcPr>
            <w:tcW w:w="2587" w:type="dxa"/>
            <w:gridSpan w:val="2"/>
            <w:vAlign w:val="bottom"/>
          </w:tcPr>
          <w:p w14:paraId="42C78F41" w14:textId="77777777" w:rsidR="00D52A47" w:rsidRPr="007B7749" w:rsidRDefault="00D52A47" w:rsidP="00356EB3">
            <w:pPr>
              <w:keepNext/>
              <w:spacing w:line="480" w:lineRule="auto"/>
              <w:jc w:val="center"/>
            </w:pPr>
            <w:r>
              <w:rPr>
                <w:rFonts w:ascii="Calibri" w:hAnsi="Calibri" w:cs="Calibri"/>
                <w:color w:val="000000"/>
              </w:rPr>
              <w:t>0.354164215</w:t>
            </w:r>
          </w:p>
        </w:tc>
        <w:tc>
          <w:tcPr>
            <w:tcW w:w="1472" w:type="dxa"/>
          </w:tcPr>
          <w:p w14:paraId="7CCF98C3" w14:textId="77777777" w:rsidR="00D52A47" w:rsidRDefault="00D52A47" w:rsidP="00356EB3">
            <w:pPr>
              <w:keepNext/>
              <w:spacing w:line="480" w:lineRule="auto"/>
              <w:jc w:val="center"/>
            </w:pPr>
            <w:r>
              <w:fldChar w:fldCharType="begin" w:fldLock="1"/>
            </w:r>
            <w:r>
              <w:instrText>ADDIN CSL_CITATION {"citationItems":[{"id":"ITEM-1","itemData":{"ISSN":"15710661","abstract":"The cost of deploying a ubiquitous system to enhance a physical environment is likely to be considerable. The success of its deployment is highly dependent on its context: the physical environment and the activities that are to be carried out within it. This paper provides an initial exploration of whether stochastic process algebras (in particular PEPA with a Fluid Flow semantics) might be used to explore consequences before deployment. The focus of the exploration is to aid understanding of how a proposed system supports users within the environment. The challenge is to provide notations and techniques that will enable the analysis of potentially complex systems.","author":[{"dropping-particle":"","family":"Global Health Data","given":"","non-dropping-particle":"","parse-names":false,"suffix":""}],"container-title":"Institue for Health Metrics and Evaluation","id":"ITEM-1","issued":{"date-parts":[["2017"]]},"title":"GBD Results Tool | GHDx","type":"article-journal"},"uris":["http://www.mendeley.com/documents/?uuid=332eefb7-f956-486f-a7e0-95858fee8e38"]}],"mendeley":{"formattedCitation":"(Global Health Data 2017)","plainTextFormattedCitation":"(Global Health Data 2017)","previouslyFormattedCitation":"(Global Health Data 2017)"},"properties":{"noteIndex":0},"schema":"https://github.com/citation-style-language/schema/raw/master/csl-citation.json"}</w:instrText>
            </w:r>
            <w:r>
              <w:fldChar w:fldCharType="separate"/>
            </w:r>
            <w:r w:rsidRPr="00BB6083">
              <w:rPr>
                <w:noProof/>
              </w:rPr>
              <w:t>(Global Health Data 2017)</w:t>
            </w:r>
            <w:r>
              <w:fldChar w:fldCharType="end"/>
            </w:r>
          </w:p>
        </w:tc>
      </w:tr>
      <w:tr w:rsidR="00D52A47" w14:paraId="35F8E251" w14:textId="77777777" w:rsidTr="00356EB3">
        <w:tc>
          <w:tcPr>
            <w:tcW w:w="3255" w:type="dxa"/>
            <w:vAlign w:val="bottom"/>
          </w:tcPr>
          <w:p w14:paraId="6514E724" w14:textId="77777777" w:rsidR="00D52A47" w:rsidRPr="007B7749" w:rsidRDefault="00D52A47" w:rsidP="00356EB3">
            <w:pPr>
              <w:keepNext/>
              <w:spacing w:line="480" w:lineRule="auto"/>
              <w:jc w:val="center"/>
            </w:pPr>
            <w:r>
              <w:rPr>
                <w:rFonts w:ascii="Calibri" w:hAnsi="Calibri" w:cs="Calibri"/>
                <w:color w:val="000000"/>
              </w:rPr>
              <w:lastRenderedPageBreak/>
              <w:t>lower_ex_prob_813eo</w:t>
            </w:r>
          </w:p>
        </w:tc>
        <w:tc>
          <w:tcPr>
            <w:tcW w:w="1702" w:type="dxa"/>
          </w:tcPr>
          <w:p w14:paraId="6DF44676" w14:textId="77777777" w:rsidR="00D52A47" w:rsidRDefault="00D52A47" w:rsidP="00356EB3">
            <w:pPr>
              <w:keepNext/>
              <w:spacing w:line="480" w:lineRule="auto"/>
              <w:jc w:val="center"/>
            </w:pPr>
            <w:r>
              <w:t>Probability of an open f</w:t>
            </w:r>
            <w:r w:rsidRPr="00FA1B46">
              <w:t>racture to patella, tibia, fibula, ankle</w:t>
            </w:r>
          </w:p>
        </w:tc>
        <w:tc>
          <w:tcPr>
            <w:tcW w:w="2587" w:type="dxa"/>
            <w:gridSpan w:val="2"/>
            <w:vAlign w:val="bottom"/>
          </w:tcPr>
          <w:p w14:paraId="4F401CC5" w14:textId="77777777" w:rsidR="00D52A47" w:rsidRPr="007B7749" w:rsidRDefault="00D52A47" w:rsidP="00356EB3">
            <w:pPr>
              <w:keepNext/>
              <w:spacing w:line="480" w:lineRule="auto"/>
              <w:jc w:val="center"/>
            </w:pPr>
            <w:r>
              <w:rPr>
                <w:rFonts w:ascii="Calibri" w:hAnsi="Calibri" w:cs="Calibri"/>
                <w:color w:val="000000"/>
              </w:rPr>
              <w:t>0.199217371</w:t>
            </w:r>
          </w:p>
        </w:tc>
        <w:tc>
          <w:tcPr>
            <w:tcW w:w="1472" w:type="dxa"/>
          </w:tcPr>
          <w:p w14:paraId="699C8DCD" w14:textId="77777777" w:rsidR="00D52A47" w:rsidRDefault="00D52A47" w:rsidP="00356EB3">
            <w:pPr>
              <w:keepNext/>
              <w:spacing w:line="480" w:lineRule="auto"/>
              <w:jc w:val="center"/>
            </w:pPr>
            <w:r>
              <w:fldChar w:fldCharType="begin" w:fldLock="1"/>
            </w:r>
            <w:r>
              <w:instrText>ADDIN CSL_CITATION {"citationItems":[{"id":"ITEM-1","itemData":{"ISSN":"15710661","abstract":"The cost of deploying a ubiquitous system to enhance a physical environment is likely to be considerable. The success of its deployment is highly dependent on its context: the physical environment and the activities that are to be carried out within it. This paper provides an initial exploration of whether stochastic process algebras (in particular PEPA with a Fluid Flow semantics) might be used to explore consequences before deployment. The focus of the exploration is to aid understanding of how a proposed system supports users within the environment. The challenge is to provide notations and techniques that will enable the analysis of potentially complex systems.","author":[{"dropping-particle":"","family":"Global Health Data","given":"","non-dropping-particle":"","parse-names":false,"suffix":""}],"container-title":"Institue for Health Metrics and Evaluation","id":"ITEM-1","issued":{"date-parts":[["2017"]]},"title":"GBD Results Tool | GHDx","type":"article-journal"},"uris":["http://www.mendeley.com/documents/?uuid=332eefb7-f956-486f-a7e0-95858fee8e38"]},{"id":"ITEM-2","itemData":{"DOI":"10.1016/j.injury.2011.12.007","ISSN":"00201383","PMID":"22204774","abstract":"There is little information available about the epidemiology of open fractures. We examined 2386 open fractures over a 15-year period analysing the incidence and severity of the fractures. The majority of open fractures are low energy injuries with only 22.3% of open fractures being caused by road traffic accidents or falls from a height. The distribution curves of many open fractures are different to the overall fracture distribution curves with high-energy open fractures being commoner in younger males and low energy open fractures in older females. The mode of injury and the different demographic characteristics between isolated and multiple open fractures are also discussed. © 2011 Elsevier Ltd. All rights reserved.","author":[{"dropping-particle":"","family":"Court-Brown","given":"Charles M.","non-dropping-particle":"","parse-names":false,"suffix":""},{"dropping-particle":"","family":"Bugler","given":"Kate E.","non-dropping-particle":"","parse-names":false,"suffix":""},{"dropping-particle":"","family":"Clement","given":"Nicholas D.","non-dropping-particle":"","parse-names":false,"suffix":""},{"dropping-particle":"","family":"Duckworth","given":"Andrew D.","non-dropping-particle":"","parse-names":false,"suffix":""},{"dropping-particle":"","family":"McQueen","given":"Margaret M.","non-dropping-particle":"","parse-names":false,"suffix":""}],"container-title":"Injury","id":"ITEM-2","issued":{"date-parts":[["2012"]]},"title":"The epidemiology of open fractures in adults. A 15-year review","type":"article-journal"},"uris":["http://www.mendeley.com/documents/?uuid=82d9e688-83d3-4071-ae78-2845c3ca8d8e"]},{"id":"ITEM-3","itemData":{"DOI":"10.1016/j.ijsu.2017.01.047","ISSN":"17439159","PMID":"28110030","abstract":"Introduction A lower extremity injury can be a devastating event in low-income countries due to limited access to surgical care. Its incidence, treatment patterns, and outcomes, however, have not been well-described. Methods We prospectively enrolled all patients admitted with lower extremity trauma to a tertiary hospital in Lilongwe, Malawi between October 2010 and September 2011. Patients with a lower extremity injury but primarily admitted for unrelated reasons were excluded. The outcomes were deaths, complications, and length of hospital stay. Results Of the 905 patients eligible for analysis, 696 (77%) were males. Most patients had femur fractures (46%), and most were treated non-operatively (70%). Overall mortality rate was 3.9%. For adult patients with femur fractures, mortality was higher in patients treated with traction (9.0%) than for those treated with surgery (1.3%). The total complication rate was 15%, with adjusted odds of developing a complication higher in patients with concurrent head injury (OR = 2.8; 95% CI: 1.3–6.0), and patients who had an operative treatment (OR = 2; 95% CI: 1.2–1.9). The median length of stay was 16 days (IQR: 6–27) and was greatest among patients with femur fractures. Conclusion Lower extremity injuries resulted in substantial mortality and morbidity in this low-income country. Mortality was particularly high among patients with femur fractures who did not have surgery. Modern orthopedic trauma surgery is greatly needed in low-income countries.","author":[{"dropping-particle":"","family":"Chagomerana","given":"Maganizo B.","non-dropping-particle":"","parse-names":false,"suffix":""},{"dropping-particle":"","family":"Tomlinson","given":"Jared","non-dropping-particle":"","parse-names":false,"suffix":""},{"dropping-particle":"","family":"Young","given":"Sven","non-dropping-particle":"","parse-names":false,"suffix":""},{"dropping-particle":"","family":"Hosseinipour","given":"Mina C.","non-dropping-particle":"","parse-names":false,"suffix":""},{"dropping-particle":"","family":"Banza","given":"Leonard","non-dropping-particle":"","parse-names":false,"suffix":""},{"dropping-particle":"","family":"Lee","given":"Clara N.","non-dropping-particle":"","parse-names":false,"suffix":""}],"container-title":"International Journal of Surgery","id":"ITEM-3","issued":{"date-parts":[["2017","3","1"]]},"page":"23-29","publisher":"Elsevier Ltd","title":"High morbidity and mortality after lower extremity injuries in Malawi: A prospective cohort study of 905 patients","type":"article-journal","volume":"39"},"uris":["http://www.mendeley.com/documents/?uuid=55d3c196-2dcc-3c44-a62b-cde7c636f1e1"]}],"mendeley":{"formattedCitation":"(Global Health Data 2017; Court-Brown et al. 2012; Chagomerana et al. 2017)","plainTextFormattedCitation":"(Global Health Data 2017; Court-Brown et al. 2012; Chagomerana et al. 2017)","previouslyFormattedCitation":"(Global Health Data 2017; Court-Brown et al. 2012; Chagomerana et al. 2017)"},"properties":{"noteIndex":0},"schema":"https://github.com/citation-style-language/schema/raw/master/csl-citation.json"}</w:instrText>
            </w:r>
            <w:r>
              <w:fldChar w:fldCharType="separate"/>
            </w:r>
            <w:r w:rsidRPr="00FA1B46">
              <w:rPr>
                <w:noProof/>
              </w:rPr>
              <w:t>(Global Health Data 2017; Court-Brown et al. 2012; Chagomerana et al. 2017)</w:t>
            </w:r>
            <w:r>
              <w:fldChar w:fldCharType="end"/>
            </w:r>
          </w:p>
        </w:tc>
      </w:tr>
      <w:tr w:rsidR="00D52A47" w14:paraId="5D012A58" w14:textId="77777777" w:rsidTr="00356EB3">
        <w:tc>
          <w:tcPr>
            <w:tcW w:w="3255" w:type="dxa"/>
            <w:vAlign w:val="bottom"/>
          </w:tcPr>
          <w:p w14:paraId="280F0608" w14:textId="77777777" w:rsidR="00D52A47" w:rsidRPr="007B7749" w:rsidRDefault="00D52A47" w:rsidP="00356EB3">
            <w:pPr>
              <w:keepNext/>
              <w:spacing w:line="480" w:lineRule="auto"/>
              <w:jc w:val="center"/>
            </w:pPr>
            <w:r>
              <w:rPr>
                <w:rFonts w:ascii="Calibri" w:hAnsi="Calibri" w:cs="Calibri"/>
                <w:color w:val="000000"/>
              </w:rPr>
              <w:t>lower_ex_prob_813a</w:t>
            </w:r>
          </w:p>
        </w:tc>
        <w:tc>
          <w:tcPr>
            <w:tcW w:w="1702" w:type="dxa"/>
          </w:tcPr>
          <w:p w14:paraId="63673B1E" w14:textId="77777777" w:rsidR="00D52A47" w:rsidRDefault="00D52A47" w:rsidP="00356EB3">
            <w:pPr>
              <w:keepNext/>
              <w:spacing w:line="480" w:lineRule="auto"/>
              <w:jc w:val="center"/>
            </w:pPr>
            <w:r>
              <w:t>Probability of a hip fracture</w:t>
            </w:r>
          </w:p>
        </w:tc>
        <w:tc>
          <w:tcPr>
            <w:tcW w:w="2587" w:type="dxa"/>
            <w:gridSpan w:val="2"/>
            <w:vAlign w:val="bottom"/>
          </w:tcPr>
          <w:p w14:paraId="0A53E26A" w14:textId="77777777" w:rsidR="00D52A47" w:rsidRPr="007B7749" w:rsidRDefault="00D52A47" w:rsidP="00356EB3">
            <w:pPr>
              <w:keepNext/>
              <w:spacing w:line="480" w:lineRule="auto"/>
              <w:jc w:val="center"/>
            </w:pPr>
            <w:r>
              <w:rPr>
                <w:rFonts w:ascii="Calibri" w:hAnsi="Calibri" w:cs="Calibri"/>
                <w:color w:val="000000"/>
              </w:rPr>
              <w:t>0.029513685</w:t>
            </w:r>
          </w:p>
        </w:tc>
        <w:tc>
          <w:tcPr>
            <w:tcW w:w="1472" w:type="dxa"/>
          </w:tcPr>
          <w:p w14:paraId="4F21C14B" w14:textId="77777777" w:rsidR="00D52A47" w:rsidRDefault="00D52A47" w:rsidP="00356EB3">
            <w:pPr>
              <w:keepNext/>
              <w:spacing w:line="480" w:lineRule="auto"/>
              <w:jc w:val="center"/>
            </w:pPr>
            <w:r>
              <w:fldChar w:fldCharType="begin" w:fldLock="1"/>
            </w:r>
            <w:r>
              <w:instrText>ADDIN CSL_CITATION {"citationItems":[{"id":"ITEM-1","itemData":{"ISSN":"15710661","abstract":"The cost of deploying a ubiquitous system to enhance a physical environment is likely to be considerable. The success of its deployment is highly dependent on its context: the physical environment and the activities that are to be carried out within it. This paper provides an initial exploration of whether stochastic process algebras (in particular PEPA with a Fluid Flow semantics) might be used to explore consequences before deployment. The focus of the exploration is to aid understanding of how a proposed system supports users within the environment. The challenge is to provide notations and techniques that will enable the analysis of potentially complex systems.","author":[{"dropping-particle":"","family":"Global Health Data","given":"","non-dropping-particle":"","parse-names":false,"suffix":""}],"container-title":"Institue for Health Metrics and Evaluation","id":"ITEM-1","issued":{"date-parts":[["2017"]]},"title":"GBD Results Tool | GHDx","type":"article-journal"},"uris":["http://www.mendeley.com/documents/?uuid=332eefb7-f956-486f-a7e0-95858fee8e38"]}],"mendeley":{"formattedCitation":"(Global Health Data 2017)","plainTextFormattedCitation":"(Global Health Data 2017)","previouslyFormattedCitation":"(Global Health Data 2017)"},"properties":{"noteIndex":0},"schema":"https://github.com/citation-style-language/schema/raw/master/csl-citation.json"}</w:instrText>
            </w:r>
            <w:r>
              <w:fldChar w:fldCharType="separate"/>
            </w:r>
            <w:r w:rsidRPr="00BB6083">
              <w:rPr>
                <w:noProof/>
              </w:rPr>
              <w:t>(Global Health Data 2017)</w:t>
            </w:r>
            <w:r>
              <w:fldChar w:fldCharType="end"/>
            </w:r>
          </w:p>
        </w:tc>
      </w:tr>
      <w:tr w:rsidR="00D52A47" w14:paraId="12BF5B8A" w14:textId="77777777" w:rsidTr="00356EB3">
        <w:tc>
          <w:tcPr>
            <w:tcW w:w="3255" w:type="dxa"/>
            <w:vAlign w:val="bottom"/>
          </w:tcPr>
          <w:p w14:paraId="10C2527B" w14:textId="77777777" w:rsidR="00D52A47" w:rsidRPr="007B7749" w:rsidRDefault="00D52A47" w:rsidP="00356EB3">
            <w:pPr>
              <w:keepNext/>
              <w:spacing w:line="480" w:lineRule="auto"/>
              <w:jc w:val="center"/>
            </w:pPr>
            <w:r>
              <w:rPr>
                <w:rFonts w:ascii="Calibri" w:hAnsi="Calibri" w:cs="Calibri"/>
                <w:color w:val="000000"/>
              </w:rPr>
              <w:t>lower_ex_prob_813b</w:t>
            </w:r>
          </w:p>
        </w:tc>
        <w:tc>
          <w:tcPr>
            <w:tcW w:w="1702" w:type="dxa"/>
          </w:tcPr>
          <w:p w14:paraId="09E2EA5D" w14:textId="77777777" w:rsidR="00D52A47" w:rsidRDefault="00D52A47" w:rsidP="00356EB3">
            <w:pPr>
              <w:keepNext/>
              <w:spacing w:line="480" w:lineRule="auto"/>
              <w:jc w:val="center"/>
            </w:pPr>
            <w:r>
              <w:t>Probability of a pelvis fracture</w:t>
            </w:r>
          </w:p>
        </w:tc>
        <w:tc>
          <w:tcPr>
            <w:tcW w:w="2587" w:type="dxa"/>
            <w:gridSpan w:val="2"/>
            <w:vAlign w:val="bottom"/>
          </w:tcPr>
          <w:p w14:paraId="6145B5AB" w14:textId="77777777" w:rsidR="00D52A47" w:rsidRPr="007B7749" w:rsidRDefault="00D52A47" w:rsidP="00356EB3">
            <w:pPr>
              <w:keepNext/>
              <w:spacing w:line="480" w:lineRule="auto"/>
              <w:jc w:val="center"/>
            </w:pPr>
            <w:r>
              <w:rPr>
                <w:rFonts w:ascii="Calibri" w:hAnsi="Calibri" w:cs="Calibri"/>
                <w:color w:val="000000"/>
              </w:rPr>
              <w:t>0.023610948</w:t>
            </w:r>
          </w:p>
        </w:tc>
        <w:tc>
          <w:tcPr>
            <w:tcW w:w="1472" w:type="dxa"/>
          </w:tcPr>
          <w:p w14:paraId="4A5750B0" w14:textId="77777777" w:rsidR="00D52A47" w:rsidRDefault="00D52A47" w:rsidP="00356EB3">
            <w:pPr>
              <w:keepNext/>
              <w:spacing w:line="480" w:lineRule="auto"/>
              <w:jc w:val="center"/>
            </w:pPr>
            <w:r>
              <w:fldChar w:fldCharType="begin" w:fldLock="1"/>
            </w:r>
            <w:r>
              <w:instrText>ADDIN CSL_CITATION {"citationItems":[{"id":"ITEM-1","itemData":{"ISSN":"15710661","abstract":"The cost of deploying a ubiquitous system to enhance a physical environment is likely to be considerable. The success of its deployment is highly dependent on its context: the physical environment and the activities that are to be carried out within it. This paper provides an initial exploration of whether stochastic process algebras (in particular PEPA with a Fluid Flow semantics) might be used to explore consequences before deployment. The focus of the exploration is to aid understanding of how a proposed system supports users within the environment. The challenge is to provide notations and techniques that will enable the analysis of potentially complex systems.","author":[{"dropping-particle":"","family":"Global Health Data","given":"","non-dropping-particle":"","parse-names":false,"suffix":""}],"container-title":"Institue for Health Metrics and Evaluation","id":"ITEM-1","issued":{"date-parts":[["2017"]]},"title":"GBD Results Tool | GHDx","type":"article-journal"},"uris":["http://www.mendeley.com/documents/?uuid=332eefb7-f956-486f-a7e0-95858fee8e38"]}],"mendeley":{"formattedCitation":"(Global Health Data 2017)","plainTextFormattedCitation":"(Global Health Data 2017)","previouslyFormattedCitation":"(Global Health Data 2017)"},"properties":{"noteIndex":0},"schema":"https://github.com/citation-style-language/schema/raw/master/csl-citation.json"}</w:instrText>
            </w:r>
            <w:r>
              <w:fldChar w:fldCharType="separate"/>
            </w:r>
            <w:r w:rsidRPr="00BB6083">
              <w:rPr>
                <w:noProof/>
              </w:rPr>
              <w:t>(Global Health Data 2017)</w:t>
            </w:r>
            <w:r>
              <w:fldChar w:fldCharType="end"/>
            </w:r>
          </w:p>
        </w:tc>
      </w:tr>
      <w:tr w:rsidR="00D52A47" w14:paraId="658F570F" w14:textId="77777777" w:rsidTr="00356EB3">
        <w:tc>
          <w:tcPr>
            <w:tcW w:w="3255" w:type="dxa"/>
            <w:vAlign w:val="bottom"/>
          </w:tcPr>
          <w:p w14:paraId="52276A50" w14:textId="77777777" w:rsidR="00D52A47" w:rsidRPr="007B7749" w:rsidRDefault="00D52A47" w:rsidP="00356EB3">
            <w:pPr>
              <w:keepNext/>
              <w:spacing w:line="480" w:lineRule="auto"/>
              <w:jc w:val="center"/>
            </w:pPr>
            <w:r>
              <w:rPr>
                <w:rFonts w:ascii="Calibri" w:hAnsi="Calibri" w:cs="Calibri"/>
                <w:color w:val="000000"/>
              </w:rPr>
              <w:t>lower_ex_prob_813bo</w:t>
            </w:r>
          </w:p>
        </w:tc>
        <w:tc>
          <w:tcPr>
            <w:tcW w:w="1702" w:type="dxa"/>
          </w:tcPr>
          <w:p w14:paraId="4D266D35" w14:textId="77777777" w:rsidR="00D52A47" w:rsidRDefault="00D52A47" w:rsidP="00356EB3">
            <w:pPr>
              <w:keepNext/>
              <w:spacing w:line="480" w:lineRule="auto"/>
              <w:jc w:val="center"/>
            </w:pPr>
            <w:r>
              <w:t>Probability of an open pelvis fracture</w:t>
            </w:r>
          </w:p>
        </w:tc>
        <w:tc>
          <w:tcPr>
            <w:tcW w:w="2587" w:type="dxa"/>
            <w:gridSpan w:val="2"/>
            <w:vAlign w:val="bottom"/>
          </w:tcPr>
          <w:p w14:paraId="5638648B" w14:textId="77777777" w:rsidR="00D52A47" w:rsidRPr="007B7749" w:rsidRDefault="00D52A47" w:rsidP="00356EB3">
            <w:pPr>
              <w:keepNext/>
              <w:spacing w:line="480" w:lineRule="auto"/>
              <w:jc w:val="center"/>
            </w:pPr>
            <w:r>
              <w:rPr>
                <w:rFonts w:ascii="Calibri" w:hAnsi="Calibri" w:cs="Calibri"/>
                <w:color w:val="000000"/>
              </w:rPr>
              <w:t>0.005902737</w:t>
            </w:r>
          </w:p>
        </w:tc>
        <w:tc>
          <w:tcPr>
            <w:tcW w:w="1472" w:type="dxa"/>
          </w:tcPr>
          <w:p w14:paraId="4C75FD9D" w14:textId="77777777" w:rsidR="00D52A47" w:rsidRDefault="00D52A47" w:rsidP="00356EB3">
            <w:pPr>
              <w:keepNext/>
              <w:spacing w:line="480" w:lineRule="auto"/>
              <w:jc w:val="center"/>
            </w:pPr>
            <w:r>
              <w:fldChar w:fldCharType="begin" w:fldLock="1"/>
            </w:r>
            <w:r>
              <w:instrText>ADDIN CSL_CITATION {"citationItems":[{"id":"ITEM-1","itemData":{"ISSN":"15710661","abstract":"The cost of deploying a ubiquitous system to enhance a physical environment is likely to be considerable. The success of its deployment is highly dependent on its context: the physical environment and the activities that are to be carried out within it. This paper provides an initial exploration of whether stochastic process algebras (in particular PEPA with a Fluid Flow semantics) might be used to explore consequences before deployment. The focus of the exploration is to aid understanding of how a proposed system supports users within the environment. The challenge is to provide notations and techniques that will enable the analysis of potentially complex systems.","author":[{"dropping-particle":"","family":"Global Health Data","given":"","non-dropping-particle":"","parse-names":false,"suffix":""}],"container-title":"Institue for Health Metrics and Evaluation","id":"ITEM-1","issued":{"date-parts":[["2017"]]},"title":"GBD Results Tool | GHDx","type":"article-journal"},"uris":["http://www.mendeley.com/documents/?uuid=332eefb7-f956-486f-a7e0-95858fee8e38"]},{"id":"ITEM-2","itemData":{"DOI":"10.1016/j.injury.2011.12.007","ISSN":"00201383","PMID":"22204774","abstract":"There is little information available about the epidemiology of open fractures. We examined 2386 open fractures over a 15-year period analysing the incidence and severity of the fractures. The majority of open fractures are low energy injuries with only 22.3% of open fractures being caused by road traffic accidents or falls from a height. The distribution curves of many open fractures are different to the overall fracture distribution curves with high-energy open fractures being commoner in younger males and low energy open fractures in older females. The mode of injury and the different demographic characteristics between isolated and multiple open fractures are also discussed. © 2011 Elsevier Ltd. All rights reserved.","author":[{"dropping-particle":"","family":"Court-Brown","given":"Charles M.","non-dropping-particle":"","parse-names":false,"suffix":""},{"dropping-particle":"","family":"Bugler","given":"Kate E.","non-dropping-particle":"","parse-names":false,"suffix":""},{"dropping-particle":"","family":"Clement","given":"Nicholas D.","non-dropping-particle":"","parse-names":false,"suffix":""},{"dropping-particle":"","family":"Duckworth","given":"Andrew D.","non-dropping-particle":"","parse-names":false,"suffix":""},{"dropping-particle":"","family":"McQueen","given":"Margaret M.","non-dropping-particle":"","parse-names":false,"suffix":""}],"container-title":"Injury","id":"ITEM-2","issued":{"date-parts":[["2012"]]},"title":"The epidemiology of open fractures in adults. A 15-year review","type":"article-journal"},"uris":["http://www.mendeley.com/documents/?uuid=82d9e688-83d3-4071-ae78-2845c3ca8d8e"]},{"id":"ITEM-3","itemData":{"DOI":"10.1016/j.ijsu.2017.01.047","ISSN":"17439159","PMID":"28110030","abstract":"Introduction A lower extremity injury can be a devastating event in low-income countries due to limited access to surgical care. Its incidence, treatment patterns, and outcomes, however, have not been well-described. Methods We prospectively enrolled all patients admitted with lower extremity trauma to a tertiary hospital in Lilongwe, Malawi between October 2010 and September 2011. Patients with a lower extremity injury but primarily admitted for unrelated reasons were excluded. The outcomes were deaths, complications, and length of hospital stay. Results Of the 905 patients eligible for analysis, 696 (77%) were males. Most patients had femur fractures (46%), and most were treated non-operatively (70%). Overall mortality rate was 3.9%. For adult patients with femur fractures, mortality was higher in patients treated with traction (9.0%) than for those treated with surgery (1.3%). The total complication rate was 15%, with adjusted odds of developing a complication higher in patients with concurrent head injury (OR = 2.8; 95% CI: 1.3–6.0), and patients who had an operative treatment (OR = 2; 95% CI: 1.2–1.9). The median length of stay was 16 days (IQR: 6–27) and was greatest among patients with femur fractures. Conclusion Lower extremity injuries resulted in substantial mortality and morbidity in this low-income country. Mortality was particularly high among patients with femur fractures who did not have surgery. Modern orthopedic trauma surgery is greatly needed in low-income countries.","author":[{"dropping-particle":"","family":"Chagomerana","given":"Maganizo B.","non-dropping-particle":"","parse-names":false,"suffix":""},{"dropping-particle":"","family":"Tomlinson","given":"Jared","non-dropping-particle":"","parse-names":false,"suffix":""},{"dropping-particle":"","family":"Young","given":"Sven","non-dropping-particle":"","parse-names":false,"suffix":""},{"dropping-particle":"","family":"Hosseinipour","given":"Mina C.","non-dropping-particle":"","parse-names":false,"suffix":""},{"dropping-particle":"","family":"Banza","given":"Leonard","non-dropping-particle":"","parse-names":false,"suffix":""},{"dropping-particle":"","family":"Lee","given":"Clara N.","non-dropping-particle":"","parse-names":false,"suffix":""}],"container-title":"International Journal of Surgery","id":"ITEM-3","issued":{"date-parts":[["2017","3","1"]]},"page":"23-29","publisher":"Elsevier Ltd","title":"High morbidity and mortality after lower extremity injuries in Malawi: A prospective cohort study of 905 patients","type":"article-journal","volume":"39"},"uris":["http://www.mendeley.com/documents/?uuid=55d3c196-2dcc-3c44-a62b-cde7c636f1e1"]}],"mendeley":{"formattedCitation":"(Global Health Data 2017; Court-Brown et al. 2012; Chagomerana et al. 2017)","plainTextFormattedCitation":"(Global Health Data 2017; Court-Brown et al. 2012; Chagomerana et al. 2017)","previouslyFormattedCitation":"(Global Health Data 2017; Court-Brown et al. 2012; Chagomerana et al. 2017)"},"properties":{"noteIndex":0},"schema":"https://github.com/citation-style-language/schema/raw/master/csl-citation.json"}</w:instrText>
            </w:r>
            <w:r>
              <w:fldChar w:fldCharType="separate"/>
            </w:r>
            <w:r w:rsidRPr="00FA1B46">
              <w:rPr>
                <w:noProof/>
              </w:rPr>
              <w:t>(Global Health Data 2017; Court-Brown et al. 2012; Chagomerana et al. 2017)</w:t>
            </w:r>
            <w:r>
              <w:fldChar w:fldCharType="end"/>
            </w:r>
          </w:p>
        </w:tc>
      </w:tr>
      <w:tr w:rsidR="00D52A47" w14:paraId="79D1D8FC" w14:textId="77777777" w:rsidTr="00356EB3">
        <w:tc>
          <w:tcPr>
            <w:tcW w:w="3255" w:type="dxa"/>
            <w:vAlign w:val="bottom"/>
          </w:tcPr>
          <w:p w14:paraId="470BD149" w14:textId="77777777" w:rsidR="00D52A47" w:rsidRPr="007B7749" w:rsidRDefault="00D52A47" w:rsidP="00356EB3">
            <w:pPr>
              <w:keepNext/>
              <w:spacing w:line="480" w:lineRule="auto"/>
              <w:jc w:val="center"/>
            </w:pPr>
            <w:r>
              <w:rPr>
                <w:rFonts w:ascii="Calibri" w:hAnsi="Calibri" w:cs="Calibri"/>
                <w:color w:val="000000"/>
              </w:rPr>
              <w:t>lower_ex_prob_813c</w:t>
            </w:r>
          </w:p>
        </w:tc>
        <w:tc>
          <w:tcPr>
            <w:tcW w:w="1702" w:type="dxa"/>
          </w:tcPr>
          <w:p w14:paraId="2B68BA82" w14:textId="77777777" w:rsidR="00D52A47" w:rsidRDefault="00D52A47" w:rsidP="00356EB3">
            <w:pPr>
              <w:keepNext/>
              <w:spacing w:line="480" w:lineRule="auto"/>
              <w:jc w:val="center"/>
            </w:pPr>
            <w:r>
              <w:t>Probability of a femur fracture</w:t>
            </w:r>
          </w:p>
        </w:tc>
        <w:tc>
          <w:tcPr>
            <w:tcW w:w="2587" w:type="dxa"/>
            <w:gridSpan w:val="2"/>
            <w:vAlign w:val="bottom"/>
          </w:tcPr>
          <w:p w14:paraId="6BC7D0A9" w14:textId="77777777" w:rsidR="00D52A47" w:rsidRPr="007B7749" w:rsidRDefault="00D52A47" w:rsidP="00356EB3">
            <w:pPr>
              <w:keepNext/>
              <w:spacing w:line="480" w:lineRule="auto"/>
              <w:jc w:val="center"/>
            </w:pPr>
            <w:r>
              <w:rPr>
                <w:rFonts w:ascii="Calibri" w:hAnsi="Calibri" w:cs="Calibri"/>
                <w:color w:val="000000"/>
              </w:rPr>
              <w:t>0.076765094</w:t>
            </w:r>
          </w:p>
        </w:tc>
        <w:tc>
          <w:tcPr>
            <w:tcW w:w="1472" w:type="dxa"/>
          </w:tcPr>
          <w:p w14:paraId="6B9CCF84" w14:textId="77777777" w:rsidR="00D52A47" w:rsidRDefault="00D52A47" w:rsidP="00356EB3">
            <w:pPr>
              <w:keepNext/>
              <w:spacing w:line="480" w:lineRule="auto"/>
              <w:jc w:val="center"/>
            </w:pPr>
            <w:r>
              <w:fldChar w:fldCharType="begin" w:fldLock="1"/>
            </w:r>
            <w:r>
              <w:instrText>ADDIN CSL_CITATION {"citationItems":[{"id":"ITEM-1","itemData":{"ISSN":"15710661","abstract":"The cost of deploying a ubiquitous system to enhance a physical environment is likely to be considerable. The success of its deployment is highly dependent on its context: the physical environment and the activities that are to be carried out within it. This paper provides an initial exploration of whether stochastic process algebras (in particular PEPA with a Fluid Flow semantics) might be used to explore consequences before deployment. The focus of the exploration is to aid understanding of how a proposed system supports users within the environment. The challenge is to provide notations and techniques that will enable the analysis of potentially complex systems.","author":[{"dropping-particle":"","family":"Global Health Data","given":"","non-dropping-particle":"","parse-names":false,"suffix":""}],"container-title":"Institue for Health Metrics and Evaluation","id":"ITEM-1","issued":{"date-parts":[["2017"]]},"title":"GBD Results Tool | GHDx","type":"article-journal"},"uris":["http://www.mendeley.com/documents/?uuid=332eefb7-f956-486f-a7e0-95858fee8e38"]}],"mendeley":{"formattedCitation":"(Global Health Data 2017)","plainTextFormattedCitation":"(Global Health Data 2017)","previouslyFormattedCitation":"(Global Health Data 2017)"},"properties":{"noteIndex":0},"schema":"https://github.com/citation-style-language/schema/raw/master/csl-citation.json"}</w:instrText>
            </w:r>
            <w:r>
              <w:fldChar w:fldCharType="separate"/>
            </w:r>
            <w:r w:rsidRPr="00BB6083">
              <w:rPr>
                <w:noProof/>
              </w:rPr>
              <w:t>(Global Health Data 2017)</w:t>
            </w:r>
            <w:r>
              <w:fldChar w:fldCharType="end"/>
            </w:r>
          </w:p>
        </w:tc>
      </w:tr>
      <w:tr w:rsidR="00D52A47" w14:paraId="4D9B4B91" w14:textId="77777777" w:rsidTr="00356EB3">
        <w:tc>
          <w:tcPr>
            <w:tcW w:w="3255" w:type="dxa"/>
            <w:vAlign w:val="bottom"/>
          </w:tcPr>
          <w:p w14:paraId="027E3A41" w14:textId="77777777" w:rsidR="00D52A47" w:rsidRPr="007B7749" w:rsidRDefault="00D52A47" w:rsidP="00356EB3">
            <w:pPr>
              <w:keepNext/>
              <w:spacing w:line="480" w:lineRule="auto"/>
              <w:jc w:val="center"/>
            </w:pPr>
            <w:r>
              <w:rPr>
                <w:rFonts w:ascii="Calibri" w:hAnsi="Calibri" w:cs="Calibri"/>
                <w:color w:val="000000"/>
              </w:rPr>
              <w:t>lower_ex_prob_813co</w:t>
            </w:r>
          </w:p>
        </w:tc>
        <w:tc>
          <w:tcPr>
            <w:tcW w:w="1702" w:type="dxa"/>
          </w:tcPr>
          <w:p w14:paraId="3F8D8915" w14:textId="77777777" w:rsidR="00D52A47" w:rsidRDefault="00D52A47" w:rsidP="00356EB3">
            <w:pPr>
              <w:keepNext/>
              <w:spacing w:line="480" w:lineRule="auto"/>
              <w:jc w:val="center"/>
            </w:pPr>
            <w:r>
              <w:t>Probability of an open femur fracture</w:t>
            </w:r>
          </w:p>
        </w:tc>
        <w:tc>
          <w:tcPr>
            <w:tcW w:w="2587" w:type="dxa"/>
            <w:gridSpan w:val="2"/>
            <w:vAlign w:val="bottom"/>
          </w:tcPr>
          <w:p w14:paraId="33D0D0AF" w14:textId="77777777" w:rsidR="00D52A47" w:rsidRPr="007B7749" w:rsidRDefault="00D52A47" w:rsidP="00356EB3">
            <w:pPr>
              <w:keepNext/>
              <w:spacing w:line="480" w:lineRule="auto"/>
              <w:jc w:val="center"/>
            </w:pPr>
            <w:r>
              <w:rPr>
                <w:rFonts w:ascii="Calibri" w:hAnsi="Calibri" w:cs="Calibri"/>
                <w:color w:val="000000"/>
              </w:rPr>
              <w:t>0.01177596</w:t>
            </w:r>
          </w:p>
        </w:tc>
        <w:tc>
          <w:tcPr>
            <w:tcW w:w="1472" w:type="dxa"/>
          </w:tcPr>
          <w:p w14:paraId="6CE2A330" w14:textId="77777777" w:rsidR="00D52A47" w:rsidRDefault="00D52A47" w:rsidP="00356EB3">
            <w:pPr>
              <w:keepNext/>
              <w:spacing w:line="480" w:lineRule="auto"/>
              <w:jc w:val="center"/>
            </w:pPr>
            <w:r>
              <w:fldChar w:fldCharType="begin" w:fldLock="1"/>
            </w:r>
            <w:r>
              <w:instrText>ADDIN CSL_CITATION {"citationItems":[{"id":"ITEM-1","itemData":{"ISSN":"15710661","abstract":"The cost of deploying a ubiquitous system to enhance a physical environment is likely to be considerable. The success of its deployment is highly dependent on its context: the physical environment and the activities that are to be carried out within it. This paper provides an initial exploration of whether stochastic process algebras (in particular PEPA with a Fluid Flow semantics) might be used to explore consequences before deployment. The focus of the exploration is to aid understanding of how a proposed system supports users within the environment. The challenge is to provide notations and techniques that will enable the analysis of potentially complex systems.","author":[{"dropping-particle":"","family":"Global Health Data","given":"","non-dropping-particle":"","parse-names":false,"suffix":""}],"container-title":"Institue for Health Metrics and Evaluation","id":"ITEM-1","issued":{"date-parts":[["2017"]]},"title":"GBD Results Tool | GHDx","type":"article-journal"},"uris":["http://www.mendeley.com/documents/?uuid=332eefb7-f956-486f-a7e0-95858fee8e38"]},{"id":"ITEM-2","itemData":{"DOI":"10.1016/j.injury.2011.12.007","ISSN":"00201383","PMID":"22204774","abstract":"There is little information available about the epidemiology of open fractures. We examined 2386 open fractures over a 15-year period analysing the incidence and severity of the fractures. The majority of open fractures are low energy injuries with only 22.3% of open fractures being caused by road traffic accidents or falls from a height. The distribution curves of many open fractures are different to the overall fracture distribution curves with high-energy open fractures being commoner in younger males and low energy open fractures in older females. The mode of injury and the different demographic characteristics between isolated and multiple open fractures are also discussed. © 2011 Elsevier Ltd. All rights reserved.","author":[{"dropping-particle":"","family":"Court-Brown","given":"Charles M.","non-dropping-particle":"","parse-names":false,"suffix":""},{"dropping-particle":"","family":"Bugler","given":"Kate E.","non-dropping-particle":"","parse-names":false,"suffix":""},{"dropping-particle":"","family":"Clement","given":"Nicholas D.","non-dropping-particle":"","parse-names":false,"suffix":""},{"dropping-particle":"","family":"Duckworth","given":"Andrew D.","non-dropping-particle":"","parse-names":false,"suffix":""},{"dropping-particle":"","family":"McQueen","given":"Margaret M.","non-dropping-particle":"","parse-names":false,"suffix":""}],"container-title":"Injury","id":"ITEM-2","issued":{"date-parts":[["2012"]]},"title":"The epidemiology of open fractures in adults. A 15-year review","type":"article-journal"},"uris":["http://www.mendeley.com/documents/?uuid=82d9e688-83d3-4071-ae78-2845c3ca8d8e"]},{"id":"ITEM-3","itemData":{"DOI":"10.1016/j.ijsu.2017.01.047","ISSN":"17439159","PMID":"28110030","abstract":"Introduction A lower extremity injury can be a devastating event in low-income countries due to limited access to surgical care. Its incidence, treatment patterns, and outcomes, however, have not been well-described. Methods We prospectively enrolled all patients admitted with lower extremity trauma to a tertiary hospital in Lilongwe, Malawi between October 2010 and September 2011. Patients with a lower extremity injury but primarily admitted for unrelated reasons were excluded. The outcomes were deaths, complications, and length of hospital stay. Results Of the 905 patients eligible for analysis, 696 (77%) were males. Most patients had femur fractures (46%), and most were treated non-operatively (70%). Overall mortality rate was 3.9%. For adult patients with femur fractures, mortality was higher in patients treated with traction (9.0%) than for those treated with surgery (1.3%). The total complication rate was 15%, with adjusted odds of developing a complication higher in patients with concurrent head injury (OR = 2.8; 95% CI: 1.3–6.0), and patients who had an operative treatment (OR = 2; 95% CI: 1.2–1.9). The median length of stay was 16 days (IQR: 6–27) and was greatest among patients with femur fractures. Conclusion Lower extremity injuries resulted in substantial mortality and morbidity in this low-income country. Mortality was particularly high among patients with femur fractures who did not have surgery. Modern orthopedic trauma surgery is greatly needed in low-income countries.","author":[{"dropping-particle":"","family":"Chagomerana","given":"Maganizo B.","non-dropping-particle":"","parse-names":false,"suffix":""},{"dropping-particle":"","family":"Tomlinson","given":"Jared","non-dropping-particle":"","parse-names":false,"suffix":""},{"dropping-particle":"","family":"Young","given":"Sven","non-dropping-particle":"","parse-names":false,"suffix":""},{"dropping-particle":"","family":"Hosseinipour","given":"Mina C.","non-dropping-particle":"","parse-names":false,"suffix":""},{"dropping-particle":"","family":"Banza","given":"Leonard","non-dropping-particle":"","parse-names":false,"suffix":""},{"dropping-particle":"","family":"Lee","given":"Clara N.","non-dropping-particle":"","parse-names":false,"suffix":""}],"container-title":"International Journal of Surgery","id":"ITEM-3","issued":{"date-parts":[["2017","3","1"]]},"page":"23-29","publisher":"Elsevier Ltd","title":"High morbidity and mortality after lower extremity injuries in Malawi: A prospective cohort study of 905 patients","type":"article-journal","volume":"39"},"uris":["http://www.mendeley.com/documents/?uuid=55d3c196-2dcc-3c44-a62b-cde7c636f1e1"]}],"mendeley":{"formattedCitation":"(Global Health Data 2017; Court-Brown et al. 2012; Chagomerana et al. 2017)","plainTextFormattedCitation":"(Global Health Data 2017; Court-Brown et al. 2012; Chagomerana et al. 2017)","previouslyFormattedCitation":"(Global Health Data 2017; Court-Brown et al. 2012; Chagomerana et al. 2017)"},"properties":{"noteIndex":0},"schema":"https://github.com/citation-style-language/schema/raw/master/csl-citation.json"}</w:instrText>
            </w:r>
            <w:r>
              <w:fldChar w:fldCharType="separate"/>
            </w:r>
            <w:r w:rsidRPr="00FA1B46">
              <w:rPr>
                <w:noProof/>
              </w:rPr>
              <w:t>(Global Health Data 2017; Court-Brown et al. 2012; Chagomerana et al. 2017)</w:t>
            </w:r>
            <w:r>
              <w:fldChar w:fldCharType="end"/>
            </w:r>
          </w:p>
        </w:tc>
      </w:tr>
      <w:tr w:rsidR="00D52A47" w14:paraId="662FB480" w14:textId="77777777" w:rsidTr="00356EB3">
        <w:tc>
          <w:tcPr>
            <w:tcW w:w="3255" w:type="dxa"/>
            <w:vAlign w:val="bottom"/>
          </w:tcPr>
          <w:p w14:paraId="59AEDF81" w14:textId="77777777" w:rsidR="00D52A47" w:rsidRPr="007B7749" w:rsidRDefault="00D52A47" w:rsidP="00356EB3">
            <w:pPr>
              <w:keepNext/>
              <w:spacing w:line="480" w:lineRule="auto"/>
              <w:jc w:val="center"/>
            </w:pPr>
            <w:r>
              <w:rPr>
                <w:rFonts w:ascii="Calibri" w:hAnsi="Calibri" w:cs="Calibri"/>
                <w:color w:val="000000"/>
              </w:rPr>
              <w:lastRenderedPageBreak/>
              <w:t>lower_ex_prob_822a</w:t>
            </w:r>
          </w:p>
        </w:tc>
        <w:tc>
          <w:tcPr>
            <w:tcW w:w="1702" w:type="dxa"/>
          </w:tcPr>
          <w:p w14:paraId="24C12BEF" w14:textId="77777777" w:rsidR="00D52A47" w:rsidRDefault="00D52A47" w:rsidP="00356EB3">
            <w:pPr>
              <w:keepNext/>
              <w:spacing w:line="480" w:lineRule="auto"/>
              <w:jc w:val="center"/>
            </w:pPr>
            <w:r>
              <w:t>Probability of a dislocated hip</w:t>
            </w:r>
          </w:p>
        </w:tc>
        <w:tc>
          <w:tcPr>
            <w:tcW w:w="2587" w:type="dxa"/>
            <w:gridSpan w:val="2"/>
            <w:vAlign w:val="bottom"/>
          </w:tcPr>
          <w:p w14:paraId="21BF4206" w14:textId="77777777" w:rsidR="00D52A47" w:rsidRPr="007B7749" w:rsidRDefault="00D52A47" w:rsidP="00356EB3">
            <w:pPr>
              <w:keepNext/>
              <w:spacing w:line="480" w:lineRule="auto"/>
              <w:jc w:val="center"/>
            </w:pPr>
            <w:r>
              <w:rPr>
                <w:rFonts w:ascii="Calibri" w:hAnsi="Calibri" w:cs="Calibri"/>
                <w:color w:val="000000"/>
              </w:rPr>
              <w:t>0.037338982</w:t>
            </w:r>
          </w:p>
        </w:tc>
        <w:tc>
          <w:tcPr>
            <w:tcW w:w="1472" w:type="dxa"/>
          </w:tcPr>
          <w:p w14:paraId="41549D9F" w14:textId="77777777" w:rsidR="00D52A47" w:rsidRDefault="00D52A47" w:rsidP="00356EB3">
            <w:pPr>
              <w:keepNext/>
              <w:spacing w:line="480" w:lineRule="auto"/>
              <w:jc w:val="center"/>
            </w:pPr>
            <w:r>
              <w:fldChar w:fldCharType="begin" w:fldLock="1"/>
            </w:r>
            <w:r>
              <w:instrText>ADDIN CSL_CITATION {"citationItems":[{"id":"ITEM-1","itemData":{"ISSN":"15710661","abstract":"The cost of deploying a ubiquitous system to enhance a physical environment is likely to be considerable. The success of its deployment is highly dependent on its context: the physical environment and the activities that are to be carried out within it. This paper provides an initial exploration of whether stochastic process algebras (in particular PEPA with a Fluid Flow semantics) might be used to explore consequences before deployment. The focus of the exploration is to aid understanding of how a proposed system supports users within the environment. The challenge is to provide notations and techniques that will enable the analysis of potentially complex systems.","author":[{"dropping-particle":"","family":"Global Health Data","given":"","non-dropping-particle":"","parse-names":false,"suffix":""}],"container-title":"Institue for Health Metrics and Evaluation","id":"ITEM-1","issued":{"date-parts":[["2017"]]},"title":"GBD Results Tool | GHDx","type":"article-journal"},"uris":["http://www.mendeley.com/documents/?uuid=332eefb7-f956-486f-a7e0-95858fee8e38"]}],"mendeley":{"formattedCitation":"(Global Health Data 2017)","plainTextFormattedCitation":"(Global Health Data 2017)","previouslyFormattedCitation":"(Global Health Data 2017)"},"properties":{"noteIndex":0},"schema":"https://github.com/citation-style-language/schema/raw/master/csl-citation.json"}</w:instrText>
            </w:r>
            <w:r>
              <w:fldChar w:fldCharType="separate"/>
            </w:r>
            <w:r w:rsidRPr="00BB6083">
              <w:rPr>
                <w:noProof/>
              </w:rPr>
              <w:t>(Global Health Data 2017)</w:t>
            </w:r>
            <w:r>
              <w:fldChar w:fldCharType="end"/>
            </w:r>
          </w:p>
        </w:tc>
      </w:tr>
      <w:tr w:rsidR="00D52A47" w14:paraId="4D1DC845" w14:textId="77777777" w:rsidTr="00356EB3">
        <w:tc>
          <w:tcPr>
            <w:tcW w:w="3255" w:type="dxa"/>
            <w:vAlign w:val="bottom"/>
          </w:tcPr>
          <w:p w14:paraId="4F2C873D" w14:textId="77777777" w:rsidR="00D52A47" w:rsidRPr="007B7749" w:rsidRDefault="00D52A47" w:rsidP="00356EB3">
            <w:pPr>
              <w:keepNext/>
              <w:spacing w:line="480" w:lineRule="auto"/>
              <w:jc w:val="center"/>
            </w:pPr>
            <w:r>
              <w:rPr>
                <w:rFonts w:ascii="Calibri" w:hAnsi="Calibri" w:cs="Calibri"/>
                <w:color w:val="000000"/>
              </w:rPr>
              <w:t>lower_ex_prob_822b</w:t>
            </w:r>
          </w:p>
        </w:tc>
        <w:tc>
          <w:tcPr>
            <w:tcW w:w="1702" w:type="dxa"/>
          </w:tcPr>
          <w:p w14:paraId="7A4D08D9" w14:textId="77777777" w:rsidR="00D52A47" w:rsidRDefault="00D52A47" w:rsidP="00356EB3">
            <w:pPr>
              <w:keepNext/>
              <w:spacing w:line="480" w:lineRule="auto"/>
              <w:jc w:val="center"/>
            </w:pPr>
            <w:r>
              <w:t>Probability of a dislocated knee</w:t>
            </w:r>
          </w:p>
        </w:tc>
        <w:tc>
          <w:tcPr>
            <w:tcW w:w="2587" w:type="dxa"/>
            <w:gridSpan w:val="2"/>
            <w:vAlign w:val="bottom"/>
          </w:tcPr>
          <w:p w14:paraId="785956ED" w14:textId="77777777" w:rsidR="00D52A47" w:rsidRPr="007B7749" w:rsidRDefault="00D52A47" w:rsidP="00356EB3">
            <w:pPr>
              <w:keepNext/>
              <w:spacing w:line="480" w:lineRule="auto"/>
              <w:jc w:val="center"/>
            </w:pPr>
            <w:r>
              <w:rPr>
                <w:rFonts w:ascii="Calibri" w:hAnsi="Calibri" w:cs="Calibri"/>
                <w:color w:val="000000"/>
              </w:rPr>
              <w:t>0.002383339</w:t>
            </w:r>
          </w:p>
        </w:tc>
        <w:tc>
          <w:tcPr>
            <w:tcW w:w="1472" w:type="dxa"/>
          </w:tcPr>
          <w:p w14:paraId="1668CA18" w14:textId="77777777" w:rsidR="00D52A47" w:rsidRDefault="00D52A47" w:rsidP="00356EB3">
            <w:pPr>
              <w:keepNext/>
              <w:spacing w:line="480" w:lineRule="auto"/>
              <w:jc w:val="center"/>
            </w:pPr>
            <w:r>
              <w:fldChar w:fldCharType="begin" w:fldLock="1"/>
            </w:r>
            <w:r>
              <w:instrText>ADDIN CSL_CITATION {"citationItems":[{"id":"ITEM-1","itemData":{"ISSN":"15710661","abstract":"The cost of deploying a ubiquitous system to enhance a physical environment is likely to be considerable. The success of its deployment is highly dependent on its context: the physical environment and the activities that are to be carried out within it. This paper provides an initial exploration of whether stochastic process algebras (in particular PEPA with a Fluid Flow semantics) might be used to explore consequences before deployment. The focus of the exploration is to aid understanding of how a proposed system supports users within the environment. The challenge is to provide notations and techniques that will enable the analysis of potentially complex systems.","author":[{"dropping-particle":"","family":"Global Health Data","given":"","non-dropping-particle":"","parse-names":false,"suffix":""}],"container-title":"Institue for Health Metrics and Evaluation","id":"ITEM-1","issued":{"date-parts":[["2017"]]},"title":"GBD Results Tool | GHDx","type":"article-journal"},"uris":["http://www.mendeley.com/documents/?uuid=332eefb7-f956-486f-a7e0-95858fee8e38"]}],"mendeley":{"formattedCitation":"(Global Health Data 2017)","plainTextFormattedCitation":"(Global Health Data 2017)","previouslyFormattedCitation":"(Global Health Data 2017)"},"properties":{"noteIndex":0},"schema":"https://github.com/citation-style-language/schema/raw/master/csl-citation.json"}</w:instrText>
            </w:r>
            <w:r>
              <w:fldChar w:fldCharType="separate"/>
            </w:r>
            <w:r w:rsidRPr="00BB6083">
              <w:rPr>
                <w:noProof/>
              </w:rPr>
              <w:t>(Global Health Data 2017)</w:t>
            </w:r>
            <w:r>
              <w:fldChar w:fldCharType="end"/>
            </w:r>
          </w:p>
        </w:tc>
      </w:tr>
      <w:tr w:rsidR="00D52A47" w14:paraId="10C1E4D0" w14:textId="77777777" w:rsidTr="00356EB3">
        <w:tc>
          <w:tcPr>
            <w:tcW w:w="3255" w:type="dxa"/>
            <w:vAlign w:val="bottom"/>
          </w:tcPr>
          <w:p w14:paraId="0A98D8D6" w14:textId="77777777" w:rsidR="00D52A47" w:rsidRDefault="00D52A47" w:rsidP="00356EB3">
            <w:pPr>
              <w:keepNext/>
              <w:spacing w:line="480" w:lineRule="auto"/>
              <w:jc w:val="center"/>
              <w:rPr>
                <w:rFonts w:ascii="Calibri" w:hAnsi="Calibri" w:cs="Calibri"/>
                <w:color w:val="000000"/>
              </w:rPr>
            </w:pPr>
            <w:r>
              <w:rPr>
                <w:rFonts w:ascii="Calibri" w:hAnsi="Calibri" w:cs="Calibri"/>
                <w:color w:val="000000"/>
              </w:rPr>
              <w:t>lower_ex_prob_882</w:t>
            </w:r>
          </w:p>
        </w:tc>
        <w:tc>
          <w:tcPr>
            <w:tcW w:w="1702" w:type="dxa"/>
          </w:tcPr>
          <w:p w14:paraId="24C32E16" w14:textId="77777777" w:rsidR="00D52A47" w:rsidRDefault="00D52A47" w:rsidP="00356EB3">
            <w:pPr>
              <w:keepNext/>
              <w:spacing w:line="480" w:lineRule="auto"/>
              <w:jc w:val="center"/>
            </w:pPr>
            <w:r>
              <w:t>Probability of a amputation ofn toes</w:t>
            </w:r>
          </w:p>
        </w:tc>
        <w:tc>
          <w:tcPr>
            <w:tcW w:w="2587" w:type="dxa"/>
            <w:gridSpan w:val="2"/>
            <w:vAlign w:val="bottom"/>
          </w:tcPr>
          <w:p w14:paraId="6ECBB923" w14:textId="77777777" w:rsidR="00D52A47" w:rsidRPr="007B7749" w:rsidRDefault="00D52A47" w:rsidP="00356EB3">
            <w:pPr>
              <w:keepNext/>
              <w:spacing w:line="480" w:lineRule="auto"/>
              <w:jc w:val="center"/>
            </w:pPr>
            <w:r>
              <w:rPr>
                <w:rFonts w:ascii="Calibri" w:hAnsi="Calibri" w:cs="Calibri"/>
                <w:color w:val="000000"/>
              </w:rPr>
              <w:t>0.00731139</w:t>
            </w:r>
          </w:p>
        </w:tc>
        <w:tc>
          <w:tcPr>
            <w:tcW w:w="1472" w:type="dxa"/>
          </w:tcPr>
          <w:p w14:paraId="188A67EE" w14:textId="77777777" w:rsidR="00D52A47" w:rsidRDefault="00D52A47" w:rsidP="00356EB3">
            <w:pPr>
              <w:keepNext/>
              <w:spacing w:line="480" w:lineRule="auto"/>
              <w:jc w:val="center"/>
            </w:pPr>
            <w:r>
              <w:fldChar w:fldCharType="begin" w:fldLock="1"/>
            </w:r>
            <w:r>
              <w:instrText>ADDIN CSL_CITATION {"citationItems":[{"id":"ITEM-1","itemData":{"ISSN":"15710661","abstract":"The cost of deploying a ubiquitous system to enhance a physical environment is likely to be considerable. The success of its deployment is highly dependent on its context: the physical environment and the activities that are to be carried out within it. This paper provides an initial exploration of whether stochastic process algebras (in particular PEPA with a Fluid Flow semantics) might be used to explore consequences before deployment. The focus of the exploration is to aid understanding of how a proposed system supports users within the environment. The challenge is to provide notations and techniques that will enable the analysis of potentially complex systems.","author":[{"dropping-particle":"","family":"Global Health Data","given":"","non-dropping-particle":"","parse-names":false,"suffix":""}],"container-title":"Institue for Health Metrics and Evaluation","id":"ITEM-1","issued":{"date-parts":[["2017"]]},"title":"GBD Results Tool | GHDx","type":"article-journal"},"uris":["http://www.mendeley.com/documents/?uuid=332eefb7-f956-486f-a7e0-95858fee8e38"]}],"mendeley":{"formattedCitation":"(Global Health Data 2017)","plainTextFormattedCitation":"(Global Health Data 2017)","previouslyFormattedCitation":"(Global Health Data 2017)"},"properties":{"noteIndex":0},"schema":"https://github.com/citation-style-language/schema/raw/master/csl-citation.json"}</w:instrText>
            </w:r>
            <w:r>
              <w:fldChar w:fldCharType="separate"/>
            </w:r>
            <w:r w:rsidRPr="00BB6083">
              <w:rPr>
                <w:noProof/>
              </w:rPr>
              <w:t>(Global Health Data 2017)</w:t>
            </w:r>
            <w:r>
              <w:fldChar w:fldCharType="end"/>
            </w:r>
          </w:p>
        </w:tc>
      </w:tr>
      <w:tr w:rsidR="00D52A47" w14:paraId="5652DE47" w14:textId="77777777" w:rsidTr="00356EB3">
        <w:tc>
          <w:tcPr>
            <w:tcW w:w="3255" w:type="dxa"/>
            <w:vAlign w:val="bottom"/>
          </w:tcPr>
          <w:p w14:paraId="7973C0BF" w14:textId="77777777" w:rsidR="00D52A47" w:rsidRDefault="00D52A47" w:rsidP="00356EB3">
            <w:pPr>
              <w:keepNext/>
              <w:spacing w:line="480" w:lineRule="auto"/>
              <w:jc w:val="center"/>
              <w:rPr>
                <w:rFonts w:ascii="Calibri" w:hAnsi="Calibri" w:cs="Calibri"/>
                <w:color w:val="000000"/>
              </w:rPr>
            </w:pPr>
            <w:r>
              <w:rPr>
                <w:rFonts w:ascii="Calibri" w:hAnsi="Calibri" w:cs="Calibri"/>
                <w:color w:val="000000"/>
              </w:rPr>
              <w:t>lower_ex_prob_883</w:t>
            </w:r>
          </w:p>
        </w:tc>
        <w:tc>
          <w:tcPr>
            <w:tcW w:w="1702" w:type="dxa"/>
          </w:tcPr>
          <w:p w14:paraId="68B660A3" w14:textId="77777777" w:rsidR="00D52A47" w:rsidRDefault="00D52A47" w:rsidP="00356EB3">
            <w:pPr>
              <w:keepNext/>
              <w:spacing w:line="480" w:lineRule="auto"/>
              <w:jc w:val="center"/>
            </w:pPr>
            <w:r>
              <w:t>Probability of a unilateral lower leg amputation</w:t>
            </w:r>
          </w:p>
        </w:tc>
        <w:tc>
          <w:tcPr>
            <w:tcW w:w="2587" w:type="dxa"/>
            <w:gridSpan w:val="2"/>
            <w:vAlign w:val="bottom"/>
          </w:tcPr>
          <w:p w14:paraId="37A633CB" w14:textId="77777777" w:rsidR="00D52A47" w:rsidRPr="007B7749" w:rsidRDefault="00D52A47" w:rsidP="00356EB3">
            <w:pPr>
              <w:keepNext/>
              <w:spacing w:line="480" w:lineRule="auto"/>
              <w:jc w:val="center"/>
            </w:pPr>
            <w:r>
              <w:rPr>
                <w:rFonts w:ascii="Calibri" w:hAnsi="Calibri" w:cs="Calibri"/>
                <w:color w:val="000000"/>
              </w:rPr>
              <w:t>0.007511491</w:t>
            </w:r>
          </w:p>
        </w:tc>
        <w:tc>
          <w:tcPr>
            <w:tcW w:w="1472" w:type="dxa"/>
          </w:tcPr>
          <w:p w14:paraId="7E1DBFC5" w14:textId="77777777" w:rsidR="00D52A47" w:rsidRDefault="00D52A47" w:rsidP="00356EB3">
            <w:pPr>
              <w:keepNext/>
              <w:spacing w:line="480" w:lineRule="auto"/>
              <w:jc w:val="center"/>
            </w:pPr>
            <w:r>
              <w:fldChar w:fldCharType="begin" w:fldLock="1"/>
            </w:r>
            <w:r>
              <w:instrText>ADDIN CSL_CITATION {"citationItems":[{"id":"ITEM-1","itemData":{"ISSN":"15710661","abstract":"The cost of deploying a ubiquitous system to enhance a physical environment is likely to be considerable. The success of its deployment is highly dependent on its context: the physical environment and the activities that are to be carried out within it. This paper provides an initial exploration of whether stochastic process algebras (in particular PEPA with a Fluid Flow semantics) might be used to explore consequences before deployment. The focus of the exploration is to aid understanding of how a proposed system supports users within the environment. The challenge is to provide notations and techniques that will enable the analysis of potentially complex systems.","author":[{"dropping-particle":"","family":"Global Health Data","given":"","non-dropping-particle":"","parse-names":false,"suffix":""}],"container-title":"Institue for Health Metrics and Evaluation","id":"ITEM-1","issued":{"date-parts":[["2017"]]},"title":"GBD Results Tool | GHDx","type":"article-journal"},"uris":["http://www.mendeley.com/documents/?uuid=332eefb7-f956-486f-a7e0-95858fee8e38"]}],"mendeley":{"formattedCitation":"(Global Health Data 2017)","plainTextFormattedCitation":"(Global Health Data 2017)","previouslyFormattedCitation":"(Global Health Data 2017)"},"properties":{"noteIndex":0},"schema":"https://github.com/citation-style-language/schema/raw/master/csl-citation.json"}</w:instrText>
            </w:r>
            <w:r>
              <w:fldChar w:fldCharType="separate"/>
            </w:r>
            <w:r w:rsidRPr="00BB6083">
              <w:rPr>
                <w:noProof/>
              </w:rPr>
              <w:t>(Global Health Data 2017)</w:t>
            </w:r>
            <w:r>
              <w:fldChar w:fldCharType="end"/>
            </w:r>
          </w:p>
        </w:tc>
      </w:tr>
      <w:tr w:rsidR="00D52A47" w14:paraId="54A85FDA" w14:textId="77777777" w:rsidTr="00356EB3">
        <w:tc>
          <w:tcPr>
            <w:tcW w:w="3255" w:type="dxa"/>
            <w:vAlign w:val="bottom"/>
          </w:tcPr>
          <w:p w14:paraId="4426316B" w14:textId="77777777" w:rsidR="00D52A47" w:rsidRDefault="00D52A47" w:rsidP="00356EB3">
            <w:pPr>
              <w:keepNext/>
              <w:spacing w:line="480" w:lineRule="auto"/>
              <w:jc w:val="center"/>
              <w:rPr>
                <w:rFonts w:ascii="Calibri" w:hAnsi="Calibri" w:cs="Calibri"/>
                <w:color w:val="000000"/>
              </w:rPr>
            </w:pPr>
            <w:r>
              <w:rPr>
                <w:rFonts w:ascii="Calibri" w:hAnsi="Calibri" w:cs="Calibri"/>
                <w:color w:val="000000"/>
              </w:rPr>
              <w:t>lower_ex_prob_884</w:t>
            </w:r>
          </w:p>
        </w:tc>
        <w:tc>
          <w:tcPr>
            <w:tcW w:w="1702" w:type="dxa"/>
          </w:tcPr>
          <w:p w14:paraId="0842B7BB" w14:textId="77777777" w:rsidR="00D52A47" w:rsidRDefault="00D52A47" w:rsidP="00356EB3">
            <w:pPr>
              <w:keepNext/>
              <w:spacing w:line="480" w:lineRule="auto"/>
              <w:jc w:val="center"/>
            </w:pPr>
            <w:r>
              <w:t>Probability of a bilateral lower leg amputation</w:t>
            </w:r>
          </w:p>
        </w:tc>
        <w:tc>
          <w:tcPr>
            <w:tcW w:w="2587" w:type="dxa"/>
            <w:gridSpan w:val="2"/>
            <w:vAlign w:val="bottom"/>
          </w:tcPr>
          <w:p w14:paraId="028F3CF5" w14:textId="77777777" w:rsidR="00D52A47" w:rsidRPr="007B7749" w:rsidRDefault="00D52A47" w:rsidP="00356EB3">
            <w:pPr>
              <w:keepNext/>
              <w:spacing w:line="480" w:lineRule="auto"/>
              <w:jc w:val="center"/>
            </w:pPr>
            <w:r>
              <w:rPr>
                <w:rFonts w:ascii="Calibri" w:hAnsi="Calibri" w:cs="Calibri"/>
                <w:color w:val="000000"/>
              </w:rPr>
              <w:t>0.007511491</w:t>
            </w:r>
          </w:p>
        </w:tc>
        <w:tc>
          <w:tcPr>
            <w:tcW w:w="1472" w:type="dxa"/>
          </w:tcPr>
          <w:p w14:paraId="4C222313" w14:textId="77777777" w:rsidR="00D52A47" w:rsidRDefault="00D52A47" w:rsidP="00356EB3">
            <w:pPr>
              <w:keepNext/>
              <w:spacing w:line="480" w:lineRule="auto"/>
              <w:jc w:val="center"/>
            </w:pPr>
            <w:r>
              <w:fldChar w:fldCharType="begin" w:fldLock="1"/>
            </w:r>
            <w:r>
              <w:instrText>ADDIN CSL_CITATION {"citationItems":[{"id":"ITEM-1","itemData":{"ISSN":"15710661","abstract":"The cost of deploying a ubiquitous system to enhance a physical environment is likely to be considerable. The success of its deployment is highly dependent on its context: the physical environment and the activities that are to be carried out within it. This paper provides an initial exploration of whether stochastic process algebras (in particular PEPA with a Fluid Flow semantics) might be used to explore consequences before deployment. The focus of the exploration is to aid understanding of how a proposed system supports users within the environment. The challenge is to provide notations and techniques that will enable the analysis of potentially complex systems.","author":[{"dropping-particle":"","family":"Global Health Data","given":"","non-dropping-particle":"","parse-names":false,"suffix":""}],"container-title":"Institue for Health Metrics and Evaluation","id":"ITEM-1","issued":{"date-parts":[["2017"]]},"title":"GBD Results Tool | GHDx","type":"article-journal"},"uris":["http://www.mendeley.com/documents/?uuid=332eefb7-f956-486f-a7e0-95858fee8e38"]}],"mendeley":{"formattedCitation":"(Global Health Data 2017)","plainTextFormattedCitation":"(Global Health Data 2017)","previouslyFormattedCitation":"(Global Health Data 2017)"},"properties":{"noteIndex":0},"schema":"https://github.com/citation-style-language/schema/raw/master/csl-citation.json"}</w:instrText>
            </w:r>
            <w:r>
              <w:fldChar w:fldCharType="separate"/>
            </w:r>
            <w:r w:rsidRPr="00BB6083">
              <w:rPr>
                <w:noProof/>
              </w:rPr>
              <w:t>(Global Health Data 2017)</w:t>
            </w:r>
            <w:r>
              <w:fldChar w:fldCharType="end"/>
            </w:r>
          </w:p>
        </w:tc>
      </w:tr>
      <w:tr w:rsidR="00D52A47" w14:paraId="6606B7C8" w14:textId="77777777" w:rsidTr="00356EB3">
        <w:tc>
          <w:tcPr>
            <w:tcW w:w="9016" w:type="dxa"/>
            <w:gridSpan w:val="5"/>
          </w:tcPr>
          <w:p w14:paraId="5A7217C5" w14:textId="77777777" w:rsidR="00D52A47" w:rsidRDefault="00D52A47" w:rsidP="00356EB3">
            <w:pPr>
              <w:keepNext/>
              <w:spacing w:line="480" w:lineRule="auto"/>
              <w:jc w:val="center"/>
            </w:pPr>
            <w:r>
              <w:t>Did they go on to seek health care for their injuries?</w:t>
            </w:r>
          </w:p>
        </w:tc>
      </w:tr>
      <w:tr w:rsidR="00D52A47" w14:paraId="6C67E0E2" w14:textId="77777777" w:rsidTr="00356EB3">
        <w:tc>
          <w:tcPr>
            <w:tcW w:w="3255" w:type="dxa"/>
          </w:tcPr>
          <w:p w14:paraId="2AC55DFB" w14:textId="77777777" w:rsidR="00D52A47" w:rsidRDefault="00D52A47" w:rsidP="00356EB3">
            <w:pPr>
              <w:spacing w:line="480" w:lineRule="auto"/>
            </w:pPr>
            <w:r w:rsidRPr="005C7F39">
              <w:t>rt_emergency_care_ISS_</w:t>
            </w:r>
          </w:p>
          <w:p w14:paraId="70B3365B" w14:textId="77777777" w:rsidR="00D52A47" w:rsidRDefault="00D52A47" w:rsidP="00356EB3">
            <w:pPr>
              <w:spacing w:line="480" w:lineRule="auto"/>
            </w:pPr>
            <w:r w:rsidRPr="005C7F39">
              <w:t>score_cut_off</w:t>
            </w:r>
          </w:p>
        </w:tc>
        <w:tc>
          <w:tcPr>
            <w:tcW w:w="1702" w:type="dxa"/>
          </w:tcPr>
          <w:p w14:paraId="26392889" w14:textId="77777777" w:rsidR="00D52A47" w:rsidRDefault="00D52A47" w:rsidP="00356EB3">
            <w:pPr>
              <w:spacing w:line="480" w:lineRule="auto"/>
            </w:pPr>
            <w:r>
              <w:t>The ISS score above which people will automatically go to seek health care</w:t>
            </w:r>
          </w:p>
        </w:tc>
        <w:tc>
          <w:tcPr>
            <w:tcW w:w="2587" w:type="dxa"/>
            <w:gridSpan w:val="2"/>
          </w:tcPr>
          <w:p w14:paraId="79D4E3C3" w14:textId="77777777" w:rsidR="00D52A47" w:rsidRDefault="00D52A47" w:rsidP="00356EB3">
            <w:pPr>
              <w:spacing w:line="480" w:lineRule="auto"/>
            </w:pPr>
            <w:r>
              <w:t xml:space="preserve">Run-specific, see </w:t>
            </w:r>
            <w:r>
              <w:fldChar w:fldCharType="begin"/>
            </w:r>
            <w:r>
              <w:instrText xml:space="preserve"> REF _Ref100156561 \h  \* MERGEFORMAT </w:instrText>
            </w:r>
            <w:r>
              <w:fldChar w:fldCharType="separate"/>
            </w:r>
            <w:r>
              <w:t xml:space="preserve">Table A </w:t>
            </w:r>
            <w:r>
              <w:rPr>
                <w:noProof/>
              </w:rPr>
              <w:t>4</w:t>
            </w:r>
            <w:r>
              <w:fldChar w:fldCharType="end"/>
            </w:r>
            <w:r>
              <w:t>.</w:t>
            </w:r>
          </w:p>
        </w:tc>
        <w:tc>
          <w:tcPr>
            <w:tcW w:w="1472" w:type="dxa"/>
          </w:tcPr>
          <w:p w14:paraId="7732A16E" w14:textId="77777777" w:rsidR="00D52A47" w:rsidRDefault="00D52A47" w:rsidP="00356EB3">
            <w:pPr>
              <w:keepNext/>
              <w:spacing w:line="480" w:lineRule="auto"/>
            </w:pPr>
            <w:r>
              <w:t xml:space="preserve">Calibrated to the results of </w:t>
            </w:r>
            <w:r>
              <w:fldChar w:fldCharType="begin" w:fldLock="1"/>
            </w:r>
            <w:r>
              <w:instrText>ADDIN CSL_CITATION {"citationItems":[{"id":"ITEM-1","itemData":{"DOI":"10.1016/j.ijsu.2018.02.034","ISSN":"17439159","PMID":"29471158","abstract":"Introduction: Road traffic injuries (RTI) are a leading cause of morbidity and mortality around the world. The burden is highest in low and middle-income countries (LMICs) and is increasing. We aimed to describe the epidemiology of RTIs in 4 low-income countries using nationally representative survey data. Methods: The Surgeons Overseas Assessment of Surgical Needs (SOSAS) survey tool was administered in four countries: Sierra Leone, Rwanda, Nepal and Uganda. We performed nationally representative cross-sectional, cluster randomized surveys in each country. Information regarding demographics, injury characteristics, anatomic location of injury, healthcare seeking behavior, and disability from injury was collected. Data were reported with descriptive statistics and evaluated for differences between the four countries using statistical tests where appropriate. Results: A total of 13,765 respondents from 7115 households in the four countries were surveyed. RTIs occurred in 2.2% (2.0–2.5%) of the population and accounted for 12.9% (11.5–14.2%) of all injuries incurred. The mean age was 34 years (standard deviation ±1years); 74% were male. Motorcycle crashes accounted for 44.7% of all RTIs. The body regions most affected included head/face/neck (36.5%) followed by extremity fractures (32.2%). Healthcare was sought by 78% road injured; 14.8% underwent a major procedure (requiring anesthesia). Major disability resulting in limitations of work or daily activity occurred in 38.5% (33.0–43.9%). Conclusion: RTIs account for a significant proportion of disability from injury. Younger men are most affected, raising concerns for potential detrimental consequences to local economies. Prevention initiatives are urgently needed to stem this growing burden of disease; additionally, improved access to timely emergency, trauma and surgical care may help alleviate the burden due to RTI in LMICs.","author":[{"dropping-particle":"","family":"Zafar","given":"Syed Nabeel","non-dropping-particle":"","parse-names":false,"suffix":""},{"dropping-particle":"","family":"Canner","given":"Joseph K.","non-dropping-particle":"","parse-names":false,"suffix":""},{"dropping-particle":"","family":"Nagarajan","given":"Neeraja","non-dropping-particle":"","parse-names":false,"suffix":""},{"dropping-particle":"","family":"Kushner","given":"Adam L.","non-dropping-particle":"","parse-names":false,"suffix":""},{"dropping-particle":"","family":"Gupta","given":"Shailvi","non-dropping-particle":"","parse-names":false,"suffix":""},{"dropping-particle":"","family":"Tran","given":"Tu M.","non-dropping-particle":"","parse-names":false,"suffix":""},{"dropping-particle":"","family":"Nagarajan","given":"Neeraja","non-dropping-particle":"","parse-names":false,"suffix":""},{"dropping-particle":"","family":"Stewart","given":"Barclay T.","non-dropping-particle":"","parse-names":false,"suffix":""},{"dropping-particle":"","family":"Kamara","given":"Thaim B.","non-dropping-particle":"","parse-names":false,"suffix":""},{"dropping-particle":"","family":"Kyamanywa","given":"Patrick","non-dropping-particle":"","parse-names":false,"suffix":""},{"dropping-particle":"","family":"Amatya","given":"Kapendra S.","non-dropping-particle":"","parse-names":false,"suffix":""},{"dropping-particle":"","family":"Galukande","given":"Moses","non-dropping-particle":"","parse-names":false,"suffix":""},{"dropping-particle":"","family":"Petroze","given":"Robin T.","non-dropping-particle":"","parse-names":false,"suffix":""},{"dropping-particle":"","family":"Nwomeh","given":"Benedict C.","non-dropping-particle":"","parse-names":false,"suffix":""},{"dropping-particle":"","family":"Smith","given":"Emily R.","non-dropping-particle":"","parse-names":false,"suffix":""},{"dropping-particle":"","family":"Haglund","given":"Michael M.","non-dropping-particle":"","parse-names":false,"suffix":""},{"dropping-particle":"","family":"Nwomeh","given":"Benedict C.","non-dropping-particle":"","parse-names":false,"suffix":""},{"dropping-particle":"","family":"Groen","given":"Reinou S.","non-dropping-particle":"","parse-names":false,"suffix":""},{"dropping-particle":"","family":"Kushner","given":"Adam L.","non-dropping-particle":"","parse-names":false,"suffix":""}],"container-title":"International Journal of Surgery","id":"ITEM-1","issued":{"date-parts":[["2018","4","1"]]},"page":"237-242","publisher":"Elsevier Ltd","title":"Road traffic injuries: Cross-sectional cluster randomized countrywide population data from 4 low-income countries","type":"article-journal","volume":"52"},"uris":["http://www.mendeley.com/documents/?uuid=6c75eaf9-b999-4044-9ef2-90e3aefc6cbf"]}],"mendeley":{"formattedCitation":"(Zafar et al. 2018)","plainTextFormattedCitation":"(Zafar et al. 2018)","previouslyFormattedCitation":"(Zafar et al. 2018)"},"properties":{"noteIndex":0},"schema":"https://github.com/citation-style-language/schema/raw/master/csl-citation.json"}</w:instrText>
            </w:r>
            <w:r>
              <w:fldChar w:fldCharType="separate"/>
            </w:r>
            <w:r w:rsidRPr="005C7F39">
              <w:rPr>
                <w:noProof/>
              </w:rPr>
              <w:t>(Zafar et al. 2018)</w:t>
            </w:r>
            <w:r>
              <w:fldChar w:fldCharType="end"/>
            </w:r>
            <w:r>
              <w:t xml:space="preserve"> </w:t>
            </w:r>
          </w:p>
        </w:tc>
      </w:tr>
      <w:tr w:rsidR="00D52A47" w14:paraId="5DA60C38" w14:textId="77777777" w:rsidTr="00356EB3">
        <w:tc>
          <w:tcPr>
            <w:tcW w:w="9016" w:type="dxa"/>
            <w:gridSpan w:val="5"/>
          </w:tcPr>
          <w:p w14:paraId="682B3BE7" w14:textId="77777777" w:rsidR="00D52A47" w:rsidRDefault="00D52A47" w:rsidP="00356EB3">
            <w:pPr>
              <w:keepNext/>
              <w:spacing w:line="480" w:lineRule="auto"/>
              <w:jc w:val="center"/>
            </w:pPr>
            <w:r>
              <w:t>If they sought health care for their injuries, what do they need from the health system for their treatment?</w:t>
            </w:r>
          </w:p>
        </w:tc>
      </w:tr>
      <w:tr w:rsidR="00D52A47" w14:paraId="66FFBBD3" w14:textId="77777777" w:rsidTr="00356EB3">
        <w:tc>
          <w:tcPr>
            <w:tcW w:w="3255" w:type="dxa"/>
          </w:tcPr>
          <w:p w14:paraId="462FB17C" w14:textId="77777777" w:rsidR="00D52A47" w:rsidRDefault="00D52A47" w:rsidP="00356EB3">
            <w:pPr>
              <w:spacing w:line="480" w:lineRule="auto"/>
            </w:pPr>
            <w:r w:rsidRPr="00D32803">
              <w:t>mean_los_ISS_less_than_4</w:t>
            </w:r>
          </w:p>
        </w:tc>
        <w:tc>
          <w:tcPr>
            <w:tcW w:w="1702" w:type="dxa"/>
          </w:tcPr>
          <w:p w14:paraId="2EB8C687" w14:textId="77777777" w:rsidR="00D52A47" w:rsidRDefault="00D52A47" w:rsidP="00356EB3">
            <w:pPr>
              <w:spacing w:line="480" w:lineRule="auto"/>
            </w:pPr>
            <w:r>
              <w:t>The mean length of stay for a person with an ISS score less than 4</w:t>
            </w:r>
          </w:p>
        </w:tc>
        <w:tc>
          <w:tcPr>
            <w:tcW w:w="2587" w:type="dxa"/>
            <w:gridSpan w:val="2"/>
          </w:tcPr>
          <w:p w14:paraId="01A4F2C7" w14:textId="77777777" w:rsidR="00D52A47" w:rsidRDefault="00D52A47" w:rsidP="00356EB3">
            <w:pPr>
              <w:spacing w:line="480" w:lineRule="auto"/>
            </w:pPr>
            <w:r w:rsidRPr="00D32803">
              <w:t>4.97</w:t>
            </w:r>
          </w:p>
        </w:tc>
        <w:tc>
          <w:tcPr>
            <w:tcW w:w="1472" w:type="dxa"/>
          </w:tcPr>
          <w:p w14:paraId="30026594" w14:textId="77777777" w:rsidR="00D52A47" w:rsidRDefault="00D52A47" w:rsidP="00356EB3">
            <w:pPr>
              <w:keepNext/>
              <w:spacing w:line="480" w:lineRule="auto"/>
            </w:pPr>
            <w:r>
              <w:fldChar w:fldCharType="begin" w:fldLock="1"/>
            </w:r>
            <w:r>
              <w:instrText>ADDIN CSL_CITATION {"citationItems":[{"id":"ITEM-1","itemData":{"DOI":"10.5535/arm.2016.40.2.288","ISSN":"22340653","abstract":"Objective To investigate the clinical characteristics of patients involved in road traffic accidents according to the New Injury Severity Score (NISS). Methods In this study, medical records of 1,048 patients admitted at three hospitals located in different regions between January and December 2014 were retrospectively reviewed. Only patients who received inpatient treatments covered by automobile insurance during the period were included. Accidents were classified as pedestrian, driver, passenger, motorcycle, or bicycle; and the severity of injury was assessed by the NISS. Results The proportion of pedestrian traffic accident (TA) was the highest, followed by driver, passenger, motorcycle and bicycle TA. The mean NISS was significantly higher in pedestrian and motorcycle TAs and lower in passenger TA. Analysis of differences in mean hospital length of stay (HLS) according to NISS injury severity revealed 4.97±4.86 days in the minor injury group, 8.91±5.93 days in the moderate injury group, 15.46±11.16 days in the serious injury group, 24.73±17.03 days in the severe injury group, and 30.86±34.03 days in the critical injury group (p&lt;0.05). Conclusion The study results indicated that higher NISS correlated to longer HLS, fewer home discharges, and increasing mortality. Specialized hospitals for TA patient rehabilitation are necessary to reduce disabilities in TA patients.","author":[{"dropping-particle":"","family":"Lee","given":"Jung Soo","non-dropping-particle":"","parse-names":false,"suffix":""},{"dropping-particle":"","family":"Kim","given":"Yeo Hyung","non-dropping-particle":"","parse-names":false,"suffix":""},{"dropping-particle":"","family":"Yun","given":"Jae Sung","non-dropping-particle":"","parse-names":false,"suffix":""},{"dropping-particle":"","family":"Jung","given":"Sang Eun","non-dropping-particle":"","parse-names":false,"suffix":""},{"dropping-particle":"","family":"Chae","given":"Choong Sik","non-dropping-particle":"","parse-names":false,"suffix":""},{"dropping-particle":"","family":"Chung","given":"Min Jae","non-dropping-particle":"","parse-names":false,"suffix":""}],"container-title":"Annals of Rehabilitation Medicine","id":"ITEM-1","issue":"2","issued":{"date-parts":[["2016"]]},"page":"288-293","publisher":"Korean Academy of Rehabilitation Medicine","title":"Characteristics of patients injured in road traffic accidents according to the new injury severity score","type":"article-journal","volume":"40"},"uris":["http://www.mendeley.com/documents/?uuid=c80eb737-3087-3c14-bcdd-fddcbaae20e1"]}],"mendeley":{"formattedCitation":"(Lee et al. 2016)","plainTextFormattedCitation":"(Lee et al. 2016)","previouslyFormattedCitation":"(Lee et al. 2016)"},"properties":{"noteIndex":0},"schema":"https://github.com/citation-style-language/schema/raw/master/csl-citation.json"}</w:instrText>
            </w:r>
            <w:r>
              <w:fldChar w:fldCharType="separate"/>
            </w:r>
            <w:r w:rsidRPr="00BB6083">
              <w:rPr>
                <w:noProof/>
              </w:rPr>
              <w:t>(Lee et al. 2016)</w:t>
            </w:r>
            <w:r>
              <w:fldChar w:fldCharType="end"/>
            </w:r>
          </w:p>
        </w:tc>
      </w:tr>
      <w:tr w:rsidR="00D52A47" w14:paraId="3C4A38B8" w14:textId="77777777" w:rsidTr="00356EB3">
        <w:tc>
          <w:tcPr>
            <w:tcW w:w="3255" w:type="dxa"/>
          </w:tcPr>
          <w:p w14:paraId="7BD589EB" w14:textId="77777777" w:rsidR="00D52A47" w:rsidRPr="00D32803" w:rsidRDefault="00D52A47" w:rsidP="00356EB3">
            <w:pPr>
              <w:spacing w:line="480" w:lineRule="auto"/>
            </w:pPr>
            <w:r w:rsidRPr="007B7749">
              <w:t xml:space="preserve"> sd_los_ISS_4_to_8</w:t>
            </w:r>
          </w:p>
        </w:tc>
        <w:tc>
          <w:tcPr>
            <w:tcW w:w="1702" w:type="dxa"/>
          </w:tcPr>
          <w:p w14:paraId="4A18F30F" w14:textId="77777777" w:rsidR="00D52A47" w:rsidRDefault="00D52A47" w:rsidP="00356EB3">
            <w:pPr>
              <w:spacing w:line="480" w:lineRule="auto"/>
            </w:pPr>
            <w:r>
              <w:t xml:space="preserve">Variation length of stay for those with an </w:t>
            </w:r>
            <w:r>
              <w:lastRenderedPageBreak/>
              <w:t>ISS score between 4 and 8</w:t>
            </w:r>
          </w:p>
        </w:tc>
        <w:tc>
          <w:tcPr>
            <w:tcW w:w="2587" w:type="dxa"/>
            <w:gridSpan w:val="2"/>
          </w:tcPr>
          <w:p w14:paraId="3A315580" w14:textId="77777777" w:rsidR="00D52A47" w:rsidRPr="00D32803" w:rsidRDefault="00D52A47" w:rsidP="00356EB3">
            <w:pPr>
              <w:spacing w:line="480" w:lineRule="auto"/>
            </w:pPr>
            <w:r w:rsidRPr="007B7749">
              <w:lastRenderedPageBreak/>
              <w:t>5.93</w:t>
            </w:r>
          </w:p>
        </w:tc>
        <w:tc>
          <w:tcPr>
            <w:tcW w:w="1472" w:type="dxa"/>
          </w:tcPr>
          <w:p w14:paraId="11A9DB2E" w14:textId="77777777" w:rsidR="00D52A47" w:rsidRDefault="00D52A47" w:rsidP="00356EB3">
            <w:pPr>
              <w:keepNext/>
              <w:spacing w:line="480" w:lineRule="auto"/>
            </w:pPr>
            <w:r>
              <w:fldChar w:fldCharType="begin" w:fldLock="1"/>
            </w:r>
            <w:r>
              <w:instrText>ADDIN CSL_CITATION {"citationItems":[{"id":"ITEM-1","itemData":{"DOI":"10.5535/arm.2016.40.2.288","ISSN":"22340653","abstract":"Objective To investigate the clinical characteristics of patients involved in road traffic accidents according to the New Injury Severity Score (NISS). Methods In this study, medical records of 1,048 patients admitted at three hospitals located in different regions between January and December 2014 were retrospectively reviewed. Only patients who received inpatient treatments covered by automobile insurance during the period were included. Accidents were classified as pedestrian, driver, passenger, motorcycle, or bicycle; and the severity of injury was assessed by the NISS. Results The proportion of pedestrian traffic accident (TA) was the highest, followed by driver, passenger, motorcycle and bicycle TA. The mean NISS was significantly higher in pedestrian and motorcycle TAs and lower in passenger TA. Analysis of differences in mean hospital length of stay (HLS) according to NISS injury severity revealed 4.97±4.86 days in the minor injury group, 8.91±5.93 days in the moderate injury group, 15.46±11.16 days in the serious injury group, 24.73±17.03 days in the severe injury group, and 30.86±34.03 days in the critical injury group (p&lt;0.05). Conclusion The study results indicated that higher NISS correlated to longer HLS, fewer home discharges, and increasing mortality. Specialized hospitals for TA patient rehabilitation are necessary to reduce disabilities in TA patients.","author":[{"dropping-particle":"","family":"Lee","given":"Jung Soo","non-dropping-particle":"","parse-names":false,"suffix":""},{"dropping-particle":"","family":"Kim","given":"Yeo Hyung","non-dropping-particle":"","parse-names":false,"suffix":""},{"dropping-particle":"","family":"Yun","given":"Jae Sung","non-dropping-particle":"","parse-names":false,"suffix":""},{"dropping-particle":"","family":"Jung","given":"Sang Eun","non-dropping-particle":"","parse-names":false,"suffix":""},{"dropping-particle":"","family":"Chae","given":"Choong Sik","non-dropping-particle":"","parse-names":false,"suffix":""},{"dropping-particle":"","family":"Chung","given":"Min Jae","non-dropping-particle":"","parse-names":false,"suffix":""}],"container-title":"Annals of Rehabilitation Medicine","id":"ITEM-1","issue":"2","issued":{"date-parts":[["2016"]]},"page":"288-293","publisher":"Korean Academy of Rehabilitation Medicine","title":"Characteristics of patients injured in road traffic accidents according to the new injury severity score","type":"article-journal","volume":"40"},"uris":["http://www.mendeley.com/documents/?uuid=c80eb737-3087-3c14-bcdd-fddcbaae20e1"]}],"mendeley":{"formattedCitation":"(Lee et al. 2016)","plainTextFormattedCitation":"(Lee et al. 2016)","previouslyFormattedCitation":"(Lee et al. 2016)"},"properties":{"noteIndex":0},"schema":"https://github.com/citation-style-language/schema/raw/master/csl-citation.json"}</w:instrText>
            </w:r>
            <w:r>
              <w:fldChar w:fldCharType="separate"/>
            </w:r>
            <w:r w:rsidRPr="00BB6083">
              <w:rPr>
                <w:noProof/>
              </w:rPr>
              <w:t>(Lee et al. 2016)</w:t>
            </w:r>
            <w:r>
              <w:fldChar w:fldCharType="end"/>
            </w:r>
          </w:p>
        </w:tc>
      </w:tr>
      <w:tr w:rsidR="00D52A47" w14:paraId="22E2A48E" w14:textId="77777777" w:rsidTr="00356EB3">
        <w:tc>
          <w:tcPr>
            <w:tcW w:w="3255" w:type="dxa"/>
          </w:tcPr>
          <w:p w14:paraId="066ECFDA" w14:textId="77777777" w:rsidR="00D52A47" w:rsidRPr="007B7749" w:rsidRDefault="00D52A47" w:rsidP="00356EB3">
            <w:pPr>
              <w:spacing w:line="480" w:lineRule="auto"/>
            </w:pPr>
            <w:r w:rsidRPr="007B7749">
              <w:t xml:space="preserve"> mean_los_ISS_9_to_15</w:t>
            </w:r>
          </w:p>
        </w:tc>
        <w:tc>
          <w:tcPr>
            <w:tcW w:w="1702" w:type="dxa"/>
          </w:tcPr>
          <w:p w14:paraId="64288BFA" w14:textId="77777777" w:rsidR="00D52A47" w:rsidRPr="007B7749" w:rsidRDefault="00D52A47" w:rsidP="00356EB3">
            <w:pPr>
              <w:spacing w:line="480" w:lineRule="auto"/>
            </w:pPr>
            <w:r w:rsidRPr="007B7749">
              <w:t xml:space="preserve"> </w:t>
            </w:r>
            <w:r>
              <w:t xml:space="preserve">Mean length of stay for those with an ISS score between 9 and 15 </w:t>
            </w:r>
          </w:p>
        </w:tc>
        <w:tc>
          <w:tcPr>
            <w:tcW w:w="2587" w:type="dxa"/>
            <w:gridSpan w:val="2"/>
          </w:tcPr>
          <w:p w14:paraId="028ECEFD" w14:textId="77777777" w:rsidR="00D52A47" w:rsidRDefault="00D52A47" w:rsidP="00356EB3">
            <w:pPr>
              <w:spacing w:line="480" w:lineRule="auto"/>
            </w:pPr>
            <w:r w:rsidRPr="007B7749">
              <w:t>15.46</w:t>
            </w:r>
          </w:p>
        </w:tc>
        <w:tc>
          <w:tcPr>
            <w:tcW w:w="1472" w:type="dxa"/>
          </w:tcPr>
          <w:p w14:paraId="3BA7793B" w14:textId="77777777" w:rsidR="00D52A47" w:rsidRDefault="00D52A47" w:rsidP="00356EB3">
            <w:pPr>
              <w:keepNext/>
              <w:spacing w:line="480" w:lineRule="auto"/>
            </w:pPr>
            <w:r>
              <w:fldChar w:fldCharType="begin" w:fldLock="1"/>
            </w:r>
            <w:r>
              <w:instrText>ADDIN CSL_CITATION {"citationItems":[{"id":"ITEM-1","itemData":{"DOI":"10.5535/arm.2016.40.2.288","ISSN":"22340653","abstract":"Objective To investigate the clinical characteristics of patients involved in road traffic accidents according to the New Injury Severity Score (NISS). Methods In this study, medical records of 1,048 patients admitted at three hospitals located in different regions between January and December 2014 were retrospectively reviewed. Only patients who received inpatient treatments covered by automobile insurance during the period were included. Accidents were classified as pedestrian, driver, passenger, motorcycle, or bicycle; and the severity of injury was assessed by the NISS. Results The proportion of pedestrian traffic accident (TA) was the highest, followed by driver, passenger, motorcycle and bicycle TA. The mean NISS was significantly higher in pedestrian and motorcycle TAs and lower in passenger TA. Analysis of differences in mean hospital length of stay (HLS) according to NISS injury severity revealed 4.97±4.86 days in the minor injury group, 8.91±5.93 days in the moderate injury group, 15.46±11.16 days in the serious injury group, 24.73±17.03 days in the severe injury group, and 30.86±34.03 days in the critical injury group (p&lt;0.05). Conclusion The study results indicated that higher NISS correlated to longer HLS, fewer home discharges, and increasing mortality. Specialized hospitals for TA patient rehabilitation are necessary to reduce disabilities in TA patients.","author":[{"dropping-particle":"","family":"Lee","given":"Jung Soo","non-dropping-particle":"","parse-names":false,"suffix":""},{"dropping-particle":"","family":"Kim","given":"Yeo Hyung","non-dropping-particle":"","parse-names":false,"suffix":""},{"dropping-particle":"","family":"Yun","given":"Jae Sung","non-dropping-particle":"","parse-names":false,"suffix":""},{"dropping-particle":"","family":"Jung","given":"Sang Eun","non-dropping-particle":"","parse-names":false,"suffix":""},{"dropping-particle":"","family":"Chae","given":"Choong Sik","non-dropping-particle":"","parse-names":false,"suffix":""},{"dropping-particle":"","family":"Chung","given":"Min Jae","non-dropping-particle":"","parse-names":false,"suffix":""}],"container-title":"Annals of Rehabilitation Medicine","id":"ITEM-1","issue":"2","issued":{"date-parts":[["2016"]]},"page":"288-293","publisher":"Korean Academy of Rehabilitation Medicine","title":"Characteristics of patients injured in road traffic accidents according to the new injury severity score","type":"article-journal","volume":"40"},"uris":["http://www.mendeley.com/documents/?uuid=c80eb737-3087-3c14-bcdd-fddcbaae20e1"]}],"mendeley":{"formattedCitation":"(Lee et al. 2016)","plainTextFormattedCitation":"(Lee et al. 2016)","previouslyFormattedCitation":"(Lee et al. 2016)"},"properties":{"noteIndex":0},"schema":"https://github.com/citation-style-language/schema/raw/master/csl-citation.json"}</w:instrText>
            </w:r>
            <w:r>
              <w:fldChar w:fldCharType="separate"/>
            </w:r>
            <w:r w:rsidRPr="00BB6083">
              <w:rPr>
                <w:noProof/>
              </w:rPr>
              <w:t>(Lee et al. 2016)</w:t>
            </w:r>
            <w:r>
              <w:fldChar w:fldCharType="end"/>
            </w:r>
          </w:p>
        </w:tc>
      </w:tr>
      <w:tr w:rsidR="00D52A47" w14:paraId="44D7F922" w14:textId="77777777" w:rsidTr="00356EB3">
        <w:tc>
          <w:tcPr>
            <w:tcW w:w="3255" w:type="dxa"/>
          </w:tcPr>
          <w:p w14:paraId="6BCF9714" w14:textId="77777777" w:rsidR="00D52A47" w:rsidRPr="007B7749" w:rsidRDefault="00D52A47" w:rsidP="00356EB3">
            <w:pPr>
              <w:spacing w:line="480" w:lineRule="auto"/>
            </w:pPr>
            <w:r w:rsidRPr="007B7749">
              <w:t>sd_los_ISS_9_to_15</w:t>
            </w:r>
          </w:p>
        </w:tc>
        <w:tc>
          <w:tcPr>
            <w:tcW w:w="1702" w:type="dxa"/>
          </w:tcPr>
          <w:p w14:paraId="15E3BCA6" w14:textId="77777777" w:rsidR="00D52A47" w:rsidRPr="007B7749" w:rsidRDefault="00D52A47" w:rsidP="00356EB3">
            <w:pPr>
              <w:spacing w:line="480" w:lineRule="auto"/>
            </w:pPr>
            <w:r w:rsidRPr="007B7749">
              <w:t xml:space="preserve"> </w:t>
            </w:r>
            <w:r>
              <w:t xml:space="preserve">Variation in length of stay for those with an ISS score between 9 and 15 </w:t>
            </w:r>
            <w:r>
              <w:fldChar w:fldCharType="begin" w:fldLock="1"/>
            </w:r>
            <w:r>
              <w:instrText>ADDIN CSL_CITATION {"citationItems":[{"id":"ITEM-1","itemData":{"DOI":"10.5535/arm.2016.40.2.288","ISSN":"22340653","abstract":"Objective To investigate the clinical characteristics of patients involved in road traffic accidents according to the New Injury Severity Score (NISS). Methods In this study, medical records of 1,048 patients admitted at three hospitals located in different regions between January and December 2014 were retrospectively reviewed. Only patients who received inpatient treatments covered by automobile insurance during the period were included. Accidents were classified as pedestrian, driver, passenger, motorcycle, or bicycle; and the severity of injury was assessed by the NISS. Results The proportion of pedestrian traffic accident (TA) was the highest, followed by driver, passenger, motorcycle and bicycle TA. The mean NISS was significantly higher in pedestrian and motorcycle TAs and lower in passenger TA. Analysis of differences in mean hospital length of stay (HLS) according to NISS injury severity revealed 4.97±4.86 days in the minor injury group, 8.91±5.93 days in the moderate injury group, 15.46±11.16 days in the serious injury group, 24.73±17.03 days in the severe injury group, and 30.86±34.03 days in the critical injury group (p&lt;0.05). Conclusion The study results indicated that higher NISS correlated to longer HLS, fewer home discharges, and increasing mortality. Specialized hospitals for TA patient rehabilitation are necessary to reduce disabilities in TA patients.","author":[{"dropping-particle":"","family":"Lee","given":"Jung Soo","non-dropping-particle":"","parse-names":false,"suffix":""},{"dropping-particle":"","family":"Kim","given":"Yeo Hyung","non-dropping-particle":"","parse-names":false,"suffix":""},{"dropping-particle":"","family":"Yun","given":"Jae Sung","non-dropping-particle":"","parse-names":false,"suffix":""},{"dropping-particle":"","family":"Jung","given":"Sang Eun","non-dropping-particle":"","parse-names":false,"suffix":""},{"dropping-particle":"","family":"Chae","given":"Choong Sik","non-dropping-particle":"","parse-names":false,"suffix":""},{"dropping-particle":"","family":"Chung","given":"Min Jae","non-dropping-particle":"","parse-names":false,"suffix":""}],"container-title":"Annals of Rehabilitation Medicine","id":"ITEM-1","issue":"2","issued":{"date-parts":[["2016"]]},"page":"288-293","publisher":"Korean Academy of Rehabilitation Medicine","title":"Characteristics of patients injured in road traffic accidents according to the new injury severity score","type":"article-journal","volume":"40"},"uris":["http://www.mendeley.com/documents/?uuid=c80eb737-3087-3c14-bcdd-fddcbaae20e1"]}],"mendeley":{"formattedCitation":"(Lee et al. 2016)","plainTextFormattedCitation":"(Lee et al. 2016)","previouslyFormattedCitation":"(Lee et al. 2016)"},"properties":{"noteIndex":0},"schema":"https://github.com/citation-style-language/schema/raw/master/csl-citation.json"}</w:instrText>
            </w:r>
            <w:r>
              <w:fldChar w:fldCharType="separate"/>
            </w:r>
            <w:r w:rsidRPr="00BB6083">
              <w:rPr>
                <w:noProof/>
              </w:rPr>
              <w:t>(Lee et al. 2016)</w:t>
            </w:r>
            <w:r>
              <w:fldChar w:fldCharType="end"/>
            </w:r>
          </w:p>
        </w:tc>
        <w:tc>
          <w:tcPr>
            <w:tcW w:w="2587" w:type="dxa"/>
            <w:gridSpan w:val="2"/>
          </w:tcPr>
          <w:p w14:paraId="5CC8F2D0" w14:textId="77777777" w:rsidR="00D52A47" w:rsidRDefault="00D52A47" w:rsidP="00356EB3">
            <w:pPr>
              <w:spacing w:line="480" w:lineRule="auto"/>
            </w:pPr>
            <w:r w:rsidRPr="007B7749">
              <w:t>11.16</w:t>
            </w:r>
          </w:p>
        </w:tc>
        <w:tc>
          <w:tcPr>
            <w:tcW w:w="1472" w:type="dxa"/>
          </w:tcPr>
          <w:p w14:paraId="2417EC7B" w14:textId="77777777" w:rsidR="00D52A47" w:rsidRDefault="00D52A47" w:rsidP="00356EB3">
            <w:pPr>
              <w:keepNext/>
              <w:spacing w:line="480" w:lineRule="auto"/>
            </w:pPr>
            <w:r>
              <w:fldChar w:fldCharType="begin" w:fldLock="1"/>
            </w:r>
            <w:r>
              <w:instrText>ADDIN CSL_CITATION {"citationItems":[{"id":"ITEM-1","itemData":{"DOI":"10.5535/arm.2016.40.2.288","ISSN":"22340653","abstract":"Objective To investigate the clinical characteristics of patients involved in road traffic accidents according to the New Injury Severity Score (NISS). Methods In this study, medical records of 1,048 patients admitted at three hospitals located in different regions between January and December 2014 were retrospectively reviewed. Only patients who received inpatient treatments covered by automobile insurance during the period were included. Accidents were classified as pedestrian, driver, passenger, motorcycle, or bicycle; and the severity of injury was assessed by the NISS. Results The proportion of pedestrian traffic accident (TA) was the highest, followed by driver, passenger, motorcycle and bicycle TA. The mean NISS was significantly higher in pedestrian and motorcycle TAs and lower in passenger TA. Analysis of differences in mean hospital length of stay (HLS) according to NISS injury severity revealed 4.97±4.86 days in the minor injury group, 8.91±5.93 days in the moderate injury group, 15.46±11.16 days in the serious injury group, 24.73±17.03 days in the severe injury group, and 30.86±34.03 days in the critical injury group (p&lt;0.05). Conclusion The study results indicated that higher NISS correlated to longer HLS, fewer home discharges, and increasing mortality. Specialized hospitals for TA patient rehabilitation are necessary to reduce disabilities in TA patients.","author":[{"dropping-particle":"","family":"Lee","given":"Jung Soo","non-dropping-particle":"","parse-names":false,"suffix":""},{"dropping-particle":"","family":"Kim","given":"Yeo Hyung","non-dropping-particle":"","parse-names":false,"suffix":""},{"dropping-particle":"","family":"Yun","given":"Jae Sung","non-dropping-particle":"","parse-names":false,"suffix":""},{"dropping-particle":"","family":"Jung","given":"Sang Eun","non-dropping-particle":"","parse-names":false,"suffix":""},{"dropping-particle":"","family":"Chae","given":"Choong Sik","non-dropping-particle":"","parse-names":false,"suffix":""},{"dropping-particle":"","family":"Chung","given":"Min Jae","non-dropping-particle":"","parse-names":false,"suffix":""}],"container-title":"Annals of Rehabilitation Medicine","id":"ITEM-1","issue":"2","issued":{"date-parts":[["2016"]]},"page":"288-293","publisher":"Korean Academy of Rehabilitation Medicine","title":"Characteristics of patients injured in road traffic accidents according to the new injury severity score","type":"article-journal","volume":"40"},"uris":["http://www.mendeley.com/documents/?uuid=c80eb737-3087-3c14-bcdd-fddcbaae20e1"]}],"mendeley":{"formattedCitation":"(Lee et al. 2016)","plainTextFormattedCitation":"(Lee et al. 2016)","previouslyFormattedCitation":"(Lee et al. 2016)"},"properties":{"noteIndex":0},"schema":"https://github.com/citation-style-language/schema/raw/master/csl-citation.json"}</w:instrText>
            </w:r>
            <w:r>
              <w:fldChar w:fldCharType="separate"/>
            </w:r>
            <w:r w:rsidRPr="00BB6083">
              <w:rPr>
                <w:noProof/>
              </w:rPr>
              <w:t>(Lee et al. 2016)</w:t>
            </w:r>
            <w:r>
              <w:fldChar w:fldCharType="end"/>
            </w:r>
          </w:p>
        </w:tc>
      </w:tr>
      <w:tr w:rsidR="00D52A47" w14:paraId="5906D35B" w14:textId="77777777" w:rsidTr="00356EB3">
        <w:tc>
          <w:tcPr>
            <w:tcW w:w="3255" w:type="dxa"/>
          </w:tcPr>
          <w:p w14:paraId="2C7D6E03" w14:textId="77777777" w:rsidR="00D52A47" w:rsidRPr="007B7749" w:rsidRDefault="00D52A47" w:rsidP="00356EB3">
            <w:pPr>
              <w:spacing w:line="480" w:lineRule="auto"/>
            </w:pPr>
            <w:r w:rsidRPr="007B7749">
              <w:t>mean_los_ISS_16_to_24</w:t>
            </w:r>
          </w:p>
        </w:tc>
        <w:tc>
          <w:tcPr>
            <w:tcW w:w="1702" w:type="dxa"/>
          </w:tcPr>
          <w:p w14:paraId="62F228B4" w14:textId="77777777" w:rsidR="00D52A47" w:rsidRPr="007B7749" w:rsidRDefault="00D52A47" w:rsidP="00356EB3">
            <w:pPr>
              <w:spacing w:line="480" w:lineRule="auto"/>
            </w:pPr>
            <w:r>
              <w:t xml:space="preserve">Mean length of stay for those with an ISS score between 16 and 24 </w:t>
            </w:r>
          </w:p>
        </w:tc>
        <w:tc>
          <w:tcPr>
            <w:tcW w:w="2587" w:type="dxa"/>
            <w:gridSpan w:val="2"/>
          </w:tcPr>
          <w:p w14:paraId="7F106365" w14:textId="77777777" w:rsidR="00D52A47" w:rsidRDefault="00D52A47" w:rsidP="00356EB3">
            <w:pPr>
              <w:spacing w:line="480" w:lineRule="auto"/>
            </w:pPr>
            <w:r w:rsidRPr="007B7749">
              <w:t>24.73</w:t>
            </w:r>
          </w:p>
        </w:tc>
        <w:tc>
          <w:tcPr>
            <w:tcW w:w="1472" w:type="dxa"/>
          </w:tcPr>
          <w:p w14:paraId="32C20A03" w14:textId="77777777" w:rsidR="00D52A47" w:rsidRDefault="00D52A47" w:rsidP="00356EB3">
            <w:pPr>
              <w:keepNext/>
              <w:spacing w:line="480" w:lineRule="auto"/>
            </w:pPr>
            <w:r>
              <w:fldChar w:fldCharType="begin" w:fldLock="1"/>
            </w:r>
            <w:r>
              <w:instrText>ADDIN CSL_CITATION {"citationItems":[{"id":"ITEM-1","itemData":{"DOI":"10.5535/arm.2016.40.2.288","ISSN":"22340653","abstract":"Objective To investigate the clinical characteristics of patients involved in road traffic accidents according to the New Injury Severity Score (NISS). Methods In this study, medical records of 1,048 patients admitted at three hospitals located in different regions between January and December 2014 were retrospectively reviewed. Only patients who received inpatient treatments covered by automobile insurance during the period were included. Accidents were classified as pedestrian, driver, passenger, motorcycle, or bicycle; and the severity of injury was assessed by the NISS. Results The proportion of pedestrian traffic accident (TA) was the highest, followed by driver, passenger, motorcycle and bicycle TA. The mean NISS was significantly higher in pedestrian and motorcycle TAs and lower in passenger TA. Analysis of differences in mean hospital length of stay (HLS) according to NISS injury severity revealed 4.97±4.86 days in the minor injury group, 8.91±5.93 days in the moderate injury group, 15.46±11.16 days in the serious injury group, 24.73±17.03 days in the severe injury group, and 30.86±34.03 days in the critical injury group (p&lt;0.05). Conclusion The study results indicated that higher NISS correlated to longer HLS, fewer home discharges, and increasing mortality. Specialized hospitals for TA patient rehabilitation are necessary to reduce disabilities in TA patients.","author":[{"dropping-particle":"","family":"Lee","given":"Jung Soo","non-dropping-particle":"","parse-names":false,"suffix":""},{"dropping-particle":"","family":"Kim","given":"Yeo Hyung","non-dropping-particle":"","parse-names":false,"suffix":""},{"dropping-particle":"","family":"Yun","given":"Jae Sung","non-dropping-particle":"","parse-names":false,"suffix":""},{"dropping-particle":"","family":"Jung","given":"Sang Eun","non-dropping-particle":"","parse-names":false,"suffix":""},{"dropping-particle":"","family":"Chae","given":"Choong Sik","non-dropping-particle":"","parse-names":false,"suffix":""},{"dropping-particle":"","family":"Chung","given":"Min Jae","non-dropping-particle":"","parse-names":false,"suffix":""}],"container-title":"Annals of Rehabilitation Medicine","id":"ITEM-1","issue":"2","issued":{"date-parts":[["2016"]]},"page":"288-293","publisher":"Korean Academy of Rehabilitation Medicine","title":"Characteristics of patients injured in road traffic accidents according to the new injury severity score","type":"article-journal","volume":"40"},"uris":["http://www.mendeley.com/documents/?uuid=c80eb737-3087-3c14-bcdd-fddcbaae20e1"]}],"mendeley":{"formattedCitation":"(Lee et al. 2016)","plainTextFormattedCitation":"(Lee et al. 2016)","previouslyFormattedCitation":"(Lee et al. 2016)"},"properties":{"noteIndex":0},"schema":"https://github.com/citation-style-language/schema/raw/master/csl-citation.json"}</w:instrText>
            </w:r>
            <w:r>
              <w:fldChar w:fldCharType="separate"/>
            </w:r>
            <w:r w:rsidRPr="00BB6083">
              <w:rPr>
                <w:noProof/>
              </w:rPr>
              <w:t>(Lee et al. 2016)</w:t>
            </w:r>
            <w:r>
              <w:fldChar w:fldCharType="end"/>
            </w:r>
          </w:p>
        </w:tc>
      </w:tr>
      <w:tr w:rsidR="00D52A47" w14:paraId="0F482BAA" w14:textId="77777777" w:rsidTr="00356EB3">
        <w:tc>
          <w:tcPr>
            <w:tcW w:w="3255" w:type="dxa"/>
          </w:tcPr>
          <w:p w14:paraId="75E721B9" w14:textId="77777777" w:rsidR="00D52A47" w:rsidRPr="007B7749" w:rsidRDefault="00D52A47" w:rsidP="00356EB3">
            <w:pPr>
              <w:spacing w:line="480" w:lineRule="auto"/>
            </w:pPr>
            <w:r w:rsidRPr="007B7749">
              <w:t xml:space="preserve"> sd_los_ISS_16_to_24</w:t>
            </w:r>
          </w:p>
        </w:tc>
        <w:tc>
          <w:tcPr>
            <w:tcW w:w="1702" w:type="dxa"/>
          </w:tcPr>
          <w:p w14:paraId="3F05A3FA" w14:textId="77777777" w:rsidR="00D52A47" w:rsidRPr="007B7749" w:rsidRDefault="00D52A47" w:rsidP="00356EB3">
            <w:pPr>
              <w:spacing w:line="480" w:lineRule="auto"/>
            </w:pPr>
            <w:r w:rsidRPr="007B7749">
              <w:t xml:space="preserve"> </w:t>
            </w:r>
            <w:r>
              <w:t xml:space="preserve">Variation in length of stay for those with an ISS score between 16 and 24 </w:t>
            </w:r>
          </w:p>
        </w:tc>
        <w:tc>
          <w:tcPr>
            <w:tcW w:w="2587" w:type="dxa"/>
            <w:gridSpan w:val="2"/>
          </w:tcPr>
          <w:p w14:paraId="56708BB4" w14:textId="77777777" w:rsidR="00D52A47" w:rsidRDefault="00D52A47" w:rsidP="00356EB3">
            <w:pPr>
              <w:spacing w:line="480" w:lineRule="auto"/>
            </w:pPr>
            <w:r w:rsidRPr="007B7749">
              <w:t>17.03,</w:t>
            </w:r>
          </w:p>
        </w:tc>
        <w:tc>
          <w:tcPr>
            <w:tcW w:w="1472" w:type="dxa"/>
          </w:tcPr>
          <w:p w14:paraId="36AC6915" w14:textId="77777777" w:rsidR="00D52A47" w:rsidRDefault="00D52A47" w:rsidP="00356EB3">
            <w:pPr>
              <w:keepNext/>
              <w:spacing w:line="480" w:lineRule="auto"/>
            </w:pPr>
            <w:r>
              <w:fldChar w:fldCharType="begin" w:fldLock="1"/>
            </w:r>
            <w:r>
              <w:instrText>ADDIN CSL_CITATION {"citationItems":[{"id":"ITEM-1","itemData":{"DOI":"10.5535/arm.2016.40.2.288","ISSN":"22340653","abstract":"Objective To investigate the clinical characteristics of patients involved in road traffic accidents according to the New Injury Severity Score (NISS). Methods In this study, medical records of 1,048 patients admitted at three hospitals located in different regions between January and December 2014 were retrospectively reviewed. Only patients who received inpatient treatments covered by automobile insurance during the period were included. Accidents were classified as pedestrian, driver, passenger, motorcycle, or bicycle; and the severity of injury was assessed by the NISS. Results The proportion of pedestrian traffic accident (TA) was the highest, followed by driver, passenger, motorcycle and bicycle TA. The mean NISS was significantly higher in pedestrian and motorcycle TAs and lower in passenger TA. Analysis of differences in mean hospital length of stay (HLS) according to NISS injury severity revealed 4.97±4.86 days in the minor injury group, 8.91±5.93 days in the moderate injury group, 15.46±11.16 days in the serious injury group, 24.73±17.03 days in the severe injury group, and 30.86±34.03 days in the critical injury group (p&lt;0.05). Conclusion The study results indicated that higher NISS correlated to longer HLS, fewer home discharges, and increasing mortality. Specialized hospitals for TA patient rehabilitation are necessary to reduce disabilities in TA patients.","author":[{"dropping-particle":"","family":"Lee","given":"Jung Soo","non-dropping-particle":"","parse-names":false,"suffix":""},{"dropping-particle":"","family":"Kim","given":"Yeo Hyung","non-dropping-particle":"","parse-names":false,"suffix":""},{"dropping-particle":"","family":"Yun","given":"Jae Sung","non-dropping-particle":"","parse-names":false,"suffix":""},{"dropping-particle":"","family":"Jung","given":"Sang Eun","non-dropping-particle":"","parse-names":false,"suffix":""},{"dropping-particle":"","family":"Chae","given":"Choong Sik","non-dropping-particle":"","parse-names":false,"suffix":""},{"dropping-particle":"","family":"Chung","given":"Min Jae","non-dropping-particle":"","parse-names":false,"suffix":""}],"container-title":"Annals of Rehabilitation Medicine","id":"ITEM-1","issue":"2","issued":{"date-parts":[["2016"]]},"page":"288-293","publisher":"Korean Academy of Rehabilitation Medicine","title":"Characteristics of patients injured in road traffic accidents according to the new injury severity score","type":"article-journal","volume":"40"},"uris":["http://www.mendeley.com/documents/?uuid=c80eb737-3087-3c14-bcdd-fddcbaae20e1"]}],"mendeley":{"formattedCitation":"(Lee et al. 2016)","plainTextFormattedCitation":"(Lee et al. 2016)","previouslyFormattedCitation":"(Lee et al. 2016)"},"properties":{"noteIndex":0},"schema":"https://github.com/citation-style-language/schema/raw/master/csl-citation.json"}</w:instrText>
            </w:r>
            <w:r>
              <w:fldChar w:fldCharType="separate"/>
            </w:r>
            <w:r w:rsidRPr="00BB6083">
              <w:rPr>
                <w:noProof/>
              </w:rPr>
              <w:t>(Lee et al. 2016)</w:t>
            </w:r>
            <w:r>
              <w:fldChar w:fldCharType="end"/>
            </w:r>
          </w:p>
        </w:tc>
      </w:tr>
      <w:tr w:rsidR="00D52A47" w14:paraId="65D6FD80" w14:textId="77777777" w:rsidTr="00356EB3">
        <w:tc>
          <w:tcPr>
            <w:tcW w:w="3255" w:type="dxa"/>
          </w:tcPr>
          <w:p w14:paraId="5EBFD4D9" w14:textId="77777777" w:rsidR="00D52A47" w:rsidRPr="007B7749" w:rsidRDefault="00D52A47" w:rsidP="00356EB3">
            <w:pPr>
              <w:spacing w:line="480" w:lineRule="auto"/>
            </w:pPr>
            <w:r w:rsidRPr="007B7749">
              <w:t>mean_los_ISS_more_than_25</w:t>
            </w:r>
          </w:p>
        </w:tc>
        <w:tc>
          <w:tcPr>
            <w:tcW w:w="1702" w:type="dxa"/>
          </w:tcPr>
          <w:p w14:paraId="00557C9A" w14:textId="77777777" w:rsidR="00D52A47" w:rsidRPr="007B7749" w:rsidRDefault="00D52A47" w:rsidP="00356EB3">
            <w:pPr>
              <w:spacing w:line="480" w:lineRule="auto"/>
            </w:pPr>
            <w:r>
              <w:t>Mean length of stay for those with an ISS score greater than 25</w:t>
            </w:r>
          </w:p>
        </w:tc>
        <w:tc>
          <w:tcPr>
            <w:tcW w:w="2587" w:type="dxa"/>
            <w:gridSpan w:val="2"/>
          </w:tcPr>
          <w:p w14:paraId="6A99C568" w14:textId="77777777" w:rsidR="00D52A47" w:rsidRDefault="00D52A47" w:rsidP="00356EB3">
            <w:pPr>
              <w:spacing w:line="480" w:lineRule="auto"/>
            </w:pPr>
            <w:r w:rsidRPr="007B7749">
              <w:t>30.86</w:t>
            </w:r>
          </w:p>
        </w:tc>
        <w:tc>
          <w:tcPr>
            <w:tcW w:w="1472" w:type="dxa"/>
          </w:tcPr>
          <w:p w14:paraId="28372018" w14:textId="77777777" w:rsidR="00D52A47" w:rsidRDefault="00D52A47" w:rsidP="00356EB3">
            <w:pPr>
              <w:keepNext/>
              <w:spacing w:line="480" w:lineRule="auto"/>
            </w:pPr>
            <w:r>
              <w:fldChar w:fldCharType="begin" w:fldLock="1"/>
            </w:r>
            <w:r>
              <w:instrText>ADDIN CSL_CITATION {"citationItems":[{"id":"ITEM-1","itemData":{"DOI":"10.5535/arm.2016.40.2.288","ISSN":"22340653","abstract":"Objective To investigate the clinical characteristics of patients involved in road traffic accidents according to the New Injury Severity Score (NISS). Methods In this study, medical records of 1,048 patients admitted at three hospitals located in different regions between January and December 2014 were retrospectively reviewed. Only patients who received inpatient treatments covered by automobile insurance during the period were included. Accidents were classified as pedestrian, driver, passenger, motorcycle, or bicycle; and the severity of injury was assessed by the NISS. Results The proportion of pedestrian traffic accident (TA) was the highest, followed by driver, passenger, motorcycle and bicycle TA. The mean NISS was significantly higher in pedestrian and motorcycle TAs and lower in passenger TA. Analysis of differences in mean hospital length of stay (HLS) according to NISS injury severity revealed 4.97±4.86 days in the minor injury group, 8.91±5.93 days in the moderate injury group, 15.46±11.16 days in the serious injury group, 24.73±17.03 days in the severe injury group, and 30.86±34.03 days in the critical injury group (p&lt;0.05). Conclusion The study results indicated that higher NISS correlated to longer HLS, fewer home discharges, and increasing mortality. Specialized hospitals for TA patient rehabilitation are necessary to reduce disabilities in TA patients.","author":[{"dropping-particle":"","family":"Lee","given":"Jung Soo","non-dropping-particle":"","parse-names":false,"suffix":""},{"dropping-particle":"","family":"Kim","given":"Yeo Hyung","non-dropping-particle":"","parse-names":false,"suffix":""},{"dropping-particle":"","family":"Yun","given":"Jae Sung","non-dropping-particle":"","parse-names":false,"suffix":""},{"dropping-particle":"","family":"Jung","given":"Sang Eun","non-dropping-particle":"","parse-names":false,"suffix":""},{"dropping-particle":"","family":"Chae","given":"Choong Sik","non-dropping-particle":"","parse-names":false,"suffix":""},{"dropping-particle":"","family":"Chung","given":"Min Jae","non-dropping-particle":"","parse-names":false,"suffix":""}],"container-title":"Annals of Rehabilitation Medicine","id":"ITEM-1","issue":"2","issued":{"date-parts":[["2016"]]},"page":"288-293","publisher":"Korean Academy of Rehabilitation Medicine","title":"Characteristics of patients injured in road traffic accidents according to the new injury severity score","type":"article-journal","volume":"40"},"uris":["http://www.mendeley.com/documents/?uuid=c80eb737-3087-3c14-bcdd-fddcbaae20e1"]}],"mendeley":{"formattedCitation":"(Lee et al. 2016)","plainTextFormattedCitation":"(Lee et al. 2016)","previouslyFormattedCitation":"(Lee et al. 2016)"},"properties":{"noteIndex":0},"schema":"https://github.com/citation-style-language/schema/raw/master/csl-citation.json"}</w:instrText>
            </w:r>
            <w:r>
              <w:fldChar w:fldCharType="separate"/>
            </w:r>
            <w:r w:rsidRPr="00BB6083">
              <w:rPr>
                <w:noProof/>
              </w:rPr>
              <w:t>(Lee et al. 2016)</w:t>
            </w:r>
            <w:r>
              <w:fldChar w:fldCharType="end"/>
            </w:r>
          </w:p>
        </w:tc>
      </w:tr>
      <w:tr w:rsidR="00D52A47" w14:paraId="0B0BB6AF" w14:textId="77777777" w:rsidTr="00356EB3">
        <w:tc>
          <w:tcPr>
            <w:tcW w:w="3255" w:type="dxa"/>
          </w:tcPr>
          <w:p w14:paraId="03C80DF7" w14:textId="77777777" w:rsidR="00D52A47" w:rsidRPr="007B7749" w:rsidRDefault="00D52A47" w:rsidP="00356EB3">
            <w:pPr>
              <w:spacing w:line="480" w:lineRule="auto"/>
            </w:pPr>
            <w:r w:rsidRPr="007B7749">
              <w:t xml:space="preserve"> sd_los_ISS_more_that_25</w:t>
            </w:r>
          </w:p>
        </w:tc>
        <w:tc>
          <w:tcPr>
            <w:tcW w:w="1702" w:type="dxa"/>
          </w:tcPr>
          <w:p w14:paraId="2CCC76E0" w14:textId="77777777" w:rsidR="00D52A47" w:rsidRPr="007B7749" w:rsidRDefault="00D52A47" w:rsidP="00356EB3">
            <w:pPr>
              <w:spacing w:line="480" w:lineRule="auto"/>
            </w:pPr>
            <w:r>
              <w:t xml:space="preserve">Variation length of stay for those with an </w:t>
            </w:r>
            <w:r>
              <w:lastRenderedPageBreak/>
              <w:t>ISS score greater than 25</w:t>
            </w:r>
          </w:p>
        </w:tc>
        <w:tc>
          <w:tcPr>
            <w:tcW w:w="2587" w:type="dxa"/>
            <w:gridSpan w:val="2"/>
          </w:tcPr>
          <w:p w14:paraId="3AF9476B" w14:textId="77777777" w:rsidR="00D52A47" w:rsidRDefault="00D52A47" w:rsidP="00356EB3">
            <w:pPr>
              <w:spacing w:line="480" w:lineRule="auto"/>
            </w:pPr>
            <w:r w:rsidRPr="007B7749">
              <w:lastRenderedPageBreak/>
              <w:t>34.03</w:t>
            </w:r>
          </w:p>
        </w:tc>
        <w:tc>
          <w:tcPr>
            <w:tcW w:w="1472" w:type="dxa"/>
          </w:tcPr>
          <w:p w14:paraId="083597C3" w14:textId="77777777" w:rsidR="00D52A47" w:rsidRDefault="00D52A47" w:rsidP="00356EB3">
            <w:pPr>
              <w:keepNext/>
              <w:spacing w:line="480" w:lineRule="auto"/>
            </w:pPr>
            <w:r>
              <w:fldChar w:fldCharType="begin" w:fldLock="1"/>
            </w:r>
            <w:r>
              <w:instrText>ADDIN CSL_CITATION {"citationItems":[{"id":"ITEM-1","itemData":{"DOI":"10.5535/arm.2016.40.2.288","ISSN":"22340653","abstract":"Objective To investigate the clinical characteristics of patients involved in road traffic accidents according to the New Injury Severity Score (NISS). Methods In this study, medical records of 1,048 patients admitted at three hospitals located in different regions between January and December 2014 were retrospectively reviewed. Only patients who received inpatient treatments covered by automobile insurance during the period were included. Accidents were classified as pedestrian, driver, passenger, motorcycle, or bicycle; and the severity of injury was assessed by the NISS. Results The proportion of pedestrian traffic accident (TA) was the highest, followed by driver, passenger, motorcycle and bicycle TA. The mean NISS was significantly higher in pedestrian and motorcycle TAs and lower in passenger TA. Analysis of differences in mean hospital length of stay (HLS) according to NISS injury severity revealed 4.97±4.86 days in the minor injury group, 8.91±5.93 days in the moderate injury group, 15.46±11.16 days in the serious injury group, 24.73±17.03 days in the severe injury group, and 30.86±34.03 days in the critical injury group (p&lt;0.05). Conclusion The study results indicated that higher NISS correlated to longer HLS, fewer home discharges, and increasing mortality. Specialized hospitals for TA patient rehabilitation are necessary to reduce disabilities in TA patients.","author":[{"dropping-particle":"","family":"Lee","given":"Jung Soo","non-dropping-particle":"","parse-names":false,"suffix":""},{"dropping-particle":"","family":"Kim","given":"Yeo Hyung","non-dropping-particle":"","parse-names":false,"suffix":""},{"dropping-particle":"","family":"Yun","given":"Jae Sung","non-dropping-particle":"","parse-names":false,"suffix":""},{"dropping-particle":"","family":"Jung","given":"Sang Eun","non-dropping-particle":"","parse-names":false,"suffix":""},{"dropping-particle":"","family":"Chae","given":"Choong Sik","non-dropping-particle":"","parse-names":false,"suffix":""},{"dropping-particle":"","family":"Chung","given":"Min Jae","non-dropping-particle":"","parse-names":false,"suffix":""}],"container-title":"Annals of Rehabilitation Medicine","id":"ITEM-1","issue":"2","issued":{"date-parts":[["2016"]]},"page":"288-293","publisher":"Korean Academy of Rehabilitation Medicine","title":"Characteristics of patients injured in road traffic accidents according to the new injury severity score","type":"article-journal","volume":"40"},"uris":["http://www.mendeley.com/documents/?uuid=c80eb737-3087-3c14-bcdd-fddcbaae20e1"]}],"mendeley":{"formattedCitation":"(Lee et al. 2016)","plainTextFormattedCitation":"(Lee et al. 2016)","previouslyFormattedCitation":"(Lee et al. 2016)"},"properties":{"noteIndex":0},"schema":"https://github.com/citation-style-language/schema/raw/master/csl-citation.json"}</w:instrText>
            </w:r>
            <w:r>
              <w:fldChar w:fldCharType="separate"/>
            </w:r>
            <w:r w:rsidRPr="00BB6083">
              <w:rPr>
                <w:noProof/>
              </w:rPr>
              <w:t>(Lee et al. 2016)</w:t>
            </w:r>
            <w:r>
              <w:fldChar w:fldCharType="end"/>
            </w:r>
          </w:p>
        </w:tc>
      </w:tr>
      <w:tr w:rsidR="00D52A47" w14:paraId="7F02F1D6" w14:textId="77777777" w:rsidTr="00356EB3">
        <w:tc>
          <w:tcPr>
            <w:tcW w:w="3255" w:type="dxa"/>
          </w:tcPr>
          <w:p w14:paraId="5B6C1CCE" w14:textId="77777777" w:rsidR="00D52A47" w:rsidRPr="007B7749" w:rsidRDefault="00D52A47" w:rsidP="00356EB3">
            <w:pPr>
              <w:spacing w:line="480" w:lineRule="auto"/>
            </w:pPr>
            <w:r w:rsidRPr="005C7F39">
              <w:t>prob_dislocation_requires_surgery</w:t>
            </w:r>
          </w:p>
        </w:tc>
        <w:tc>
          <w:tcPr>
            <w:tcW w:w="1702" w:type="dxa"/>
          </w:tcPr>
          <w:p w14:paraId="5D9A04BE" w14:textId="77777777" w:rsidR="00D52A47" w:rsidRPr="007B7749" w:rsidRDefault="00D52A47" w:rsidP="00356EB3">
            <w:pPr>
              <w:spacing w:line="480" w:lineRule="auto"/>
            </w:pPr>
            <w:r>
              <w:t>Probability that a dislocation will require a surgery</w:t>
            </w:r>
          </w:p>
        </w:tc>
        <w:tc>
          <w:tcPr>
            <w:tcW w:w="2587" w:type="dxa"/>
            <w:gridSpan w:val="2"/>
          </w:tcPr>
          <w:p w14:paraId="78B4DB2A" w14:textId="77777777" w:rsidR="00D52A47" w:rsidRDefault="00D52A47" w:rsidP="00356EB3">
            <w:pPr>
              <w:spacing w:line="480" w:lineRule="auto"/>
            </w:pPr>
            <w:r w:rsidRPr="007B7749">
              <w:t xml:space="preserve"> 0.01</w:t>
            </w:r>
          </w:p>
        </w:tc>
        <w:tc>
          <w:tcPr>
            <w:tcW w:w="1472" w:type="dxa"/>
          </w:tcPr>
          <w:p w14:paraId="4D48DAE9" w14:textId="77777777" w:rsidR="00D52A47" w:rsidRDefault="00D52A47" w:rsidP="00356EB3">
            <w:pPr>
              <w:keepNext/>
              <w:spacing w:line="480" w:lineRule="auto"/>
            </w:pPr>
            <w:r>
              <w:t>Dummy variable used to account for the fact that some dislocations will require surgery</w:t>
            </w:r>
          </w:p>
        </w:tc>
      </w:tr>
      <w:tr w:rsidR="00D52A47" w14:paraId="1BA1019B" w14:textId="77777777" w:rsidTr="00356EB3">
        <w:tc>
          <w:tcPr>
            <w:tcW w:w="3255" w:type="dxa"/>
          </w:tcPr>
          <w:p w14:paraId="2F048CBD" w14:textId="77777777" w:rsidR="00D52A47" w:rsidRPr="005C7F39" w:rsidRDefault="00D52A47" w:rsidP="00356EB3">
            <w:pPr>
              <w:spacing w:line="480" w:lineRule="auto"/>
            </w:pPr>
            <w:r w:rsidRPr="007B7749">
              <w:t xml:space="preserve"> prob_depressed_skull_fracture</w:t>
            </w:r>
          </w:p>
        </w:tc>
        <w:tc>
          <w:tcPr>
            <w:tcW w:w="1702" w:type="dxa"/>
          </w:tcPr>
          <w:p w14:paraId="5C97FB03" w14:textId="77777777" w:rsidR="00D52A47" w:rsidRDefault="00D52A47" w:rsidP="00356EB3">
            <w:pPr>
              <w:spacing w:line="480" w:lineRule="auto"/>
            </w:pPr>
            <w:r>
              <w:t>Probability that the person’s skull fracture is depressed and will require surgery</w:t>
            </w:r>
          </w:p>
        </w:tc>
        <w:tc>
          <w:tcPr>
            <w:tcW w:w="2587" w:type="dxa"/>
            <w:gridSpan w:val="2"/>
          </w:tcPr>
          <w:p w14:paraId="4D857F73" w14:textId="77777777" w:rsidR="00D52A47" w:rsidRPr="007B7749" w:rsidRDefault="00D52A47" w:rsidP="00356EB3">
            <w:pPr>
              <w:spacing w:line="480" w:lineRule="auto"/>
            </w:pPr>
            <w:r w:rsidRPr="007B7749">
              <w:t>0.14</w:t>
            </w:r>
          </w:p>
        </w:tc>
        <w:tc>
          <w:tcPr>
            <w:tcW w:w="1472" w:type="dxa"/>
          </w:tcPr>
          <w:p w14:paraId="1577450F" w14:textId="77777777" w:rsidR="00D52A47" w:rsidRDefault="00D52A47" w:rsidP="00356EB3">
            <w:pPr>
              <w:keepNext/>
              <w:spacing w:line="480" w:lineRule="auto"/>
            </w:pPr>
            <w:r>
              <w:fldChar w:fldCharType="begin" w:fldLock="1"/>
            </w:r>
            <w:r>
              <w:instrText>ADDIN CSL_CITATION {"citationItems":[{"id":"ITEM-1","itemData":{"DOI":"10.1016/j.wneu.2017.09.084","ISSN":"18788769","abstract":"Background Trauma accounts for 4.7 million deaths each year, with an estimated 90% of these occurring in low- and middle-income countries (LMICs). Approximately half of trauma-related deaths are caused by central nervous system injury. Because a thorough understanding of traumatic brain injury (TBI) in LMICs is essential to mitigate TBI-related mortality, we established a clinical and radiographic database to characterize TBI in our low-income setting. Methods This is a review of prospectively collected data from Kamuzu Central Hospital, a tertiary care center in the capital of Malawi. All patients admitted from October 2016 through May 2017 with a history of head trauma, altered consciousness, and/or radiographic evidence TBI were included. We performed descriptive statistics, a Cox regression analysis, and a survival analysis. Results There were 280 patients who met inclusion criteria; of these, 80.5% were men. The mean age was 28.8 ± 16.3 years. Median Glasgow Coma Scale (GCS) score was 12 (interquartile range, 8–15). Road traffic crashes constituted the most common injury mechanism (60.7%). There were 148 (52.3%) patients who received a computed tomography scan, with the most common findings being contusions (26.1%). Of the patients, 88 (33.0%) had severe TBI, defined as a GCS score ≤8, of whom 27.6% were intubated and 10.3% received tracheostomies. Overall mortality was 30.9%. Of patients who survived, 80.1% made a good recovery. Female sex was protective, and the only significant predictor of poor functional outcome was presence of severe TBI (hazard ratio, 2.98; 95% confidence interval, 1.79–4.95). Conclusions TBI represents a significant part of the global neurosurgical burden of disease. Implementation of proven in-hospital interventions for these patients is critical to attenuate TBI-related morbidity and mortality.","author":[{"dropping-particle":"","family":"Eaton","given":"Jessica","non-dropping-particle":"","parse-names":false,"suffix":""},{"dropping-particle":"","family":"Hanif","given":"Asma Bilal","non-dropping-particle":"","parse-names":false,"suffix":""},{"dropping-particle":"","family":"Grudziak","given":"Joanna","non-dropping-particle":"","parse-names":false,"suffix":""},{"dropping-particle":"","family":"Charles","given":"Anthony","non-dropping-particle":"","parse-names":false,"suffix":""}],"container-title":"World Neurosurgery","id":"ITEM-1","issued":{"date-parts":[["2017","12","1"]]},"page":"650-655","publisher":"Elsevier Inc.","title":"Epidemiology, Management, and Functional Outcomes of Traumatic Brain Injury in Sub-Saharan Africa","type":"article-journal","volume":"108"},"uris":["http://www.mendeley.com/documents/?uuid=6a43943e-a11d-432e-b357-ccf32a4ba38e"]}],"mendeley":{"formattedCitation":"(Eaton et al. 2017)","plainTextFormattedCitation":"(Eaton et al. 2017)","previouslyFormattedCitation":"(Eaton et al. 2017)"},"properties":{"noteIndex":0},"schema":"https://github.com/citation-style-language/schema/raw/master/csl-citation.json"}</w:instrText>
            </w:r>
            <w:r>
              <w:fldChar w:fldCharType="separate"/>
            </w:r>
            <w:r w:rsidRPr="006A03B0">
              <w:rPr>
                <w:noProof/>
              </w:rPr>
              <w:t>(Eaton et al. 2017)</w:t>
            </w:r>
            <w:r>
              <w:fldChar w:fldCharType="end"/>
            </w:r>
          </w:p>
        </w:tc>
      </w:tr>
      <w:tr w:rsidR="00D52A47" w14:paraId="44028951" w14:textId="77777777" w:rsidTr="00356EB3">
        <w:tc>
          <w:tcPr>
            <w:tcW w:w="3255" w:type="dxa"/>
          </w:tcPr>
          <w:p w14:paraId="0AC750C8" w14:textId="77777777" w:rsidR="00D52A47" w:rsidRPr="007B7749" w:rsidRDefault="00D52A47" w:rsidP="00356EB3">
            <w:pPr>
              <w:spacing w:line="480" w:lineRule="auto"/>
            </w:pPr>
            <w:r w:rsidRPr="00834088">
              <w:t>prob_open_fracture_contaminated</w:t>
            </w:r>
          </w:p>
        </w:tc>
        <w:tc>
          <w:tcPr>
            <w:tcW w:w="1702" w:type="dxa"/>
          </w:tcPr>
          <w:p w14:paraId="1B72C859" w14:textId="77777777" w:rsidR="00D52A47" w:rsidRDefault="00D52A47" w:rsidP="00356EB3">
            <w:pPr>
              <w:spacing w:line="480" w:lineRule="auto"/>
            </w:pPr>
            <w:r>
              <w:t>Probability that the person’s open fracture is contaminated</w:t>
            </w:r>
          </w:p>
        </w:tc>
        <w:tc>
          <w:tcPr>
            <w:tcW w:w="2587" w:type="dxa"/>
            <w:gridSpan w:val="2"/>
          </w:tcPr>
          <w:p w14:paraId="1D7CC0F2" w14:textId="77777777" w:rsidR="00D52A47" w:rsidRPr="007B7749" w:rsidRDefault="00D52A47" w:rsidP="00356EB3">
            <w:pPr>
              <w:spacing w:line="480" w:lineRule="auto"/>
            </w:pPr>
            <w:r>
              <w:t>0.07</w:t>
            </w:r>
          </w:p>
        </w:tc>
        <w:tc>
          <w:tcPr>
            <w:tcW w:w="1472" w:type="dxa"/>
          </w:tcPr>
          <w:p w14:paraId="5602C9BF" w14:textId="77777777" w:rsidR="00D52A47" w:rsidRDefault="00D52A47" w:rsidP="00356EB3">
            <w:pPr>
              <w:keepNext/>
              <w:spacing w:line="480" w:lineRule="auto"/>
            </w:pPr>
            <w:r>
              <w:fldChar w:fldCharType="begin" w:fldLock="1"/>
            </w:r>
            <w:r>
              <w:instrText>ADDIN CSL_CITATION {"citationItems":[{"id":"ITEM-1","itemData":{"DOI":"10.1016/j.ijsu.2017.01.047","ISSN":"17439159","PMID":"28110030","abstract":"Introduction A lower extremity injury can be a devastating event in low-income countries due to limited access to surgical care. Its incidence, treatment patterns, and outcomes, however, have not been well-described. Methods We prospectively enrolled all patients admitted with lower extremity trauma to a tertiary hospital in Lilongwe, Malawi between October 2010 and September 2011. Patients with a lower extremity injury but primarily admitted for unrelated reasons were excluded. The outcomes were deaths, complications, and length of hospital stay. Results Of the 905 patients eligible for analysis, 696 (77%) were males. Most patients had femur fractures (46%), and most were treated non-operatively (70%). Overall mortality rate was 3.9%. For adult patients with femur fractures, mortality was higher in patients treated with traction (9.0%) than for those treated with surgery (1.3%). The total complication rate was 15%, with adjusted odds of developing a complication higher in patients with concurrent head injury (OR = 2.8; 95% CI: 1.3–6.0), and patients who had an operative treatment (OR = 2; 95% CI: 1.2–1.9). The median length of stay was 16 days (IQR: 6–27) and was greatest among patients with femur fractures. Conclusion Lower extremity injuries resulted in substantial mortality and morbidity in this low-income country. Mortality was particularly high among patients with femur fractures who did not have surgery. Modern orthopedic trauma surgery is greatly needed in low-income countries.","author":[{"dropping-particle":"","family":"Chagomerana","given":"Maganizo B.","non-dropping-particle":"","parse-names":false,"suffix":""},{"dropping-particle":"","family":"Tomlinson","given":"Jared","non-dropping-particle":"","parse-names":false,"suffix":""},{"dropping-particle":"","family":"Young","given":"Sven","non-dropping-particle":"","parse-names":false,"suffix":""},{"dropping-particle":"","family":"Hosseinipour","given":"Mina C.","non-dropping-particle":"","parse-names":false,"suffix":""},{"dropping-particle":"","family":"Banza","given":"Leonard","non-dropping-particle":"","parse-names":false,"suffix":""},{"dropping-particle":"","family":"Lee","given":"Clara N.","non-dropping-particle":"","parse-names":false,"suffix":""}],"container-title":"International Journal of Surgery","id":"ITEM-1","issued":{"date-parts":[["2017","3","1"]]},"page":"23-29","publisher":"Elsevier Ltd","title":"High morbidity and mortality after lower extremity injuries in Malawi: A prospective cohort study of 905 patients","type":"article-journal","volume":"39"},"uris":["http://www.mendeley.com/documents/?uuid=55d3c196-2dcc-3c44-a62b-cde7c636f1e1"]}],"mendeley":{"formattedCitation":"(Chagomerana et al. 2017)","plainTextFormattedCitation":"(Chagomerana et al. 2017)","previouslyFormattedCitation":"(Chagomerana et al. 2017)"},"properties":{"noteIndex":0},"schema":"https://github.com/citation-style-language/schema/raw/master/csl-citation.json"}</w:instrText>
            </w:r>
            <w:r>
              <w:fldChar w:fldCharType="separate"/>
            </w:r>
            <w:r w:rsidRPr="00DD292D">
              <w:rPr>
                <w:noProof/>
              </w:rPr>
              <w:t>(Chagomerana et al. 2017)</w:t>
            </w:r>
            <w:r>
              <w:fldChar w:fldCharType="end"/>
            </w:r>
          </w:p>
        </w:tc>
      </w:tr>
      <w:tr w:rsidR="00D52A47" w14:paraId="22F5B23C" w14:textId="77777777" w:rsidTr="00356EB3">
        <w:tc>
          <w:tcPr>
            <w:tcW w:w="9016" w:type="dxa"/>
            <w:gridSpan w:val="5"/>
          </w:tcPr>
          <w:p w14:paraId="305AB59A" w14:textId="77777777" w:rsidR="00D52A47" w:rsidRDefault="00D52A47" w:rsidP="00356EB3">
            <w:pPr>
              <w:keepNext/>
              <w:spacing w:line="480" w:lineRule="auto"/>
              <w:jc w:val="center"/>
            </w:pPr>
            <w:r>
              <w:t>Based on their choice to seek or not seek healthcare what health outcomes did each person experience (mortality, morbidity or recovery)?</w:t>
            </w:r>
          </w:p>
        </w:tc>
      </w:tr>
      <w:tr w:rsidR="00D52A47" w14:paraId="7F2866C8" w14:textId="77777777" w:rsidTr="00356EB3">
        <w:tc>
          <w:tcPr>
            <w:tcW w:w="3255" w:type="dxa"/>
          </w:tcPr>
          <w:p w14:paraId="46C360BE" w14:textId="77777777" w:rsidR="00D52A47" w:rsidRPr="00F0716A" w:rsidRDefault="00D52A47" w:rsidP="00356EB3">
            <w:pPr>
              <w:spacing w:line="480" w:lineRule="auto"/>
            </w:pPr>
            <w:r w:rsidRPr="00065E4E">
              <w:t>prob_death_iss_less_than_9</w:t>
            </w:r>
          </w:p>
        </w:tc>
        <w:tc>
          <w:tcPr>
            <w:tcW w:w="1702" w:type="dxa"/>
          </w:tcPr>
          <w:p w14:paraId="506334A9" w14:textId="77777777" w:rsidR="00D52A47" w:rsidRDefault="00D52A47" w:rsidP="00356EB3">
            <w:pPr>
              <w:spacing w:line="480" w:lineRule="auto"/>
            </w:pPr>
            <w:r>
              <w:t xml:space="preserve">The probability of mortality associated with an ISS score less </w:t>
            </w:r>
            <w:r>
              <w:lastRenderedPageBreak/>
              <w:t>than 9 with medical treatment</w:t>
            </w:r>
          </w:p>
        </w:tc>
        <w:tc>
          <w:tcPr>
            <w:tcW w:w="2587" w:type="dxa"/>
            <w:gridSpan w:val="2"/>
          </w:tcPr>
          <w:p w14:paraId="08E816DB" w14:textId="77777777" w:rsidR="00D52A47" w:rsidRDefault="00D52A47" w:rsidP="00356EB3">
            <w:pPr>
              <w:spacing w:line="480" w:lineRule="auto"/>
            </w:pPr>
            <w:r>
              <w:lastRenderedPageBreak/>
              <w:t xml:space="preserve">Run-specific, see </w:t>
            </w:r>
            <w:r>
              <w:fldChar w:fldCharType="begin"/>
            </w:r>
            <w:r>
              <w:instrText xml:space="preserve"> REF _Ref100156561 \h  \* MERGEFORMAT </w:instrText>
            </w:r>
            <w:r>
              <w:fldChar w:fldCharType="separate"/>
            </w:r>
            <w:r>
              <w:t xml:space="preserve">Table A </w:t>
            </w:r>
            <w:r>
              <w:rPr>
                <w:noProof/>
              </w:rPr>
              <w:t>4</w:t>
            </w:r>
            <w:r>
              <w:fldChar w:fldCharType="end"/>
            </w:r>
            <w:r>
              <w:t>.</w:t>
            </w:r>
          </w:p>
        </w:tc>
        <w:tc>
          <w:tcPr>
            <w:tcW w:w="1472" w:type="dxa"/>
          </w:tcPr>
          <w:p w14:paraId="4AC192C5" w14:textId="77777777" w:rsidR="00D52A47" w:rsidRPr="005C7F39" w:rsidRDefault="00D52A47" w:rsidP="00356EB3">
            <w:pPr>
              <w:keepNext/>
              <w:spacing w:line="480" w:lineRule="auto"/>
            </w:pPr>
            <w:r>
              <w:fldChar w:fldCharType="begin" w:fldLock="1"/>
            </w:r>
            <w:r>
              <w:instrText>ADDIN CSL_CITATION {"citationItems":[{"id":"ITEM-1","itemData":{"DOI":"10.1097/TA.0b013e3181a60275","ISSN":"00225282","PMID":"19935111","abstract":"Background: Injury Severity Score (ISS) is commonly used in prediction models and risk adjustment for mortality. However, few studies have assessed the relationship of ISS to outcomes such as resource use. To test the utility of ISS for investigation of the quality of trauma care, we evaluated the impact of ISS on resource utilization and mortality. Methods: Of 1,895,249 cases from a Japanese administrative database in 2006, 13,627 trauma patients with ISS were analyzed. Variables included demographics, ISS, number and locations of injured organs, comorbidities, diagnostic and therapeutic procedures recorded during hospitalization, and hospital type. Dependent variables were length of stay (LOS), total charges (TC), initial 48-hour TC, high outliers of LOS or TC, and mortality. Multivariate analyses were used to measure the impact of ISS. Results: ISS 1 to 9 was most frequent (85.5%) and blunt injury occurred in 93.7% of patients. With increasing ISS, the mortality rate rose to 27.2% at ISS ≥36. LOS was higher at ISS ≥36 whereas TC was higher at 25 to 35. After controlling for study variables, rehabilitation was most strongly associated with LOS, TC, and LOS outliers. ISS 25 to 35 affected initial 48-hour TC most, while ventilation affected mortality most. \"Abdomen, pelvic organs\" and ISS 25 to 35 or ≥36 were more strongly associated with outcomes. Conclusions: Specific ISS and injured organs may be used to estimate resource use or mortality for monitoring quality of trauma care. To integrate a more efficient system of trauma care, variations in resource input among hospitals should be investigated. © 2010 by Lippincott Williams &amp; Wilkins.","author":[{"dropping-particle":"","family":"Kuwabara","given":"Kazuaki","non-dropping-particle":"","parse-names":false,"suffix":""},{"dropping-particle":"","family":"Matsuda","given":"Shinya","non-dropping-particle":"","parse-names":false,"suffix":""},{"dropping-particle":"","family":"Imanaka","given":"Yuichi","non-dropping-particle":"","parse-names":false,"suffix":""},{"dropping-particle":"","family":"Fushimi","given":"Kiyohide","non-dropping-particle":"","parse-names":false,"suffix":""},{"dropping-particle":"","family":"Hashimoto","given":"Hideki","non-dropping-particle":"","parse-names":false,"suffix":""},{"dropping-particle":"","family":"Ishikawa","given":"Koichi B.","non-dropping-particle":"","parse-names":false,"suffix":""},{"dropping-particle":"","family":"Horiguchi","given":"Hiromasa","non-dropping-particle":"","parse-names":false,"suffix":""},{"dropping-particle":"","family":"Hayashida","given":"Kenshi","non-dropping-particle":"","parse-names":false,"suffix":""},{"dropping-particle":"","family":"Fujimori","given":"Kenji","non-dropping-particle":"","parse-names":false,"suffix":""},{"dropping-particle":"","family":"Ikeda","given":"Shunya","non-dropping-particle":"","parse-names":false,"suffix":""},{"dropping-particle":"","family":"Yasunaga","given":"Hideo","non-dropping-particle":"","parse-names":false,"suffix":""}],"container-title":"Journal of Trauma - Injury, Infection and Critical Care","id":"ITEM-1","issue":"2","issued":{"date-parts":[["2010","2"]]},"page":"463-470","publisher":"J Trauma","title":"Injury severity score, resource use, and outcome for trauma patients within a japanese administrative database","type":"article-journal","volume":"68"},"uris":["http://www.mendeley.com/documents/?uuid=cf35030c-1382-3ea5-894f-c4bfacbbaa94"]},{"id":"ITEM-2","itemData":{"DOI":"10.1016/j.jsurg.2014.09.010","ISSN":"19317204","abstract":"Importance Injuries are a significant cause of death and disability, particularly in low- and middle-income countries. Health care systems in resource-poor countries lack personnel and are ill equipped to treat severely injured patients; therefore, many injury-related deaths occur after hospital admission. Objectives This study evaluates the mortality for hospitalized trauma patients at a tertiary care hospital in Malawi. Design This study is a retrospective analysis of prospectively collected trauma surveillance data. We performed univariate and bivariate analyses to describe the population and logistic regression analysis to identify predictors of mortality. Setting Tertiary care hospital in sub-Saharan Africa. Participant Patients with traumatic injuries admitted to Kamuzu Central Hospital between January 2010 and December 2012. Main Outcome Measures Predictors of in-hospital mortality. Results The study population consisted of 7559 patients, with an average age of 27 years (±18 years) and a male predominance of 76%. Road traffic injuries, falls, and assaults were the most common causes of injury. The overall mortality was 4.2%. After adjusting for age, sex, type and mechanism of injury, and shock index, head/spine injuries had the highest odds of mortality, with an odds ratio of 5.80 (2.71-12.40). Conclusion and Relevance The burden of injuries in sub-Saharan Africa remains high. At this institution, road traffic injuries are the leading cause of injury and injury-related death. The most significant predictor of in-hospital mortality is the presence of head or spinal injury. These findings may be mitigated by a comprehensive injury-prevention effort targeting drivers and other road users and by increased attention and resources dedicated to the treatment of patients with head and/or spine injuries in the hospital setting.","author":[{"dropping-particle":"","family":"Tyson","given":"Anna F.","non-dropping-particle":"","parse-names":false,"suffix":""},{"dropping-particle":"","family":"Varela","given":"Carlos","non-dropping-particle":"","parse-names":false,"suffix":""},{"dropping-particle":"","family":"Cairns","given":"Bruce A.","non-dropping-particle":"","parse-names":false,"suffix":""},{"dropping-particle":"","family":"Charles","given":"Anthony G.","non-dropping-particle":"","parse-names":false,"suffix":""}],"container-title":"Journal of Surgical Education","id":"ITEM-2","issue":"4","issued":{"date-parts":[["2015","7","1"]]},"page":"e66-e72","publisher":"Elsevier Inc.","title":"Hospital Mortality Following Trauma: An Analysis of a Hospital-Based Injury Surveillance Registry in sub-Saharan Africa","type":"article-journal","volume":"72"},"uris":["http://www.mendeley.com/documents/?uuid=d16f74ea-a221-4f33-871a-d64254ba0960"]}],"mendeley":{"formattedCitation":"(Kuwabara et al. 2010; Tyson et al. 2015)","plainTextFormattedCitation":"(Kuwabara et al. 2010; Tyson et al. 2015)","previouslyFormattedCitation":"(Kuwabara et al. 2010; Tyson et al. 2015)"},"properties":{"noteIndex":0},"schema":"https://github.com/citation-style-language/schema/raw/master/csl-citation.json"}</w:instrText>
            </w:r>
            <w:r>
              <w:fldChar w:fldCharType="separate"/>
            </w:r>
            <w:r w:rsidRPr="00065E4E">
              <w:rPr>
                <w:noProof/>
              </w:rPr>
              <w:t>(Kuwabara et al. 2010; Tyson et al. 2015)</w:t>
            </w:r>
            <w:r>
              <w:fldChar w:fldCharType="end"/>
            </w:r>
          </w:p>
        </w:tc>
      </w:tr>
      <w:tr w:rsidR="00D52A47" w14:paraId="6D2F14C3" w14:textId="77777777" w:rsidTr="00356EB3">
        <w:tc>
          <w:tcPr>
            <w:tcW w:w="3255" w:type="dxa"/>
          </w:tcPr>
          <w:p w14:paraId="4BFBF0FB" w14:textId="77777777" w:rsidR="00D52A47" w:rsidRPr="00F0716A" w:rsidRDefault="00D52A47" w:rsidP="00356EB3">
            <w:pPr>
              <w:spacing w:line="480" w:lineRule="auto"/>
            </w:pPr>
            <w:r w:rsidRPr="00065E4E">
              <w:t>prob_death_iss_10_15</w:t>
            </w:r>
          </w:p>
        </w:tc>
        <w:tc>
          <w:tcPr>
            <w:tcW w:w="1702" w:type="dxa"/>
          </w:tcPr>
          <w:p w14:paraId="1B589D6F" w14:textId="77777777" w:rsidR="00D52A47" w:rsidRDefault="00D52A47" w:rsidP="00356EB3">
            <w:pPr>
              <w:spacing w:line="480" w:lineRule="auto"/>
            </w:pPr>
            <w:r>
              <w:t>The probability of mortality associated with an ISS score between 10 and 15 with medical treatment</w:t>
            </w:r>
          </w:p>
        </w:tc>
        <w:tc>
          <w:tcPr>
            <w:tcW w:w="2587" w:type="dxa"/>
            <w:gridSpan w:val="2"/>
          </w:tcPr>
          <w:p w14:paraId="319C7368" w14:textId="77777777" w:rsidR="00D52A47" w:rsidRDefault="00D52A47" w:rsidP="00356EB3">
            <w:pPr>
              <w:spacing w:line="480" w:lineRule="auto"/>
            </w:pPr>
            <w:r>
              <w:t xml:space="preserve">Run-specific, see </w:t>
            </w:r>
            <w:r>
              <w:fldChar w:fldCharType="begin"/>
            </w:r>
            <w:r>
              <w:instrText xml:space="preserve"> REF _Ref100156561 \h  \* MERGEFORMAT </w:instrText>
            </w:r>
            <w:r>
              <w:fldChar w:fldCharType="separate"/>
            </w:r>
            <w:r>
              <w:t xml:space="preserve">Table A </w:t>
            </w:r>
            <w:r>
              <w:rPr>
                <w:noProof/>
              </w:rPr>
              <w:t>4</w:t>
            </w:r>
            <w:r>
              <w:fldChar w:fldCharType="end"/>
            </w:r>
            <w:r>
              <w:t>.</w:t>
            </w:r>
          </w:p>
        </w:tc>
        <w:tc>
          <w:tcPr>
            <w:tcW w:w="1472" w:type="dxa"/>
          </w:tcPr>
          <w:p w14:paraId="5A042C94" w14:textId="77777777" w:rsidR="00D52A47" w:rsidRPr="005C7F39" w:rsidRDefault="00D52A47" w:rsidP="00356EB3">
            <w:pPr>
              <w:keepNext/>
              <w:spacing w:line="480" w:lineRule="auto"/>
            </w:pPr>
            <w:r>
              <w:fldChar w:fldCharType="begin" w:fldLock="1"/>
            </w:r>
            <w:r>
              <w:instrText>ADDIN CSL_CITATION {"citationItems":[{"id":"ITEM-1","itemData":{"DOI":"10.1097/TA.0b013e3181a60275","ISSN":"00225282","PMID":"19935111","abstract":"Background: Injury Severity Score (ISS) is commonly used in prediction models and risk adjustment for mortality. However, few studies have assessed the relationship of ISS to outcomes such as resource use. To test the utility of ISS for investigation of the quality of trauma care, we evaluated the impact of ISS on resource utilization and mortality. Methods: Of 1,895,249 cases from a Japanese administrative database in 2006, 13,627 trauma patients with ISS were analyzed. Variables included demographics, ISS, number and locations of injured organs, comorbidities, diagnostic and therapeutic procedures recorded during hospitalization, and hospital type. Dependent variables were length of stay (LOS), total charges (TC), initial 48-hour TC, high outliers of LOS or TC, and mortality. Multivariate analyses were used to measure the impact of ISS. Results: ISS 1 to 9 was most frequent (85.5%) and blunt injury occurred in 93.7% of patients. With increasing ISS, the mortality rate rose to 27.2% at ISS ≥36. LOS was higher at ISS ≥36 whereas TC was higher at 25 to 35. After controlling for study variables, rehabilitation was most strongly associated with LOS, TC, and LOS outliers. ISS 25 to 35 affected initial 48-hour TC most, while ventilation affected mortality most. \"Abdomen, pelvic organs\" and ISS 25 to 35 or ≥36 were more strongly associated with outcomes. Conclusions: Specific ISS and injured organs may be used to estimate resource use or mortality for monitoring quality of trauma care. To integrate a more efficient system of trauma care, variations in resource input among hospitals should be investigated. © 2010 by Lippincott Williams &amp; Wilkins.","author":[{"dropping-particle":"","family":"Kuwabara","given":"Kazuaki","non-dropping-particle":"","parse-names":false,"suffix":""},{"dropping-particle":"","family":"Matsuda","given":"Shinya","non-dropping-particle":"","parse-names":false,"suffix":""},{"dropping-particle":"","family":"Imanaka","given":"Yuichi","non-dropping-particle":"","parse-names":false,"suffix":""},{"dropping-particle":"","family":"Fushimi","given":"Kiyohide","non-dropping-particle":"","parse-names":false,"suffix":""},{"dropping-particle":"","family":"Hashimoto","given":"Hideki","non-dropping-particle":"","parse-names":false,"suffix":""},{"dropping-particle":"","family":"Ishikawa","given":"Koichi B.","non-dropping-particle":"","parse-names":false,"suffix":""},{"dropping-particle":"","family":"Horiguchi","given":"Hiromasa","non-dropping-particle":"","parse-names":false,"suffix":""},{"dropping-particle":"","family":"Hayashida","given":"Kenshi","non-dropping-particle":"","parse-names":false,"suffix":""},{"dropping-particle":"","family":"Fujimori","given":"Kenji","non-dropping-particle":"","parse-names":false,"suffix":""},{"dropping-particle":"","family":"Ikeda","given":"Shunya","non-dropping-particle":"","parse-names":false,"suffix":""},{"dropping-particle":"","family":"Yasunaga","given":"Hideo","non-dropping-particle":"","parse-names":false,"suffix":""}],"container-title":"Journal of Trauma - Injury, Infection and Critical Care","id":"ITEM-1","issue":"2","issued":{"date-parts":[["2010","2"]]},"page":"463-470","publisher":"J Trauma","title":"Injury severity score, resource use, and outcome for trauma patients within a japanese administrative database","type":"article-journal","volume":"68"},"uris":["http://www.mendeley.com/documents/?uuid=cf35030c-1382-3ea5-894f-c4bfacbbaa94"]},{"id":"ITEM-2","itemData":{"DOI":"10.1016/j.jsurg.2014.09.010","ISSN":"19317204","abstract":"Importance Injuries are a significant cause of death and disability, particularly in low- and middle-income countries. Health care systems in resource-poor countries lack personnel and are ill equipped to treat severely injured patients; therefore, many injury-related deaths occur after hospital admission. Objectives This study evaluates the mortality for hospitalized trauma patients at a tertiary care hospital in Malawi. Design This study is a retrospective analysis of prospectively collected trauma surveillance data. We performed univariate and bivariate analyses to describe the population and logistic regression analysis to identify predictors of mortality. Setting Tertiary care hospital in sub-Saharan Africa. Participant Patients with traumatic injuries admitted to Kamuzu Central Hospital between January 2010 and December 2012. Main Outcome Measures Predictors of in-hospital mortality. Results The study population consisted of 7559 patients, with an average age of 27 years (±18 years) and a male predominance of 76%. Road traffic injuries, falls, and assaults were the most common causes of injury. The overall mortality was 4.2%. After adjusting for age, sex, type and mechanism of injury, and shock index, head/spine injuries had the highest odds of mortality, with an odds ratio of 5.80 (2.71-12.40). Conclusion and Relevance The burden of injuries in sub-Saharan Africa remains high. At this institution, road traffic injuries are the leading cause of injury and injury-related death. The most significant predictor of in-hospital mortality is the presence of head or spinal injury. These findings may be mitigated by a comprehensive injury-prevention effort targeting drivers and other road users and by increased attention and resources dedicated to the treatment of patients with head and/or spine injuries in the hospital setting.","author":[{"dropping-particle":"","family":"Tyson","given":"Anna F.","non-dropping-particle":"","parse-names":false,"suffix":""},{"dropping-particle":"","family":"Varela","given":"Carlos","non-dropping-particle":"","parse-names":false,"suffix":""},{"dropping-particle":"","family":"Cairns","given":"Bruce A.","non-dropping-particle":"","parse-names":false,"suffix":""},{"dropping-particle":"","family":"Charles","given":"Anthony G.","non-dropping-particle":"","parse-names":false,"suffix":""}],"container-title":"Journal of Surgical Education","id":"ITEM-2","issue":"4","issued":{"date-parts":[["2015","7","1"]]},"page":"e66-e72","publisher":"Elsevier Inc.","title":"Hospital Mortality Following Trauma: An Analysis of a Hospital-Based Injury Surveillance Registry in sub-Saharan Africa","type":"article-journal","volume":"72"},"uris":["http://www.mendeley.com/documents/?uuid=d16f74ea-a221-4f33-871a-d64254ba0960"]}],"mendeley":{"formattedCitation":"(Kuwabara et al. 2010; Tyson et al. 2015)","plainTextFormattedCitation":"(Kuwabara et al. 2010; Tyson et al. 2015)","previouslyFormattedCitation":"(Kuwabara et al. 2010; Tyson et al. 2015)"},"properties":{"noteIndex":0},"schema":"https://github.com/citation-style-language/schema/raw/master/csl-citation.json"}</w:instrText>
            </w:r>
            <w:r>
              <w:fldChar w:fldCharType="separate"/>
            </w:r>
            <w:r w:rsidRPr="00065E4E">
              <w:rPr>
                <w:noProof/>
              </w:rPr>
              <w:t>(Kuwabara et al. 2010; Tyson et al. 2015)</w:t>
            </w:r>
            <w:r>
              <w:fldChar w:fldCharType="end"/>
            </w:r>
          </w:p>
        </w:tc>
      </w:tr>
      <w:tr w:rsidR="00D52A47" w14:paraId="0DA84948" w14:textId="77777777" w:rsidTr="00356EB3">
        <w:tc>
          <w:tcPr>
            <w:tcW w:w="3255" w:type="dxa"/>
          </w:tcPr>
          <w:p w14:paraId="423C655D" w14:textId="77777777" w:rsidR="00D52A47" w:rsidRPr="00F0716A" w:rsidRDefault="00D52A47" w:rsidP="00356EB3">
            <w:pPr>
              <w:spacing w:line="480" w:lineRule="auto"/>
            </w:pPr>
            <w:r w:rsidRPr="00065E4E">
              <w:t>prob_death_iss_16_24</w:t>
            </w:r>
          </w:p>
        </w:tc>
        <w:tc>
          <w:tcPr>
            <w:tcW w:w="1702" w:type="dxa"/>
          </w:tcPr>
          <w:p w14:paraId="2209899D" w14:textId="77777777" w:rsidR="00D52A47" w:rsidRDefault="00D52A47" w:rsidP="00356EB3">
            <w:pPr>
              <w:spacing w:line="480" w:lineRule="auto"/>
            </w:pPr>
            <w:r>
              <w:t>The probability of mortality associated with an ISS score between 16 and 24 with medical treatment</w:t>
            </w:r>
          </w:p>
        </w:tc>
        <w:tc>
          <w:tcPr>
            <w:tcW w:w="2587" w:type="dxa"/>
            <w:gridSpan w:val="2"/>
          </w:tcPr>
          <w:p w14:paraId="62F103EE" w14:textId="77777777" w:rsidR="00D52A47" w:rsidRDefault="00D52A47" w:rsidP="00356EB3">
            <w:pPr>
              <w:spacing w:line="480" w:lineRule="auto"/>
            </w:pPr>
            <w:r>
              <w:t xml:space="preserve">Run-specific, see </w:t>
            </w:r>
            <w:r>
              <w:fldChar w:fldCharType="begin"/>
            </w:r>
            <w:r>
              <w:instrText xml:space="preserve"> REF _Ref100156561 \h  \* MERGEFORMAT </w:instrText>
            </w:r>
            <w:r>
              <w:fldChar w:fldCharType="separate"/>
            </w:r>
            <w:r>
              <w:t xml:space="preserve">Table A </w:t>
            </w:r>
            <w:r>
              <w:rPr>
                <w:noProof/>
              </w:rPr>
              <w:t>4</w:t>
            </w:r>
            <w:r>
              <w:fldChar w:fldCharType="end"/>
            </w:r>
            <w:r>
              <w:t>.</w:t>
            </w:r>
          </w:p>
        </w:tc>
        <w:tc>
          <w:tcPr>
            <w:tcW w:w="1472" w:type="dxa"/>
          </w:tcPr>
          <w:p w14:paraId="5330AEA1" w14:textId="77777777" w:rsidR="00D52A47" w:rsidRPr="005C7F39" w:rsidRDefault="00D52A47" w:rsidP="00356EB3">
            <w:pPr>
              <w:keepNext/>
              <w:spacing w:line="480" w:lineRule="auto"/>
            </w:pPr>
            <w:r>
              <w:fldChar w:fldCharType="begin" w:fldLock="1"/>
            </w:r>
            <w:r>
              <w:instrText>ADDIN CSL_CITATION {"citationItems":[{"id":"ITEM-1","itemData":{"DOI":"10.1097/TA.0b013e3181a60275","ISSN":"00225282","PMID":"19935111","abstract":"Background: Injury Severity Score (ISS) is commonly used in prediction models and risk adjustment for mortality. However, few studies have assessed the relationship of ISS to outcomes such as resource use. To test the utility of ISS for investigation of the quality of trauma care, we evaluated the impact of ISS on resource utilization and mortality. Methods: Of 1,895,249 cases from a Japanese administrative database in 2006, 13,627 trauma patients with ISS were analyzed. Variables included demographics, ISS, number and locations of injured organs, comorbidities, diagnostic and therapeutic procedures recorded during hospitalization, and hospital type. Dependent variables were length of stay (LOS), total charges (TC), initial 48-hour TC, high outliers of LOS or TC, and mortality. Multivariate analyses were used to measure the impact of ISS. Results: ISS 1 to 9 was most frequent (85.5%) and blunt injury occurred in 93.7% of patients. With increasing ISS, the mortality rate rose to 27.2% at ISS ≥36. LOS was higher at ISS ≥36 whereas TC was higher at 25 to 35. After controlling for study variables, rehabilitation was most strongly associated with LOS, TC, and LOS outliers. ISS 25 to 35 affected initial 48-hour TC most, while ventilation affected mortality most. \"Abdomen, pelvic organs\" and ISS 25 to 35 or ≥36 were more strongly associated with outcomes. Conclusions: Specific ISS and injured organs may be used to estimate resource use or mortality for monitoring quality of trauma care. To integrate a more efficient system of trauma care, variations in resource input among hospitals should be investigated. © 2010 by Lippincott Williams &amp; Wilkins.","author":[{"dropping-particle":"","family":"Kuwabara","given":"Kazuaki","non-dropping-particle":"","parse-names":false,"suffix":""},{"dropping-particle":"","family":"Matsuda","given":"Shinya","non-dropping-particle":"","parse-names":false,"suffix":""},{"dropping-particle":"","family":"Imanaka","given":"Yuichi","non-dropping-particle":"","parse-names":false,"suffix":""},{"dropping-particle":"","family":"Fushimi","given":"Kiyohide","non-dropping-particle":"","parse-names":false,"suffix":""},{"dropping-particle":"","family":"Hashimoto","given":"Hideki","non-dropping-particle":"","parse-names":false,"suffix":""},{"dropping-particle":"","family":"Ishikawa","given":"Koichi B.","non-dropping-particle":"","parse-names":false,"suffix":""},{"dropping-particle":"","family":"Horiguchi","given":"Hiromasa","non-dropping-particle":"","parse-names":false,"suffix":""},{"dropping-particle":"","family":"Hayashida","given":"Kenshi","non-dropping-particle":"","parse-names":false,"suffix":""},{"dropping-particle":"","family":"Fujimori","given":"Kenji","non-dropping-particle":"","parse-names":false,"suffix":""},{"dropping-particle":"","family":"Ikeda","given":"Shunya","non-dropping-particle":"","parse-names":false,"suffix":""},{"dropping-particle":"","family":"Yasunaga","given":"Hideo","non-dropping-particle":"","parse-names":false,"suffix":""}],"container-title":"Journal of Trauma - Injury, Infection and Critical Care","id":"ITEM-1","issue":"2","issued":{"date-parts":[["2010","2"]]},"page":"463-470","publisher":"J Trauma","title":"Injury severity score, resource use, and outcome for trauma patients within a japanese administrative database","type":"article-journal","volume":"68"},"uris":["http://www.mendeley.com/documents/?uuid=cf35030c-1382-3ea5-894f-c4bfacbbaa94"]},{"id":"ITEM-2","itemData":{"DOI":"10.1016/j.jsurg.2014.09.010","ISSN":"19317204","abstract":"Importance Injuries are a significant cause of death and disability, particularly in low- and middle-income countries. Health care systems in resource-poor countries lack personnel and are ill equipped to treat severely injured patients; therefore, many injury-related deaths occur after hospital admission. Objectives This study evaluates the mortality for hospitalized trauma patients at a tertiary care hospital in Malawi. Design This study is a retrospective analysis of prospectively collected trauma surveillance data. We performed univariate and bivariate analyses to describe the population and logistic regression analysis to identify predictors of mortality. Setting Tertiary care hospital in sub-Saharan Africa. Participant Patients with traumatic injuries admitted to Kamuzu Central Hospital between January 2010 and December 2012. Main Outcome Measures Predictors of in-hospital mortality. Results The study population consisted of 7559 patients, with an average age of 27 years (±18 years) and a male predominance of 76%. Road traffic injuries, falls, and assaults were the most common causes of injury. The overall mortality was 4.2%. After adjusting for age, sex, type and mechanism of injury, and shock index, head/spine injuries had the highest odds of mortality, with an odds ratio of 5.80 (2.71-12.40). Conclusion and Relevance The burden of injuries in sub-Saharan Africa remains high. At this institution, road traffic injuries are the leading cause of injury and injury-related death. The most significant predictor of in-hospital mortality is the presence of head or spinal injury. These findings may be mitigated by a comprehensive injury-prevention effort targeting drivers and other road users and by increased attention and resources dedicated to the treatment of patients with head and/or spine injuries in the hospital setting.","author":[{"dropping-particle":"","family":"Tyson","given":"Anna F.","non-dropping-particle":"","parse-names":false,"suffix":""},{"dropping-particle":"","family":"Varela","given":"Carlos","non-dropping-particle":"","parse-names":false,"suffix":""},{"dropping-particle":"","family":"Cairns","given":"Bruce A.","non-dropping-particle":"","parse-names":false,"suffix":""},{"dropping-particle":"","family":"Charles","given":"Anthony G.","non-dropping-particle":"","parse-names":false,"suffix":""}],"container-title":"Journal of Surgical Education","id":"ITEM-2","issue":"4","issued":{"date-parts":[["2015","7","1"]]},"page":"e66-e72","publisher":"Elsevier Inc.","title":"Hospital Mortality Following Trauma: An Analysis of a Hospital-Based Injury Surveillance Registry in sub-Saharan Africa","type":"article-journal","volume":"72"},"uris":["http://www.mendeley.com/documents/?uuid=d16f74ea-a221-4f33-871a-d64254ba0960"]}],"mendeley":{"formattedCitation":"(Kuwabara et al. 2010; Tyson et al. 2015)","plainTextFormattedCitation":"(Kuwabara et al. 2010; Tyson et al. 2015)","previouslyFormattedCitation":"(Kuwabara et al. 2010; Tyson et al. 2015)"},"properties":{"noteIndex":0},"schema":"https://github.com/citation-style-language/schema/raw/master/csl-citation.json"}</w:instrText>
            </w:r>
            <w:r>
              <w:fldChar w:fldCharType="separate"/>
            </w:r>
            <w:r w:rsidRPr="00065E4E">
              <w:rPr>
                <w:noProof/>
              </w:rPr>
              <w:t>(Kuwabara et al. 2010; Tyson et al. 2015)</w:t>
            </w:r>
            <w:r>
              <w:fldChar w:fldCharType="end"/>
            </w:r>
          </w:p>
        </w:tc>
      </w:tr>
      <w:tr w:rsidR="00D52A47" w14:paraId="5FAB6A9D" w14:textId="77777777" w:rsidTr="00356EB3">
        <w:tc>
          <w:tcPr>
            <w:tcW w:w="3255" w:type="dxa"/>
          </w:tcPr>
          <w:p w14:paraId="0C100D20" w14:textId="77777777" w:rsidR="00D52A47" w:rsidRPr="00065E4E" w:rsidRDefault="00D52A47" w:rsidP="00356EB3">
            <w:pPr>
              <w:spacing w:line="480" w:lineRule="auto"/>
            </w:pPr>
            <w:r w:rsidRPr="00065E4E">
              <w:t>prob_death_iss_25_35</w:t>
            </w:r>
          </w:p>
        </w:tc>
        <w:tc>
          <w:tcPr>
            <w:tcW w:w="1702" w:type="dxa"/>
          </w:tcPr>
          <w:p w14:paraId="5ED4406B" w14:textId="77777777" w:rsidR="00D52A47" w:rsidRDefault="00D52A47" w:rsidP="00356EB3">
            <w:pPr>
              <w:spacing w:line="480" w:lineRule="auto"/>
            </w:pPr>
            <w:r>
              <w:t>The probability of mortality associated with an ISS score between 25 and 35 with medical treatment</w:t>
            </w:r>
          </w:p>
        </w:tc>
        <w:tc>
          <w:tcPr>
            <w:tcW w:w="2587" w:type="dxa"/>
            <w:gridSpan w:val="2"/>
          </w:tcPr>
          <w:p w14:paraId="0FB820C4" w14:textId="77777777" w:rsidR="00D52A47" w:rsidRPr="00065E4E" w:rsidRDefault="00D52A47" w:rsidP="00356EB3">
            <w:pPr>
              <w:spacing w:line="480" w:lineRule="auto"/>
            </w:pPr>
            <w:r>
              <w:t xml:space="preserve">Run-specific, see </w:t>
            </w:r>
            <w:r>
              <w:fldChar w:fldCharType="begin"/>
            </w:r>
            <w:r>
              <w:instrText xml:space="preserve"> REF _Ref100156561 \h  \* MERGEFORMAT </w:instrText>
            </w:r>
            <w:r>
              <w:fldChar w:fldCharType="separate"/>
            </w:r>
            <w:r>
              <w:t xml:space="preserve">Table A </w:t>
            </w:r>
            <w:r>
              <w:rPr>
                <w:noProof/>
              </w:rPr>
              <w:t>4</w:t>
            </w:r>
            <w:r>
              <w:fldChar w:fldCharType="end"/>
            </w:r>
            <w:r>
              <w:t>.</w:t>
            </w:r>
          </w:p>
        </w:tc>
        <w:tc>
          <w:tcPr>
            <w:tcW w:w="1472" w:type="dxa"/>
          </w:tcPr>
          <w:p w14:paraId="25CDB527" w14:textId="77777777" w:rsidR="00D52A47" w:rsidRDefault="00D52A47" w:rsidP="00356EB3">
            <w:pPr>
              <w:keepNext/>
              <w:spacing w:line="480" w:lineRule="auto"/>
            </w:pPr>
            <w:r>
              <w:fldChar w:fldCharType="begin" w:fldLock="1"/>
            </w:r>
            <w:r>
              <w:instrText>ADDIN CSL_CITATION {"citationItems":[{"id":"ITEM-1","itemData":{"DOI":"10.1097/TA.0b013e3181a60275","ISSN":"00225282","PMID":"19935111","abstract":"Background: Injury Severity Score (ISS) is commonly used in prediction models and risk adjustment for mortality. However, few studies have assessed the relationship of ISS to outcomes such as resource use. To test the utility of ISS for investigation of the quality of trauma care, we evaluated the impact of ISS on resource utilization and mortality. Methods: Of 1,895,249 cases from a Japanese administrative database in 2006, 13,627 trauma patients with ISS were analyzed. Variables included demographics, ISS, number and locations of injured organs, comorbidities, diagnostic and therapeutic procedures recorded during hospitalization, and hospital type. Dependent variables were length of stay (LOS), total charges (TC), initial 48-hour TC, high outliers of LOS or TC, and mortality. Multivariate analyses were used to measure the impact of ISS. Results: ISS 1 to 9 was most frequent (85.5%) and blunt injury occurred in 93.7% of patients. With increasing ISS, the mortality rate rose to 27.2% at ISS ≥36. LOS was higher at ISS ≥36 whereas TC was higher at 25 to 35. After controlling for study variables, rehabilitation was most strongly associated with LOS, TC, and LOS outliers. ISS 25 to 35 affected initial 48-hour TC most, while ventilation affected mortality most. \"Abdomen, pelvic organs\" and ISS 25 to 35 or ≥36 were more strongly associated with outcomes. Conclusions: Specific ISS and injured organs may be used to estimate resource use or mortality for monitoring quality of trauma care. To integrate a more efficient system of trauma care, variations in resource input among hospitals should be investigated. © 2010 by Lippincott Williams &amp; Wilkins.","author":[{"dropping-particle":"","family":"Kuwabara","given":"Kazuaki","non-dropping-particle":"","parse-names":false,"suffix":""},{"dropping-particle":"","family":"Matsuda","given":"Shinya","non-dropping-particle":"","parse-names":false,"suffix":""},{"dropping-particle":"","family":"Imanaka","given":"Yuichi","non-dropping-particle":"","parse-names":false,"suffix":""},{"dropping-particle":"","family":"Fushimi","given":"Kiyohide","non-dropping-particle":"","parse-names":false,"suffix":""},{"dropping-particle":"","family":"Hashimoto","given":"Hideki","non-dropping-particle":"","parse-names":false,"suffix":""},{"dropping-particle":"","family":"Ishikawa","given":"Koichi B.","non-dropping-particle":"","parse-names":false,"suffix":""},{"dropping-particle":"","family":"Horiguchi","given":"Hiromasa","non-dropping-particle":"","parse-names":false,"suffix":""},{"dropping-particle":"","family":"Hayashida","given":"Kenshi","non-dropping-particle":"","parse-names":false,"suffix":""},{"dropping-particle":"","family":"Fujimori","given":"Kenji","non-dropping-particle":"","parse-names":false,"suffix":""},{"dropping-particle":"","family":"Ikeda","given":"Shunya","non-dropping-particle":"","parse-names":false,"suffix":""},{"dropping-particle":"","family":"Yasunaga","given":"Hideo","non-dropping-particle":"","parse-names":false,"suffix":""}],"container-title":"Journal of Trauma - Injury, Infection and Critical Care","id":"ITEM-1","issue":"2","issued":{"date-parts":[["2010","2"]]},"page":"463-470","publisher":"J Trauma","title":"Injury severity score, resource use, and outcome for trauma patients within a japanese administrative database","type":"article-journal","volume":"68"},"uris":["http://www.mendeley.com/documents/?uuid=cf35030c-1382-3ea5-894f-c4bfacbbaa94"]},{"id":"ITEM-2","itemData":{"DOI":"10.1016/j.jsurg.2014.09.010","ISSN":"19317204","abstract":"Importance Injuries are a significant cause of death and disability, particularly in low- and middle-income countries. Health care systems in resource-poor countries lack personnel and are ill equipped to treat severely injured patients; therefore, many injury-related deaths occur after hospital admission. Objectives This study evaluates the mortality for hospitalized trauma patients at a tertiary care hospital in Malawi. Design This study is a retrospective analysis of prospectively collected trauma surveillance data. We performed univariate and bivariate analyses to describe the population and logistic regression analysis to identify predictors of mortality. Setting Tertiary care hospital in sub-Saharan Africa. Participant Patients with traumatic injuries admitted to Kamuzu Central Hospital between January 2010 and December 2012. Main Outcome Measures Predictors of in-hospital mortality. Results The study population consisted of 7559 patients, with an average age of 27 years (±18 years) and a male predominance of 76%. Road traffic injuries, falls, and assaults were the most common causes of injury. The overall mortality was 4.2%. After adjusting for age, sex, type and mechanism of injury, and shock index, head/spine injuries had the highest odds of mortality, with an odds ratio of 5.80 (2.71-12.40). Conclusion and Relevance The burden of injuries in sub-Saharan Africa remains high. At this institution, road traffic injuries are the leading cause of injury and injury-related death. The most significant predictor of in-hospital mortality is the presence of head or spinal injury. These findings may be mitigated by a comprehensive injury-prevention effort targeting drivers and other road users and by increased attention and resources dedicated to the treatment of patients with head and/or spine injuries in the hospital setting.","author":[{"dropping-particle":"","family":"Tyson","given":"Anna F.","non-dropping-particle":"","parse-names":false,"suffix":""},{"dropping-particle":"","family":"Varela","given":"Carlos","non-dropping-particle":"","parse-names":false,"suffix":""},{"dropping-particle":"","family":"Cairns","given":"Bruce A.","non-dropping-particle":"","parse-names":false,"suffix":""},{"dropping-particle":"","family":"Charles","given":"Anthony G.","non-dropping-particle":"","parse-names":false,"suffix":""}],"container-title":"Journal of Surgical Education","id":"ITEM-2","issue":"4","issued":{"date-parts":[["2015","7","1"]]},"page":"e66-e72","publisher":"Elsevier Inc.","title":"Hospital Mortality Following Trauma: An Analysis of a Hospital-Based Injury Surveillance Registry in sub-Saharan Africa","type":"article-journal","volume":"72"},"uris":["http://www.mendeley.com/documents/?uuid=d16f74ea-a221-4f33-871a-d64254ba0960"]}],"mendeley":{"formattedCitation":"(Kuwabara et al. 2010; Tyson et al. 2015)","plainTextFormattedCitation":"(Kuwabara et al. 2010; Tyson et al. 2015)","previouslyFormattedCitation":"(Kuwabara et al. 2010; Tyson et al. 2015)"},"properties":{"noteIndex":0},"schema":"https://github.com/citation-style-language/schema/raw/master/csl-citation.json"}</w:instrText>
            </w:r>
            <w:r>
              <w:fldChar w:fldCharType="separate"/>
            </w:r>
            <w:r w:rsidRPr="00065E4E">
              <w:rPr>
                <w:noProof/>
              </w:rPr>
              <w:t>(Kuwabara et al. 2010; Tyson et al. 2015)</w:t>
            </w:r>
            <w:r>
              <w:fldChar w:fldCharType="end"/>
            </w:r>
          </w:p>
        </w:tc>
      </w:tr>
      <w:tr w:rsidR="00D52A47" w14:paraId="5829A055" w14:textId="77777777" w:rsidTr="00356EB3">
        <w:tc>
          <w:tcPr>
            <w:tcW w:w="3255" w:type="dxa"/>
          </w:tcPr>
          <w:p w14:paraId="4E25F3E2" w14:textId="77777777" w:rsidR="00D52A47" w:rsidRPr="00065E4E" w:rsidRDefault="00D52A47" w:rsidP="00356EB3">
            <w:pPr>
              <w:spacing w:line="480" w:lineRule="auto"/>
            </w:pPr>
            <w:r w:rsidRPr="00065E4E">
              <w:t>prob_death_iss_35_plus</w:t>
            </w:r>
          </w:p>
        </w:tc>
        <w:tc>
          <w:tcPr>
            <w:tcW w:w="1702" w:type="dxa"/>
          </w:tcPr>
          <w:p w14:paraId="2109FFB1" w14:textId="77777777" w:rsidR="00D52A47" w:rsidRDefault="00D52A47" w:rsidP="00356EB3">
            <w:pPr>
              <w:spacing w:line="480" w:lineRule="auto"/>
            </w:pPr>
            <w:r>
              <w:t>The probability of mortality associated with an ISS score greater than 35 with medical treatment</w:t>
            </w:r>
          </w:p>
        </w:tc>
        <w:tc>
          <w:tcPr>
            <w:tcW w:w="2587" w:type="dxa"/>
            <w:gridSpan w:val="2"/>
          </w:tcPr>
          <w:p w14:paraId="17A2F3EF" w14:textId="77777777" w:rsidR="00D52A47" w:rsidRPr="00065E4E" w:rsidRDefault="00D52A47" w:rsidP="00356EB3">
            <w:pPr>
              <w:spacing w:line="480" w:lineRule="auto"/>
            </w:pPr>
            <w:r>
              <w:t xml:space="preserve">Run-specific, see </w:t>
            </w:r>
            <w:r>
              <w:fldChar w:fldCharType="begin"/>
            </w:r>
            <w:r>
              <w:instrText xml:space="preserve"> REF _Ref100156561 \h  \* MERGEFORMAT </w:instrText>
            </w:r>
            <w:r>
              <w:fldChar w:fldCharType="separate"/>
            </w:r>
            <w:r>
              <w:t xml:space="preserve">Table A </w:t>
            </w:r>
            <w:r>
              <w:rPr>
                <w:noProof/>
              </w:rPr>
              <w:t>4</w:t>
            </w:r>
            <w:r>
              <w:fldChar w:fldCharType="end"/>
            </w:r>
            <w:r>
              <w:t>.</w:t>
            </w:r>
          </w:p>
        </w:tc>
        <w:tc>
          <w:tcPr>
            <w:tcW w:w="1472" w:type="dxa"/>
          </w:tcPr>
          <w:p w14:paraId="6174C800" w14:textId="77777777" w:rsidR="00D52A47" w:rsidRPr="00065E4E" w:rsidRDefault="00D52A47" w:rsidP="00356EB3">
            <w:pPr>
              <w:keepNext/>
              <w:spacing w:line="480" w:lineRule="auto"/>
              <w:rPr>
                <w:noProof/>
              </w:rPr>
            </w:pPr>
            <w:r>
              <w:fldChar w:fldCharType="begin" w:fldLock="1"/>
            </w:r>
            <w:r>
              <w:instrText>ADDIN CSL_CITATION {"citationItems":[{"id":"ITEM-1","itemData":{"DOI":"10.1097/TA.0b013e3181a60275","ISSN":"00225282","PMID":"19935111","abstract":"Background: Injury Severity Score (ISS) is commonly used in prediction models and risk adjustment for mortality. However, few studies have assessed the relationship of ISS to outcomes such as resource use. To test the utility of ISS for investigation of the quality of trauma care, we evaluated the impact of ISS on resource utilization and mortality. Methods: Of 1,895,249 cases from a Japanese administrative database in 2006, 13,627 trauma patients with ISS were analyzed. Variables included demographics, ISS, number and locations of injured organs, comorbidities, diagnostic and therapeutic procedures recorded during hospitalization, and hospital type. Dependent variables were length of stay (LOS), total charges (TC), initial 48-hour TC, high outliers of LOS or TC, and mortality. Multivariate analyses were used to measure the impact of ISS. Results: ISS 1 to 9 was most frequent (85.5%) and blunt injury occurred in 93.7% of patients. With increasing ISS, the mortality rate rose to 27.2% at ISS ≥36. LOS was higher at ISS ≥36 whereas TC was higher at 25 to 35. After controlling for study variables, rehabilitation was most strongly associated with LOS, TC, and LOS outliers. ISS 25 to 35 affected initial 48-hour TC most, while ventilation affected mortality most. \"Abdomen, pelvic organs\" and ISS 25 to 35 or ≥36 were more strongly associated with outcomes. Conclusions: Specific ISS and injured organs may be used to estimate resource use or mortality for monitoring quality of trauma care. To integrate a more efficient system of trauma care, variations in resource input among hospitals should be investigated. © 2010 by Lippincott Williams &amp; Wilkins.","author":[{"dropping-particle":"","family":"Kuwabara","given":"Kazuaki","non-dropping-particle":"","parse-names":false,"suffix":""},{"dropping-particle":"","family":"Matsuda","given":"Shinya","non-dropping-particle":"","parse-names":false,"suffix":""},{"dropping-particle":"","family":"Imanaka","given":"Yuichi","non-dropping-particle":"","parse-names":false,"suffix":""},{"dropping-particle":"","family":"Fushimi","given":"Kiyohide","non-dropping-particle":"","parse-names":false,"suffix":""},{"dropping-particle":"","family":"Hashimoto","given":"Hideki","non-dropping-particle":"","parse-names":false,"suffix":""},{"dropping-particle":"","family":"Ishikawa","given":"Koichi B.","non-dropping-particle":"","parse-names":false,"suffix":""},{"dropping-particle":"","family":"Horiguchi","given":"Hiromasa","non-dropping-particle":"","parse-names":false,"suffix":""},{"dropping-particle":"","family":"Hayashida","given":"Kenshi","non-dropping-particle":"","parse-names":false,"suffix":""},{"dropping-particle":"","family":"Fujimori","given":"Kenji","non-dropping-particle":"","parse-names":false,"suffix":""},{"dropping-particle":"","family":"Ikeda","given":"Shunya","non-dropping-particle":"","parse-names":false,"suffix":""},{"dropping-particle":"","family":"Yasunaga","given":"Hideo","non-dropping-particle":"","parse-names":false,"suffix":""}],"container-title":"Journal of Trauma - Injury, Infection and Critical Care","id":"ITEM-1","issue":"2","issued":{"date-parts":[["2010","2"]]},"page":"463-470","publisher":"J Trauma","title":"Injury severity score, resource use, and outcome for trauma patients within a japanese administrative database","type":"article-journal","volume":"68"},"uris":["http://www.mendeley.com/documents/?uuid=cf35030c-1382-3ea5-894f-c4bfacbbaa94"]},{"id":"ITEM-2","itemData":{"DOI":"10.1016/j.jsurg.2014.09.010","ISSN":"19317204","abstract":"Importance Injuries are a significant cause of death and disability, particularly in low- and middle-income countries. Health care systems in resource-poor countries lack personnel and are ill equipped to treat severely injured patients; therefore, many injury-related deaths occur after hospital admission. Objectives This study evaluates the mortality for hospitalized trauma patients at a tertiary care hospital in Malawi. Design This study is a retrospective analysis of prospectively collected trauma surveillance data. We performed univariate and bivariate analyses to describe the population and logistic regression analysis to identify predictors of mortality. Setting Tertiary care hospital in sub-Saharan Africa. Participant Patients with traumatic injuries admitted to Kamuzu Central Hospital between January 2010 and December 2012. Main Outcome Measures Predictors of in-hospital mortality. Results The study population consisted of 7559 patients, with an average age of 27 years (±18 years) and a male predominance of 76%. Road traffic injuries, falls, and assaults were the most common causes of injury. The overall mortality was 4.2%. After adjusting for age, sex, type and mechanism of injury, and shock index, head/spine injuries had the highest odds of mortality, with an odds ratio of 5.80 (2.71-12.40). Conclusion and Relevance The burden of injuries in sub-Saharan Africa remains high. At this institution, road traffic injuries are the leading cause of injury and injury-related death. The most significant predictor of in-hospital mortality is the presence of head or spinal injury. These findings may be mitigated by a comprehensive injury-prevention effort targeting drivers and other road users and by increased attention and resources dedicated to the treatment of patients with head and/or spine injuries in the hospital setting.","author":[{"dropping-particle":"","family":"Tyson","given":"Anna F.","non-dropping-particle":"","parse-names":false,"suffix":""},{"dropping-particle":"","family":"Varela","given":"Carlos","non-dropping-particle":"","parse-names":false,"suffix":""},{"dropping-particle":"","family":"Cairns","given":"Bruce A.","non-dropping-particle":"","parse-names":false,"suffix":""},{"dropping-particle":"","family":"Charles","given":"Anthony G.","non-dropping-particle":"","parse-names":false,"suffix":""}],"container-title":"Journal of Surgical Education","id":"ITEM-2","issue":"4","issued":{"date-parts":[["2015","7","1"]]},"page":"e66-e72","publisher":"Elsevier Inc.","title":"Hospital Mortality Following Trauma: An Analysis of a Hospital-Based Injury Surveillance Registry in sub-Saharan Africa","type":"article-journal","volume":"72"},"uris":["http://www.mendeley.com/documents/?uuid=d16f74ea-a221-4f33-871a-d64254ba0960"]}],"mendeley":{"formattedCitation":"(Kuwabara et al. 2010; Tyson et al. 2015)","plainTextFormattedCitation":"(Kuwabara et al. 2010; Tyson et al. 2015)","previouslyFormattedCitation":"(Kuwabara et al. 2010; Tyson et al. 2015)"},"properties":{"noteIndex":0},"schema":"https://github.com/citation-style-language/schema/raw/master/csl-citation.json"}</w:instrText>
            </w:r>
            <w:r>
              <w:fldChar w:fldCharType="separate"/>
            </w:r>
            <w:r w:rsidRPr="00065E4E">
              <w:rPr>
                <w:noProof/>
              </w:rPr>
              <w:t>(Kuwabara et al. 2010; Tyson et al. 2015)</w:t>
            </w:r>
            <w:r>
              <w:fldChar w:fldCharType="end"/>
            </w:r>
          </w:p>
        </w:tc>
      </w:tr>
      <w:tr w:rsidR="00D52A47" w14:paraId="780FE51A" w14:textId="77777777" w:rsidTr="00356EB3">
        <w:tc>
          <w:tcPr>
            <w:tcW w:w="3255" w:type="dxa"/>
          </w:tcPr>
          <w:p w14:paraId="4FF8D224" w14:textId="77777777" w:rsidR="00D52A47" w:rsidRDefault="00D52A47" w:rsidP="00356EB3">
            <w:pPr>
              <w:spacing w:line="480" w:lineRule="auto"/>
            </w:pPr>
            <w:r w:rsidRPr="00F0716A">
              <w:lastRenderedPageBreak/>
              <w:t>prob_death_MAIS</w:t>
            </w:r>
            <w:r>
              <w:t>1</w:t>
            </w:r>
          </w:p>
          <w:p w14:paraId="17A2932F" w14:textId="77777777" w:rsidR="00D52A47" w:rsidRPr="00F0716A" w:rsidRDefault="00D52A47" w:rsidP="00356EB3">
            <w:pPr>
              <w:spacing w:line="480" w:lineRule="auto"/>
            </w:pPr>
          </w:p>
        </w:tc>
        <w:tc>
          <w:tcPr>
            <w:tcW w:w="1702" w:type="dxa"/>
          </w:tcPr>
          <w:p w14:paraId="52F53F53" w14:textId="77777777" w:rsidR="00D52A47" w:rsidRDefault="00D52A47" w:rsidP="00356EB3">
            <w:pPr>
              <w:spacing w:line="480" w:lineRule="auto"/>
            </w:pPr>
            <w:r>
              <w:t>The probability of death associated with a MAIS score of 1</w:t>
            </w:r>
          </w:p>
        </w:tc>
        <w:tc>
          <w:tcPr>
            <w:tcW w:w="2587" w:type="dxa"/>
            <w:gridSpan w:val="2"/>
          </w:tcPr>
          <w:p w14:paraId="258B3769" w14:textId="77777777" w:rsidR="00D52A47" w:rsidRDefault="00D52A47" w:rsidP="00356EB3">
            <w:pPr>
              <w:spacing w:line="480" w:lineRule="auto"/>
            </w:pPr>
            <w:r>
              <w:t>0</w:t>
            </w:r>
          </w:p>
        </w:tc>
        <w:tc>
          <w:tcPr>
            <w:tcW w:w="1472" w:type="dxa"/>
          </w:tcPr>
          <w:p w14:paraId="68D96BF8" w14:textId="77777777" w:rsidR="00D52A47" w:rsidRDefault="00D52A47" w:rsidP="00356EB3">
            <w:pPr>
              <w:keepNext/>
              <w:spacing w:line="480" w:lineRule="auto"/>
            </w:pPr>
            <w:r w:rsidRPr="005C7F39">
              <w:t>(Champion et al. 2010).</w:t>
            </w:r>
          </w:p>
        </w:tc>
      </w:tr>
      <w:tr w:rsidR="00D52A47" w14:paraId="530C74C1" w14:textId="77777777" w:rsidTr="00356EB3">
        <w:tc>
          <w:tcPr>
            <w:tcW w:w="3255" w:type="dxa"/>
          </w:tcPr>
          <w:p w14:paraId="14D518C0" w14:textId="77777777" w:rsidR="00D52A47" w:rsidRPr="00F0716A" w:rsidRDefault="00D52A47" w:rsidP="00356EB3">
            <w:pPr>
              <w:spacing w:line="480" w:lineRule="auto"/>
            </w:pPr>
            <w:r w:rsidRPr="00F0716A">
              <w:t>prob_death_MAIS</w:t>
            </w:r>
            <w:r>
              <w:t>2</w:t>
            </w:r>
          </w:p>
        </w:tc>
        <w:tc>
          <w:tcPr>
            <w:tcW w:w="1702" w:type="dxa"/>
          </w:tcPr>
          <w:p w14:paraId="4E232C6E" w14:textId="77777777" w:rsidR="00D52A47" w:rsidRDefault="00D52A47" w:rsidP="00356EB3">
            <w:pPr>
              <w:spacing w:line="480" w:lineRule="auto"/>
            </w:pPr>
            <w:r>
              <w:t>The probability of death associated with a MAIS score of 2</w:t>
            </w:r>
          </w:p>
        </w:tc>
        <w:tc>
          <w:tcPr>
            <w:tcW w:w="2587" w:type="dxa"/>
            <w:gridSpan w:val="2"/>
          </w:tcPr>
          <w:p w14:paraId="366C5805" w14:textId="77777777" w:rsidR="00D52A47" w:rsidRDefault="00D52A47" w:rsidP="00356EB3">
            <w:pPr>
              <w:spacing w:line="480" w:lineRule="auto"/>
            </w:pPr>
            <w:r>
              <w:t>0</w:t>
            </w:r>
          </w:p>
        </w:tc>
        <w:tc>
          <w:tcPr>
            <w:tcW w:w="1472" w:type="dxa"/>
          </w:tcPr>
          <w:p w14:paraId="75798C68" w14:textId="77777777" w:rsidR="00D52A47" w:rsidRDefault="00D52A47" w:rsidP="00356EB3">
            <w:pPr>
              <w:keepNext/>
              <w:spacing w:line="480" w:lineRule="auto"/>
            </w:pPr>
            <w:r w:rsidRPr="005C7F39">
              <w:t>(Champion et al. 2010).</w:t>
            </w:r>
          </w:p>
        </w:tc>
      </w:tr>
      <w:tr w:rsidR="00D52A47" w14:paraId="4FA636D7" w14:textId="77777777" w:rsidTr="00356EB3">
        <w:tc>
          <w:tcPr>
            <w:tcW w:w="3255" w:type="dxa"/>
          </w:tcPr>
          <w:p w14:paraId="1FE7FD70" w14:textId="77777777" w:rsidR="00D52A47" w:rsidRPr="00F0716A" w:rsidRDefault="00D52A47" w:rsidP="00356EB3">
            <w:pPr>
              <w:spacing w:line="480" w:lineRule="auto"/>
            </w:pPr>
            <w:r w:rsidRPr="00F0716A">
              <w:t>prob_death_MAIS</w:t>
            </w:r>
            <w:r>
              <w:t>3</w:t>
            </w:r>
          </w:p>
        </w:tc>
        <w:tc>
          <w:tcPr>
            <w:tcW w:w="1702" w:type="dxa"/>
          </w:tcPr>
          <w:p w14:paraId="21F265B1" w14:textId="77777777" w:rsidR="00D52A47" w:rsidRDefault="00D52A47" w:rsidP="00356EB3">
            <w:pPr>
              <w:spacing w:line="480" w:lineRule="auto"/>
            </w:pPr>
            <w:r>
              <w:t>The probability of death associated with a MAIS score of 3</w:t>
            </w:r>
          </w:p>
        </w:tc>
        <w:tc>
          <w:tcPr>
            <w:tcW w:w="2587" w:type="dxa"/>
            <w:gridSpan w:val="2"/>
          </w:tcPr>
          <w:p w14:paraId="6B33ED06" w14:textId="77777777" w:rsidR="00D52A47" w:rsidRDefault="00D52A47" w:rsidP="00356EB3">
            <w:pPr>
              <w:spacing w:line="480" w:lineRule="auto"/>
            </w:pPr>
            <w:r>
              <w:t>0.05</w:t>
            </w:r>
          </w:p>
        </w:tc>
        <w:tc>
          <w:tcPr>
            <w:tcW w:w="1472" w:type="dxa"/>
          </w:tcPr>
          <w:p w14:paraId="4218E216" w14:textId="77777777" w:rsidR="00D52A47" w:rsidRDefault="00D52A47" w:rsidP="00356EB3">
            <w:pPr>
              <w:keepNext/>
              <w:spacing w:line="480" w:lineRule="auto"/>
            </w:pPr>
            <w:r w:rsidRPr="005C7F39">
              <w:t>(Champion et al. 2010).</w:t>
            </w:r>
          </w:p>
        </w:tc>
      </w:tr>
      <w:tr w:rsidR="00D52A47" w14:paraId="38FC1C6D" w14:textId="77777777" w:rsidTr="00356EB3">
        <w:tc>
          <w:tcPr>
            <w:tcW w:w="3255" w:type="dxa"/>
          </w:tcPr>
          <w:p w14:paraId="3692AF92" w14:textId="77777777" w:rsidR="00D52A47" w:rsidRPr="00F0716A" w:rsidRDefault="00D52A47" w:rsidP="00356EB3">
            <w:pPr>
              <w:spacing w:line="480" w:lineRule="auto"/>
            </w:pPr>
            <w:r w:rsidRPr="00F0716A">
              <w:t>prob_death_MAIS</w:t>
            </w:r>
            <w:r>
              <w:t>4</w:t>
            </w:r>
          </w:p>
        </w:tc>
        <w:tc>
          <w:tcPr>
            <w:tcW w:w="1702" w:type="dxa"/>
          </w:tcPr>
          <w:p w14:paraId="3466493C" w14:textId="77777777" w:rsidR="00D52A47" w:rsidRDefault="00D52A47" w:rsidP="00356EB3">
            <w:pPr>
              <w:spacing w:line="480" w:lineRule="auto"/>
            </w:pPr>
            <w:r>
              <w:t>The probability of death associated with a MAIS score of 4</w:t>
            </w:r>
          </w:p>
        </w:tc>
        <w:tc>
          <w:tcPr>
            <w:tcW w:w="2587" w:type="dxa"/>
            <w:gridSpan w:val="2"/>
          </w:tcPr>
          <w:p w14:paraId="53144A6D" w14:textId="77777777" w:rsidR="00D52A47" w:rsidRDefault="00D52A47" w:rsidP="00356EB3">
            <w:pPr>
              <w:spacing w:line="480" w:lineRule="auto"/>
            </w:pPr>
            <w:r>
              <w:t>0.31</w:t>
            </w:r>
          </w:p>
        </w:tc>
        <w:tc>
          <w:tcPr>
            <w:tcW w:w="1472" w:type="dxa"/>
          </w:tcPr>
          <w:p w14:paraId="4C782A50" w14:textId="77777777" w:rsidR="00D52A47" w:rsidRDefault="00D52A47" w:rsidP="00356EB3">
            <w:pPr>
              <w:keepNext/>
              <w:spacing w:line="480" w:lineRule="auto"/>
            </w:pPr>
            <w:r w:rsidRPr="005C7F39">
              <w:t>(Champion et al. 2010).</w:t>
            </w:r>
          </w:p>
        </w:tc>
      </w:tr>
      <w:tr w:rsidR="00D52A47" w14:paraId="1FD0EF77" w14:textId="77777777" w:rsidTr="00356EB3">
        <w:tc>
          <w:tcPr>
            <w:tcW w:w="3255" w:type="dxa"/>
          </w:tcPr>
          <w:p w14:paraId="3ADB4183" w14:textId="77777777" w:rsidR="00D52A47" w:rsidRPr="00F0716A" w:rsidRDefault="00D52A47" w:rsidP="00356EB3">
            <w:pPr>
              <w:spacing w:line="480" w:lineRule="auto"/>
            </w:pPr>
            <w:r w:rsidRPr="00F0716A">
              <w:t>prob_death_MAIS</w:t>
            </w:r>
            <w:r>
              <w:t>5</w:t>
            </w:r>
          </w:p>
        </w:tc>
        <w:tc>
          <w:tcPr>
            <w:tcW w:w="1702" w:type="dxa"/>
          </w:tcPr>
          <w:p w14:paraId="086D161C" w14:textId="77777777" w:rsidR="00D52A47" w:rsidRDefault="00D52A47" w:rsidP="00356EB3">
            <w:pPr>
              <w:spacing w:line="480" w:lineRule="auto"/>
            </w:pPr>
            <w:r>
              <w:t>The probability of death associated with a MAIS score of 5</w:t>
            </w:r>
          </w:p>
        </w:tc>
        <w:tc>
          <w:tcPr>
            <w:tcW w:w="2587" w:type="dxa"/>
            <w:gridSpan w:val="2"/>
          </w:tcPr>
          <w:p w14:paraId="5BF5E9A4" w14:textId="77777777" w:rsidR="00D52A47" w:rsidRDefault="00D52A47" w:rsidP="00356EB3">
            <w:pPr>
              <w:spacing w:line="480" w:lineRule="auto"/>
            </w:pPr>
            <w:r>
              <w:t>0.59</w:t>
            </w:r>
          </w:p>
        </w:tc>
        <w:tc>
          <w:tcPr>
            <w:tcW w:w="1472" w:type="dxa"/>
          </w:tcPr>
          <w:p w14:paraId="04111EA2" w14:textId="77777777" w:rsidR="00D52A47" w:rsidRDefault="00D52A47" w:rsidP="00356EB3">
            <w:pPr>
              <w:keepNext/>
              <w:spacing w:line="480" w:lineRule="auto"/>
            </w:pPr>
            <w:r w:rsidRPr="005C7F39">
              <w:t>(Champion et al. 2010).</w:t>
            </w:r>
          </w:p>
        </w:tc>
      </w:tr>
      <w:tr w:rsidR="00D52A47" w14:paraId="24421DE0" w14:textId="77777777" w:rsidTr="00356EB3">
        <w:tc>
          <w:tcPr>
            <w:tcW w:w="3255" w:type="dxa"/>
          </w:tcPr>
          <w:p w14:paraId="2D7F6E11" w14:textId="77777777" w:rsidR="00D52A47" w:rsidRPr="00F0716A" w:rsidRDefault="00D52A47" w:rsidP="00356EB3">
            <w:pPr>
              <w:spacing w:line="480" w:lineRule="auto"/>
            </w:pPr>
            <w:r w:rsidRPr="00F0716A">
              <w:t>prob_death_MAIS</w:t>
            </w:r>
            <w:r>
              <w:t>6</w:t>
            </w:r>
          </w:p>
        </w:tc>
        <w:tc>
          <w:tcPr>
            <w:tcW w:w="1702" w:type="dxa"/>
          </w:tcPr>
          <w:p w14:paraId="0CAE40BF" w14:textId="77777777" w:rsidR="00D52A47" w:rsidRDefault="00D52A47" w:rsidP="00356EB3">
            <w:pPr>
              <w:spacing w:line="480" w:lineRule="auto"/>
            </w:pPr>
            <w:r>
              <w:t>The probability of death associated with a MAIS score of 6</w:t>
            </w:r>
          </w:p>
        </w:tc>
        <w:tc>
          <w:tcPr>
            <w:tcW w:w="2587" w:type="dxa"/>
            <w:gridSpan w:val="2"/>
          </w:tcPr>
          <w:p w14:paraId="13F68634" w14:textId="77777777" w:rsidR="00D52A47" w:rsidRDefault="00D52A47" w:rsidP="00356EB3">
            <w:pPr>
              <w:spacing w:line="480" w:lineRule="auto"/>
            </w:pPr>
            <w:r>
              <w:t>0.83</w:t>
            </w:r>
          </w:p>
        </w:tc>
        <w:tc>
          <w:tcPr>
            <w:tcW w:w="1472" w:type="dxa"/>
          </w:tcPr>
          <w:p w14:paraId="73872FCF" w14:textId="77777777" w:rsidR="00D52A47" w:rsidRDefault="00D52A47" w:rsidP="00356EB3">
            <w:pPr>
              <w:keepNext/>
              <w:spacing w:line="480" w:lineRule="auto"/>
            </w:pPr>
            <w:r w:rsidRPr="005C7F39">
              <w:t>(Champion et al. 2010).</w:t>
            </w:r>
          </w:p>
        </w:tc>
      </w:tr>
      <w:tr w:rsidR="00D52A47" w14:paraId="4488E594" w14:textId="77777777" w:rsidTr="00356EB3">
        <w:tc>
          <w:tcPr>
            <w:tcW w:w="3255" w:type="dxa"/>
          </w:tcPr>
          <w:p w14:paraId="1780CFA7" w14:textId="77777777" w:rsidR="00D52A47" w:rsidRDefault="00D52A47" w:rsidP="00356EB3">
            <w:pPr>
              <w:spacing w:line="480" w:lineRule="auto"/>
            </w:pPr>
            <w:r w:rsidRPr="00EB44EA">
              <w:t>prob_perm_disability_with_</w:t>
            </w:r>
          </w:p>
          <w:p w14:paraId="43AAF2C3" w14:textId="77777777" w:rsidR="00D52A47" w:rsidRPr="00F0716A" w:rsidRDefault="00D52A47" w:rsidP="00356EB3">
            <w:pPr>
              <w:spacing w:line="480" w:lineRule="auto"/>
            </w:pPr>
            <w:r w:rsidRPr="00EB44EA">
              <w:t>treatment_severe_TBI</w:t>
            </w:r>
          </w:p>
        </w:tc>
        <w:tc>
          <w:tcPr>
            <w:tcW w:w="1702" w:type="dxa"/>
          </w:tcPr>
          <w:p w14:paraId="10300C6B" w14:textId="77777777" w:rsidR="00D52A47" w:rsidRDefault="00D52A47" w:rsidP="00356EB3">
            <w:pPr>
              <w:spacing w:line="480" w:lineRule="auto"/>
            </w:pPr>
            <w:r>
              <w:t>The probability that a person with a traumatic brain injury will be left permanently disabled</w:t>
            </w:r>
          </w:p>
        </w:tc>
        <w:tc>
          <w:tcPr>
            <w:tcW w:w="2587" w:type="dxa"/>
            <w:gridSpan w:val="2"/>
          </w:tcPr>
          <w:p w14:paraId="1E5915BA" w14:textId="77777777" w:rsidR="00D52A47" w:rsidRDefault="00D52A47" w:rsidP="00356EB3">
            <w:pPr>
              <w:spacing w:line="480" w:lineRule="auto"/>
            </w:pPr>
            <w:r>
              <w:t>0.199</w:t>
            </w:r>
          </w:p>
        </w:tc>
        <w:tc>
          <w:tcPr>
            <w:tcW w:w="1472" w:type="dxa"/>
          </w:tcPr>
          <w:p w14:paraId="5AA34487" w14:textId="77777777" w:rsidR="00D52A47" w:rsidRDefault="00D52A47" w:rsidP="00356EB3">
            <w:pPr>
              <w:keepNext/>
              <w:spacing w:line="480" w:lineRule="auto"/>
            </w:pPr>
            <w:r>
              <w:fldChar w:fldCharType="begin" w:fldLock="1"/>
            </w:r>
            <w:r>
              <w:instrText>ADDIN CSL_CITATION {"citationItems":[{"id":"ITEM-1","itemData":{"DOI":"10.1016/j.wneu.2017.09.084","ISSN":"18788769","abstract":"Background Trauma accounts for 4.7 million deaths each year, with an estimated 90% of these occurring in low- and middle-income countries (LMICs). Approximately half of trauma-related deaths are caused by central nervous system injury. Because a thorough understanding of traumatic brain injury (TBI) in LMICs is essential to mitigate TBI-related mortality, we established a clinical and radiographic database to characterize TBI in our low-income setting. Methods This is a review of prospectively collected data from Kamuzu Central Hospital, a tertiary care center in the capital of Malawi. All patients admitted from October 2016 through May 2017 with a history of head trauma, altered consciousness, and/or radiographic evidence TBI were included. We performed descriptive statistics, a Cox regression analysis, and a survival analysis. Results There were 280 patients who met inclusion criteria; of these, 80.5% were men. The mean age was 28.8 ± 16.3 years. Median Glasgow Coma Scale (GCS) score was 12 (interquartile range, 8–15). Road traffic crashes constituted the most common injury mechanism (60.7%). There were 148 (52.3%) patients who received a computed tomography scan, with the most common findings being contusions (26.1%). Of the patients, 88 (33.0%) had severe TBI, defined as a GCS score ≤8, of whom 27.6% were intubated and 10.3% received tracheostomies. Overall mortality was 30.9%. Of patients who survived, 80.1% made a good recovery. Female sex was protective, and the only significant predictor of poor functional outcome was presence of severe TBI (hazard ratio, 2.98; 95% confidence interval, 1.79–4.95). Conclusions TBI represents a significant part of the global neurosurgical burden of disease. Implementation of proven in-hospital interventions for these patients is critical to attenuate TBI-related morbidity and mortality.","author":[{"dropping-particle":"","family":"Eaton","given":"Jessica","non-dropping-particle":"","parse-names":false,"suffix":""},{"dropping-particle":"","family":"Hanif","given":"Asma Bilal","non-dropping-particle":"","parse-names":false,"suffix":""},{"dropping-particle":"","family":"Grudziak","given":"Joanna","non-dropping-particle":"","parse-names":false,"suffix":""},{"dropping-particle":"","family":"Charles","given":"Anthony","non-dropping-particle":"","parse-names":false,"suffix":""}],"container-title":"World Neurosurgery","id":"ITEM-1","issued":{"date-parts":[["2017","12","1"]]},"page":"650-655","publisher":"Elsevier Inc.","title":"Epidemiology, Management, and Functional Outcomes of Traumatic Brain Injury in Sub-Saharan Africa","type":"article-journal","volume":"108"},"uris":["http://www.mendeley.com/documents/?uuid=6a43943e-a11d-432e-b357-ccf32a4ba38e"]}],"mendeley":{"formattedCitation":"(Eaton et al. 2017)","plainTextFormattedCitation":"(Eaton et al. 2017)","previouslyFormattedCitation":"(Eaton et al. 2017)"},"properties":{"noteIndex":0},"schema":"https://github.com/citation-style-language/schema/raw/master/csl-citation.json"}</w:instrText>
            </w:r>
            <w:r>
              <w:fldChar w:fldCharType="separate"/>
            </w:r>
            <w:r w:rsidRPr="00EB44EA">
              <w:rPr>
                <w:noProof/>
              </w:rPr>
              <w:t>(Eaton et al. 2017)</w:t>
            </w:r>
            <w:r>
              <w:fldChar w:fldCharType="end"/>
            </w:r>
          </w:p>
        </w:tc>
      </w:tr>
      <w:tr w:rsidR="00D52A47" w14:paraId="19DBC17A" w14:textId="77777777" w:rsidTr="00356EB3">
        <w:tc>
          <w:tcPr>
            <w:tcW w:w="3255" w:type="dxa"/>
          </w:tcPr>
          <w:p w14:paraId="52DC463E" w14:textId="77777777" w:rsidR="00D52A47" w:rsidRDefault="00D52A47" w:rsidP="00356EB3">
            <w:pPr>
              <w:spacing w:line="480" w:lineRule="auto"/>
            </w:pPr>
            <w:r w:rsidRPr="00EB44EA">
              <w:t>prob_perm_disability_with_</w:t>
            </w:r>
          </w:p>
          <w:p w14:paraId="677F8C71" w14:textId="77777777" w:rsidR="00D52A47" w:rsidRPr="00EB44EA" w:rsidRDefault="00D52A47" w:rsidP="00356EB3">
            <w:pPr>
              <w:spacing w:line="480" w:lineRule="auto"/>
            </w:pPr>
            <w:r w:rsidRPr="00EB44EA">
              <w:t>treatment_sci</w:t>
            </w:r>
          </w:p>
        </w:tc>
        <w:tc>
          <w:tcPr>
            <w:tcW w:w="1702" w:type="dxa"/>
          </w:tcPr>
          <w:p w14:paraId="233BB5AD" w14:textId="77777777" w:rsidR="00D52A47" w:rsidRDefault="00D52A47" w:rsidP="00356EB3">
            <w:pPr>
              <w:spacing w:line="480" w:lineRule="auto"/>
            </w:pPr>
            <w:r>
              <w:t xml:space="preserve">The probability that a person with a </w:t>
            </w:r>
            <w:r>
              <w:lastRenderedPageBreak/>
              <w:t>traumatic brain injury will be left permanently disabled</w:t>
            </w:r>
          </w:p>
        </w:tc>
        <w:tc>
          <w:tcPr>
            <w:tcW w:w="2587" w:type="dxa"/>
            <w:gridSpan w:val="2"/>
          </w:tcPr>
          <w:p w14:paraId="44B57388" w14:textId="77777777" w:rsidR="00D52A47" w:rsidRDefault="00D52A47" w:rsidP="00356EB3">
            <w:pPr>
              <w:spacing w:line="480" w:lineRule="auto"/>
            </w:pPr>
            <w:r w:rsidRPr="00D32803">
              <w:lastRenderedPageBreak/>
              <w:t>0.436</w:t>
            </w:r>
          </w:p>
        </w:tc>
        <w:tc>
          <w:tcPr>
            <w:tcW w:w="1472" w:type="dxa"/>
          </w:tcPr>
          <w:p w14:paraId="001DFF67" w14:textId="77777777" w:rsidR="00D52A47" w:rsidRDefault="00D52A47" w:rsidP="00356EB3">
            <w:pPr>
              <w:keepNext/>
              <w:spacing w:line="480" w:lineRule="auto"/>
            </w:pPr>
            <w:r>
              <w:fldChar w:fldCharType="begin" w:fldLock="1"/>
            </w:r>
            <w:r>
              <w:instrText>ADDIN CSL_CITATION {"citationItems":[{"id":"ITEM-1","itemData":{"DOI":"10.1177/0049475518808969","ISBN":"0049-4755","abstract":"Spinal cord injury (SCI) is relatively rare and affects an estimated 15-40 per 1 million people globally. All patients admitted from October 2016 to June 2017 at Kamuzu Central Hospital, Malawi with a spinal column injury were retrospectively studied. Out of 1442 patients, 46 had vertebral column injury, and half of these had neurological deficit. The most common mechanism of injury was road traffic crash (45.7%), and cervical SCIs were the most common (41.3%). The overall mortality was 15.2%, thus demonstrating devastating morbidity and mortality. Owing to the latter, and the relative lack of operative facilities, primary prevention remains the most effective way to attenuate the tragedy of SCIs.","author":[{"dropping-particle":"","family":"Eaton","given":"Jessica","non-dropping-particle":"","parse-names":false,"suffix":""},{"dropping-particle":"","family":"Mukuzunga","given":"Cornelius","non-dropping-particle":"","parse-names":false,"suffix":""},{"dropping-particle":"","family":"Grudziak","given":"Joanna","non-dropping-particle":"","parse-names":false,"suffix":""},{"dropping-particle":"","family":"Charles","given":"Anthony","non-dropping-particle":"","parse-names":false,"suffix":""}],"container-title":"Tropical Doctor","id":"ITEM-1","issue":"1","issued":{"date-parts":[["2019"]]},"page":"62-64","title":"Characteristics and outcomes of traumatic spinal cord injury in a low-resource setting","type":"article-journal","volume":"49"},"uris":["http://www.mendeley.com/documents/?uuid=63c96e65-6384-4e4f-aec4-70d5b37c49d2"]}],"mendeley":{"formattedCitation":"(Eaton et al. 2019)","plainTextFormattedCitation":"(Eaton et al. 2019)","previouslyFormattedCitation":"(Eaton et al. 2019)"},"properties":{"noteIndex":0},"schema":"https://github.com/citation-style-language/schema/raw/master/csl-citation.json"}</w:instrText>
            </w:r>
            <w:r>
              <w:fldChar w:fldCharType="separate"/>
            </w:r>
            <w:r w:rsidRPr="00EB44EA">
              <w:rPr>
                <w:noProof/>
              </w:rPr>
              <w:t>(Eaton et al. 2019)</w:t>
            </w:r>
            <w:r>
              <w:fldChar w:fldCharType="end"/>
            </w:r>
          </w:p>
        </w:tc>
      </w:tr>
    </w:tbl>
    <w:p w14:paraId="1E9A1B7F" w14:textId="6CB1D483" w:rsidR="00D52A47" w:rsidRDefault="00D52A47" w:rsidP="00D52A47">
      <w:pPr>
        <w:pStyle w:val="Caption"/>
        <w:spacing w:line="480" w:lineRule="auto"/>
      </w:pPr>
      <w:bookmarkStart w:id="4" w:name="_Ref100157134"/>
      <w:r>
        <w:t xml:space="preserve">Table A </w:t>
      </w:r>
      <w:fldSimple w:instr=" SEQ Table_A \* ARABIC ">
        <w:r w:rsidR="00F1406D">
          <w:rPr>
            <w:noProof/>
          </w:rPr>
          <w:t>2</w:t>
        </w:r>
      </w:fldSimple>
      <w:bookmarkEnd w:id="4"/>
      <w:r>
        <w:t>:</w:t>
      </w:r>
      <w:r w:rsidRPr="006250F3">
        <w:t xml:space="preserve"> </w:t>
      </w:r>
      <w:r>
        <w:t>parameters used in the model, with name, description, value and source/calibration process.</w:t>
      </w:r>
    </w:p>
    <w:p w14:paraId="198DC8E7" w14:textId="77777777" w:rsidR="00D52A47" w:rsidRPr="00D52A47" w:rsidRDefault="00D52A47" w:rsidP="00D52A47"/>
    <w:tbl>
      <w:tblPr>
        <w:tblStyle w:val="TableGrid"/>
        <w:tblW w:w="0" w:type="auto"/>
        <w:tblLook w:val="04A0" w:firstRow="1" w:lastRow="0" w:firstColumn="1" w:lastColumn="0" w:noHBand="0" w:noVBand="1"/>
      </w:tblPr>
      <w:tblGrid>
        <w:gridCol w:w="2187"/>
        <w:gridCol w:w="1225"/>
        <w:gridCol w:w="1034"/>
        <w:gridCol w:w="1772"/>
        <w:gridCol w:w="1214"/>
        <w:gridCol w:w="1584"/>
      </w:tblGrid>
      <w:tr w:rsidR="00DD077E" w14:paraId="45C2CBC0" w14:textId="77777777" w:rsidTr="00356EB3">
        <w:tc>
          <w:tcPr>
            <w:tcW w:w="2187" w:type="dxa"/>
          </w:tcPr>
          <w:p w14:paraId="511476E7" w14:textId="77777777" w:rsidR="00DD077E" w:rsidRDefault="00DD077E" w:rsidP="00356EB3">
            <w:pPr>
              <w:spacing w:line="480" w:lineRule="auto"/>
            </w:pPr>
            <w:r>
              <w:t>Injury</w:t>
            </w:r>
          </w:p>
        </w:tc>
        <w:tc>
          <w:tcPr>
            <w:tcW w:w="1225" w:type="dxa"/>
          </w:tcPr>
          <w:p w14:paraId="192258E8" w14:textId="77777777" w:rsidR="00DD077E" w:rsidRDefault="00DD077E" w:rsidP="00356EB3">
            <w:pPr>
              <w:spacing w:line="480" w:lineRule="auto"/>
            </w:pPr>
            <w:r>
              <w:t>AIS score</w:t>
            </w:r>
          </w:p>
        </w:tc>
        <w:tc>
          <w:tcPr>
            <w:tcW w:w="1034" w:type="dxa"/>
          </w:tcPr>
          <w:p w14:paraId="55B97FB7" w14:textId="77777777" w:rsidR="00DD077E" w:rsidRDefault="00DD077E" w:rsidP="00356EB3">
            <w:pPr>
              <w:spacing w:line="480" w:lineRule="auto"/>
            </w:pPr>
            <w:r>
              <w:t>Disability weight</w:t>
            </w:r>
          </w:p>
        </w:tc>
        <w:tc>
          <w:tcPr>
            <w:tcW w:w="1772" w:type="dxa"/>
          </w:tcPr>
          <w:p w14:paraId="48657B9A" w14:textId="77777777" w:rsidR="00DD077E" w:rsidRDefault="00DD077E" w:rsidP="00356EB3">
            <w:pPr>
              <w:spacing w:line="480" w:lineRule="auto"/>
            </w:pPr>
            <w:r>
              <w:t>Treatment</w:t>
            </w:r>
          </w:p>
        </w:tc>
        <w:tc>
          <w:tcPr>
            <w:tcW w:w="1214" w:type="dxa"/>
          </w:tcPr>
          <w:p w14:paraId="7843A0E7" w14:textId="77777777" w:rsidR="00DD077E" w:rsidRDefault="00DD077E" w:rsidP="00356EB3">
            <w:pPr>
              <w:spacing w:line="480" w:lineRule="auto"/>
            </w:pPr>
            <w:r>
              <w:t>Recovery time</w:t>
            </w:r>
          </w:p>
        </w:tc>
        <w:tc>
          <w:tcPr>
            <w:tcW w:w="1584" w:type="dxa"/>
          </w:tcPr>
          <w:p w14:paraId="5580B594" w14:textId="77777777" w:rsidR="00DD077E" w:rsidRDefault="00DD077E" w:rsidP="00356EB3">
            <w:pPr>
              <w:spacing w:line="480" w:lineRule="auto"/>
            </w:pPr>
            <w:r>
              <w:t>Source for use of treatment</w:t>
            </w:r>
          </w:p>
        </w:tc>
      </w:tr>
      <w:tr w:rsidR="00DD077E" w14:paraId="1FE4D5E5" w14:textId="77777777" w:rsidTr="00356EB3">
        <w:tc>
          <w:tcPr>
            <w:tcW w:w="2187" w:type="dxa"/>
          </w:tcPr>
          <w:p w14:paraId="5D0F6E8C" w14:textId="77777777" w:rsidR="00DD077E" w:rsidRDefault="00DD077E" w:rsidP="00356EB3">
            <w:pPr>
              <w:spacing w:line="480" w:lineRule="auto"/>
            </w:pPr>
            <w:r>
              <w:t>‘Unspecified’ skull fracture</w:t>
            </w:r>
          </w:p>
        </w:tc>
        <w:tc>
          <w:tcPr>
            <w:tcW w:w="1225" w:type="dxa"/>
          </w:tcPr>
          <w:p w14:paraId="3410DCFB" w14:textId="77777777" w:rsidR="00DD077E" w:rsidRDefault="00DD077E" w:rsidP="00356EB3">
            <w:pPr>
              <w:spacing w:line="480" w:lineRule="auto"/>
            </w:pPr>
            <w:r>
              <w:t>2</w:t>
            </w:r>
          </w:p>
        </w:tc>
        <w:tc>
          <w:tcPr>
            <w:tcW w:w="1034" w:type="dxa"/>
          </w:tcPr>
          <w:p w14:paraId="05FA6726" w14:textId="77777777" w:rsidR="00DD077E" w:rsidRDefault="00DD077E" w:rsidP="00356EB3">
            <w:pPr>
              <w:spacing w:line="480" w:lineRule="auto"/>
            </w:pPr>
            <w:r w:rsidRPr="0051285B">
              <w:t>0.195</w:t>
            </w:r>
          </w:p>
        </w:tc>
        <w:tc>
          <w:tcPr>
            <w:tcW w:w="1772" w:type="dxa"/>
          </w:tcPr>
          <w:p w14:paraId="7253C7BC" w14:textId="77777777" w:rsidR="00DD077E" w:rsidRPr="0051285B" w:rsidRDefault="00DD077E" w:rsidP="00356EB3">
            <w:pPr>
              <w:spacing w:line="480" w:lineRule="auto"/>
            </w:pPr>
            <w:r>
              <w:t>Heal</w:t>
            </w:r>
            <w:r w:rsidRPr="004A7FC9">
              <w:t xml:space="preserve"> with time or </w:t>
            </w:r>
            <w:r>
              <w:t>major surgery for depressed skull fracture</w:t>
            </w:r>
          </w:p>
        </w:tc>
        <w:tc>
          <w:tcPr>
            <w:tcW w:w="1214" w:type="dxa"/>
          </w:tcPr>
          <w:p w14:paraId="13227A93" w14:textId="77777777" w:rsidR="00DD077E" w:rsidRDefault="00DD077E" w:rsidP="00356EB3">
            <w:pPr>
              <w:spacing w:line="480" w:lineRule="auto"/>
            </w:pPr>
            <w:r>
              <w:t xml:space="preserve">42 days with surgery, 49 otherwise </w:t>
            </w:r>
          </w:p>
        </w:tc>
        <w:tc>
          <w:tcPr>
            <w:tcW w:w="1584" w:type="dxa"/>
          </w:tcPr>
          <w:p w14:paraId="2CC515DF" w14:textId="77777777" w:rsidR="00DD077E" w:rsidRPr="0051285B" w:rsidRDefault="00DD077E" w:rsidP="00356EB3">
            <w:pPr>
              <w:spacing w:line="480" w:lineRule="auto"/>
            </w:pPr>
            <w:r>
              <w:fldChar w:fldCharType="begin" w:fldLock="1"/>
            </w:r>
            <w:r>
              <w:instrText>ADDIN CSL_CITATION {"citationItems":[{"id":"ITEM-1","itemData":{"DOI":"10.1016/j.wneu.2017.09.084","ISSN":"18788769","abstract":"Background Trauma accounts for 4.7 million deaths each year, with an estimated 90% of these occurring in low- and middle-income countries (LMICs). Approximately half of trauma-related deaths are caused by central nervous system injury. Because a thorough understanding of traumatic brain injury (TBI) in LMICs is essential to mitigate TBI-related mortality, we established a clinical and radiographic database to characterize TBI in our low-income setting. Methods This is a review of prospectively collected data from Kamuzu Central Hospital, a tertiary care center in the capital of Malawi. All patients admitted from October 2016 through May 2017 with a history of head trauma, altered consciousness, and/or radiographic evidence TBI were included. We performed descriptive statistics, a Cox regression analysis, and a survival analysis. Results There were 280 patients who met inclusion criteria; of these, 80.5% were men. The mean age was 28.8 ± 16.3 years. Median Glasgow Coma Scale (GCS) score was 12 (interquartile range, 8–15). Road traffic crashes constituted the most common injury mechanism (60.7%). There were 148 (52.3%) patients who received a computed tomography scan, with the most common findings being contusions (26.1%). Of the patients, 88 (33.0%) had severe TBI, defined as a GCS score ≤8, of whom 27.6% were intubated and 10.3% received tracheostomies. Overall mortality was 30.9%. Of patients who survived, 80.1% made a good recovery. Female sex was protective, and the only significant predictor of poor functional outcome was presence of severe TBI (hazard ratio, 2.98; 95% confidence interval, 1.79–4.95). Conclusions TBI represents a significant part of the global neurosurgical burden of disease. Implementation of proven in-hospital interventions for these patients is critical to attenuate TBI-related morbidity and mortality.","author":[{"dropping-particle":"","family":"Eaton","given":"Jessica","non-dropping-particle":"","parse-names":false,"suffix":""},{"dropping-particle":"","family":"Hanif","given":"Asma Bilal","non-dropping-particle":"","parse-names":false,"suffix":""},{"dropping-particle":"","family":"Grudziak","given":"Joanna","non-dropping-particle":"","parse-names":false,"suffix":""},{"dropping-particle":"","family":"Charles","given":"Anthony","non-dropping-particle":"","parse-names":false,"suffix":""}],"container-title":"World Neurosurgery","id":"ITEM-1","issued":{"date-parts":[["2017","12","1"]]},"page":"650-655","publisher":"Elsevier Inc.","title":"Epidemiology, Management, and Functional Outcomes of Traumatic Brain Injury in Sub-Saharan Africa","type":"article-journal","volume":"108"},"uris":["http://www.mendeley.com/documents/?uuid=6a43943e-a11d-432e-b357-ccf32a4ba38e"]}],"mendeley":{"formattedCitation":"(Eaton et al. 2017)","plainTextFormattedCitation":"(Eaton et al. 2017)","previouslyFormattedCitation":"(Eaton et al. 2017)"},"properties":{"noteIndex":0},"schema":"https://github.com/citation-style-language/schema/raw/master/csl-citation.json"}</w:instrText>
            </w:r>
            <w:r>
              <w:fldChar w:fldCharType="separate"/>
            </w:r>
            <w:r w:rsidRPr="00837714">
              <w:rPr>
                <w:noProof/>
              </w:rPr>
              <w:t>(Eaton et al. 2017)</w:t>
            </w:r>
            <w:r>
              <w:fldChar w:fldCharType="end"/>
            </w:r>
          </w:p>
        </w:tc>
      </w:tr>
      <w:tr w:rsidR="00DD077E" w14:paraId="7D9A6DAA" w14:textId="77777777" w:rsidTr="00356EB3">
        <w:tc>
          <w:tcPr>
            <w:tcW w:w="2187" w:type="dxa"/>
          </w:tcPr>
          <w:p w14:paraId="28EE696A" w14:textId="77777777" w:rsidR="00DD077E" w:rsidRDefault="00DD077E" w:rsidP="00356EB3">
            <w:pPr>
              <w:spacing w:line="480" w:lineRule="auto"/>
            </w:pPr>
            <w:r>
              <w:t>Basilar skull fracture</w:t>
            </w:r>
          </w:p>
        </w:tc>
        <w:tc>
          <w:tcPr>
            <w:tcW w:w="1225" w:type="dxa"/>
          </w:tcPr>
          <w:p w14:paraId="5D4EDC53" w14:textId="77777777" w:rsidR="00DD077E" w:rsidRDefault="00DD077E" w:rsidP="00356EB3">
            <w:pPr>
              <w:spacing w:line="480" w:lineRule="auto"/>
            </w:pPr>
            <w:r>
              <w:t>3</w:t>
            </w:r>
          </w:p>
        </w:tc>
        <w:tc>
          <w:tcPr>
            <w:tcW w:w="1034" w:type="dxa"/>
          </w:tcPr>
          <w:p w14:paraId="35674DAB" w14:textId="77777777" w:rsidR="00DD077E" w:rsidRDefault="00DD077E" w:rsidP="00356EB3">
            <w:pPr>
              <w:spacing w:line="480" w:lineRule="auto"/>
            </w:pPr>
            <w:r w:rsidRPr="0051285B">
              <w:t>0.149</w:t>
            </w:r>
          </w:p>
        </w:tc>
        <w:tc>
          <w:tcPr>
            <w:tcW w:w="1772" w:type="dxa"/>
          </w:tcPr>
          <w:p w14:paraId="571B7A14" w14:textId="77777777" w:rsidR="00DD077E" w:rsidRPr="0051285B" w:rsidRDefault="00DD077E" w:rsidP="00356EB3">
            <w:pPr>
              <w:spacing w:line="480" w:lineRule="auto"/>
            </w:pPr>
            <w:r>
              <w:t>Heal</w:t>
            </w:r>
            <w:r w:rsidRPr="004A7FC9">
              <w:t xml:space="preserve"> with time</w:t>
            </w:r>
          </w:p>
        </w:tc>
        <w:tc>
          <w:tcPr>
            <w:tcW w:w="1214" w:type="dxa"/>
          </w:tcPr>
          <w:p w14:paraId="54272CC1" w14:textId="77777777" w:rsidR="00DD077E" w:rsidRDefault="00DD077E" w:rsidP="00356EB3">
            <w:pPr>
              <w:spacing w:line="480" w:lineRule="auto"/>
            </w:pPr>
            <w:r>
              <w:t>49 days</w:t>
            </w:r>
          </w:p>
        </w:tc>
        <w:tc>
          <w:tcPr>
            <w:tcW w:w="1584" w:type="dxa"/>
          </w:tcPr>
          <w:p w14:paraId="7DECB9A2" w14:textId="77777777" w:rsidR="00DD077E" w:rsidRPr="0051285B" w:rsidRDefault="00DD077E" w:rsidP="00356EB3">
            <w:pPr>
              <w:spacing w:line="480" w:lineRule="auto"/>
            </w:pPr>
            <w:r>
              <w:t>Assumed</w:t>
            </w:r>
          </w:p>
        </w:tc>
      </w:tr>
      <w:tr w:rsidR="00DD077E" w:rsidRPr="00374B11" w14:paraId="109DFE62" w14:textId="77777777" w:rsidTr="00356EB3">
        <w:tc>
          <w:tcPr>
            <w:tcW w:w="2187" w:type="dxa"/>
          </w:tcPr>
          <w:p w14:paraId="286E0FAA" w14:textId="77777777" w:rsidR="00DD077E" w:rsidRDefault="00DD077E" w:rsidP="00356EB3">
            <w:pPr>
              <w:spacing w:line="480" w:lineRule="auto"/>
            </w:pPr>
            <w:r>
              <w:t>Subarachnoid hematoma</w:t>
            </w:r>
          </w:p>
        </w:tc>
        <w:tc>
          <w:tcPr>
            <w:tcW w:w="1225" w:type="dxa"/>
          </w:tcPr>
          <w:p w14:paraId="215BBECE" w14:textId="77777777" w:rsidR="00DD077E" w:rsidRDefault="00DD077E" w:rsidP="00356EB3">
            <w:pPr>
              <w:spacing w:line="480" w:lineRule="auto"/>
            </w:pPr>
            <w:r>
              <w:t>3</w:t>
            </w:r>
          </w:p>
        </w:tc>
        <w:tc>
          <w:tcPr>
            <w:tcW w:w="1034" w:type="dxa"/>
          </w:tcPr>
          <w:p w14:paraId="57B3BAB4" w14:textId="77777777" w:rsidR="00DD077E" w:rsidRDefault="00DD077E" w:rsidP="00356EB3">
            <w:pPr>
              <w:spacing w:line="480" w:lineRule="auto"/>
            </w:pPr>
            <w:r w:rsidRPr="0051285B">
              <w:t>0.214</w:t>
            </w:r>
          </w:p>
        </w:tc>
        <w:tc>
          <w:tcPr>
            <w:tcW w:w="1772" w:type="dxa"/>
          </w:tcPr>
          <w:p w14:paraId="250E6B60" w14:textId="77777777" w:rsidR="00DD077E" w:rsidRPr="0051285B" w:rsidRDefault="00DD077E" w:rsidP="00356EB3">
            <w:pPr>
              <w:spacing w:line="480" w:lineRule="auto"/>
            </w:pPr>
            <w:r>
              <w:t>Heal</w:t>
            </w:r>
            <w:r w:rsidRPr="004A7FC9">
              <w:t xml:space="preserve"> with time or </w:t>
            </w:r>
            <w:r>
              <w:t>major surgery (craniotomy)</w:t>
            </w:r>
          </w:p>
        </w:tc>
        <w:tc>
          <w:tcPr>
            <w:tcW w:w="1214" w:type="dxa"/>
          </w:tcPr>
          <w:p w14:paraId="353A0F80" w14:textId="77777777" w:rsidR="00DD077E" w:rsidRDefault="00DD077E" w:rsidP="00356EB3">
            <w:pPr>
              <w:spacing w:line="480" w:lineRule="auto"/>
            </w:pPr>
            <w:r>
              <w:t>42 days with surgery otherwise permanent</w:t>
            </w:r>
          </w:p>
        </w:tc>
        <w:tc>
          <w:tcPr>
            <w:tcW w:w="1584" w:type="dxa"/>
          </w:tcPr>
          <w:p w14:paraId="0F71823C" w14:textId="77777777" w:rsidR="00DD077E" w:rsidRPr="004137CE" w:rsidRDefault="00DD077E" w:rsidP="00356EB3">
            <w:pPr>
              <w:spacing w:line="480" w:lineRule="auto"/>
            </w:pPr>
            <w:r>
              <w:fldChar w:fldCharType="begin" w:fldLock="1"/>
            </w:r>
            <w:r>
              <w:instrText>ADDIN CSL_CITATION {"citationItems":[{"id":"ITEM-1","itemData":{"DOI":"10.1016/j.wneu.2017.09.084","ISSN":"18788769","abstract":"Background Trauma accounts for 4.7 million deaths each year, with an estimated 90% of these occurring in low- and middle-income countries (LMICs). Approximately half of trauma-related deaths are caused by central nervous system injury. Because a thorough understanding of traumatic brain injury (TBI) in LMICs is essential to mitigate TBI-related mortality, we established a clinical and radiographic database to characterize TBI in our low-income setting. Methods This is a review of prospectively collected data from Kamuzu Central Hospital, a tertiary care center in the capital of Malawi. All patients admitted from October 2016 through May 2017 with a history of head trauma, altered consciousness, and/or radiographic evidence TBI were included. We performed descriptive statistics, a Cox regression analysis, and a survival analysis. Results There were 280 patients who met inclusion criteria; of these, 80.5% were men. The mean age was 28.8 ± 16.3 years. Median Glasgow Coma Scale (GCS) score was 12 (interquartile range, 8–15). Road traffic crashes constituted the most common injury mechanism (60.7%). There were 148 (52.3%) patients who received a computed tomography scan, with the most common findings being contusions (26.1%). Of the patients, 88 (33.0%) had severe TBI, defined as a GCS score ≤8, of whom 27.6% were intubated and 10.3% received tracheostomies. Overall mortality was 30.9%. Of patients who survived, 80.1% made a good recovery. Female sex was protective, and the only significant predictor of poor functional outcome was presence of severe TBI (hazard ratio, 2.98; 95% confidence interval, 1.79–4.95). Conclusions TBI represents a significant part of the global neurosurgical burden of disease. Implementation of proven in-hospital interventions for these patients is critical to attenuate TBI-related morbidity and mortality.","author":[{"dropping-particle":"","family":"Eaton","given":"Jessica","non-dropping-particle":"","parse-names":false,"suffix":""},{"dropping-particle":"","family":"Hanif","given":"Asma Bilal","non-dropping-particle":"","parse-names":false,"suffix":""},{"dropping-particle":"","family":"Grudziak","given":"Joanna","non-dropping-particle":"","parse-names":false,"suffix":""},{"dropping-particle":"","family":"Charles","given":"Anthony","non-dropping-particle":"","parse-names":false,"suffix":""}],"container-title":"World Neurosurgery","id":"ITEM-1","issued":{"date-parts":[["2017","12","1"]]},"page":"650-655","publisher":"Elsevier Inc.","title":"Epidemiology, Management, and Functional Outcomes of Traumatic Brain Injury in Sub-Saharan Africa","type":"article-journal","volume":"108"},"uris":["http://www.mendeley.com/documents/?uuid=6a43943e-a11d-432e-b357-ccf32a4ba38e"]},{"id":"ITEM-2","itemData":{"DOI":"10.1308/003588407X209329","ISSN":"00358843","abstract":"Malawi is a poor country with few doctors. It has 21 district hospitals all of which have operating theatres but none of which has a permanent surgeon. It also has 4 central hospitals, each with one or more surgeons. Most district hospitals are manned by a single doctor and two or more paramedical clinical officers. All district and central hospitals were visited, and theatre logbooks analysed. All cases performed in 2003 were recorded. In 2003, a total of 48,696 surgical operations were recorded, of which 25,053 were performed in 21 district hospitals and 23,643 in 4 central hospitals. Caesarean section is the commonest major surgical procedure in district hospitals and is performed in approximately 2.8% of all births, compared to 22% in the UK. Very few major general surgical or orthopaedic procedu</w:instrText>
            </w:r>
            <w:r w:rsidRPr="004137CE">
              <w:instrText>res are carried out in district hospitals. This study underlines Malawi's need for more surgeons to be trained and retained.","author":[{"dropping-particle":"","family":"Lavy","given":"Chris","non-dropping-particle":"","parse-names":false,"suffix":""},{"dropping-particle":"","family":"Tindall","given":"Alistair","non-dropping-particle":"","parse-names":false,"suffix":""},{"dropping-particle":"","family":"Steinlechner","given":"Colin","non-dropping-particle":"","parse-names":false,"suffix":""},{"dropping-particle":"","family":"Mkandawire","given":"Nyengo","non-dropping-particle":"","parse-names":false,"suffix":""},{"dropping-particle":"","family":"Chimangeni","given":"Sandy","non-dropping-particle":"","parse-names":false,"suffix":""}],"container-title":"Annals of the Royal College of Surgeons of England","id":"ITEM-2","issue":"7","issued":{"date-parts":[["2007","10"]]},"page":"722-724","publisher":"Royal College of Surgeons of England","title":"Surgery in Malawi - A national survey of activity in rural and urban hospitals","type":"article-journal","volume":"89"},"uris":["http://www.mendeley.com/documents/?uuid=49b3b33c-3bf8-3a11-abed-da1b3a0d17fc"]}],"mendeley":{"formattedCitation":"(Eaton et al. 2017; Lavy et al. 2007)","plainTextFormattedCitation":"(Eaton et al. 2017; Lavy et al. 2007)","previouslyFormattedCitation":"(Eaton et al. 2017; Lavy et al. 2007)"},"properties":{"noteIndex":0},"schema":"https://github.com/citation-style-language/schema/raw/master/csl-citation.json"}</w:instrText>
            </w:r>
            <w:r>
              <w:fldChar w:fldCharType="separate"/>
            </w:r>
            <w:r w:rsidRPr="004137CE">
              <w:rPr>
                <w:noProof/>
              </w:rPr>
              <w:t>(Eaton et al. 2017; Lavy et al. 2007)</w:t>
            </w:r>
            <w:r>
              <w:fldChar w:fldCharType="end"/>
            </w:r>
          </w:p>
        </w:tc>
      </w:tr>
      <w:tr w:rsidR="00DD077E" w:rsidRPr="00374B11" w14:paraId="101F336A" w14:textId="77777777" w:rsidTr="00356EB3">
        <w:tc>
          <w:tcPr>
            <w:tcW w:w="2187" w:type="dxa"/>
          </w:tcPr>
          <w:p w14:paraId="1834AD20" w14:textId="77777777" w:rsidR="00DD077E" w:rsidRPr="004137CE" w:rsidRDefault="00DD077E" w:rsidP="00356EB3">
            <w:pPr>
              <w:spacing w:line="480" w:lineRule="auto"/>
            </w:pPr>
            <w:r w:rsidRPr="004137CE">
              <w:t>Brain contusion</w:t>
            </w:r>
          </w:p>
        </w:tc>
        <w:tc>
          <w:tcPr>
            <w:tcW w:w="1225" w:type="dxa"/>
          </w:tcPr>
          <w:p w14:paraId="37E26EF4" w14:textId="77777777" w:rsidR="00DD077E" w:rsidRPr="004137CE" w:rsidRDefault="00DD077E" w:rsidP="00356EB3">
            <w:pPr>
              <w:spacing w:line="480" w:lineRule="auto"/>
            </w:pPr>
            <w:r w:rsidRPr="004137CE">
              <w:t>3</w:t>
            </w:r>
          </w:p>
        </w:tc>
        <w:tc>
          <w:tcPr>
            <w:tcW w:w="1034" w:type="dxa"/>
          </w:tcPr>
          <w:p w14:paraId="04C767AD" w14:textId="77777777" w:rsidR="00DD077E" w:rsidRPr="004137CE" w:rsidRDefault="00DD077E" w:rsidP="00356EB3">
            <w:pPr>
              <w:spacing w:line="480" w:lineRule="auto"/>
            </w:pPr>
            <w:r w:rsidRPr="004137CE">
              <w:t>0.174</w:t>
            </w:r>
          </w:p>
        </w:tc>
        <w:tc>
          <w:tcPr>
            <w:tcW w:w="1772" w:type="dxa"/>
          </w:tcPr>
          <w:p w14:paraId="70E113F0" w14:textId="77777777" w:rsidR="00DD077E" w:rsidRPr="004137CE" w:rsidRDefault="00DD077E" w:rsidP="00356EB3">
            <w:pPr>
              <w:spacing w:line="480" w:lineRule="auto"/>
            </w:pPr>
            <w:r w:rsidRPr="004137CE">
              <w:t>Heal with time or major surgery (craniotomy)</w:t>
            </w:r>
          </w:p>
        </w:tc>
        <w:tc>
          <w:tcPr>
            <w:tcW w:w="1214" w:type="dxa"/>
          </w:tcPr>
          <w:p w14:paraId="05C6D1F5" w14:textId="77777777" w:rsidR="00DD077E" w:rsidRDefault="00DD077E" w:rsidP="00356EB3">
            <w:pPr>
              <w:spacing w:line="480" w:lineRule="auto"/>
            </w:pPr>
            <w:r>
              <w:t>42 days with surgery otherwise permanent</w:t>
            </w:r>
          </w:p>
        </w:tc>
        <w:tc>
          <w:tcPr>
            <w:tcW w:w="1584" w:type="dxa"/>
          </w:tcPr>
          <w:p w14:paraId="3771498B" w14:textId="77777777" w:rsidR="00DD077E" w:rsidRPr="004137CE" w:rsidRDefault="00DD077E" w:rsidP="00356EB3">
            <w:pPr>
              <w:spacing w:line="480" w:lineRule="auto"/>
            </w:pPr>
            <w:r>
              <w:fldChar w:fldCharType="begin" w:fldLock="1"/>
            </w:r>
            <w:r w:rsidRPr="004137CE">
              <w:instrText>ADDIN CSL_CITAT</w:instrText>
            </w:r>
            <w:r>
              <w:instrText>ION {"citationItems":[{"id":"ITEM-1","itemData":{"DOI":"10.1016/j.wneu.2017.09.084","ISSN":"18788769","abstract":"Background Trauma accounts for 4.7 million deaths each year, with an estimated 90% of these occurring in low- and middle-income countries (LMICs). Approximately half of trauma-related deaths are caused by central nervous system injury. Because a thorough understanding of traumatic brain injury (TBI) in LMICs is essential to mitigate TBI-related mortality, we established a clinical and radiographic database to characterize TBI in our low-income setting. Methods This is a review of prospectively collected data from Kamuzu Central Hospital, a tertiary care center in the capital of Malawi. All patients admitted from October 2016 through May 2017 with a history of head trauma, altered consciousness, and/or radiographic evidence TBI were included. We performed descriptive statistics, a Cox regression analysis, and a survival analysis. Results There were 280 patients who met inclusion criteria; of these, 80.5% were men. The mean age was 28.8 ± 16.3 years. Median Glasgow Coma Scale (GCS) score was 12 (interquartile range, 8–15). Road traffic crashes constituted the most common injury mechanism (60.7%). There were 148 (52.3%) patients who received a computed tomography scan, with the most common findings being contusions (26.1%). Of the patients, 88 (33.0%) had severe TBI, defined as a GCS score ≤8, of whom 27.6% were intubated and 10.3% received tracheostomies. Overall mortality was 30.9%. Of patients who survived, 80.1% made a good recovery. Female sex was protective, and the only significant predictor of poor functional outcome was presence of severe TBI (hazard ratio, 2.98; 95% confidence interval, 1.79–4.95). Conclusions TBI represents a significant part of the global neurosurgical burden of disease. Implementation of proven in-hospital interventions for these patients is critical to attenuate TBI-related morbidity and mortality.","author":[{"dropping-particle":"","family":"Eaton","given":"Jessica","non-dropping-particle":"","parse-names":false,"suffix":""},{"dropping-particle":"","family":"Hanif","given":"Asma Bilal","non-dropping-particle":"","parse-names":false,"suffix":""},{"dropping-particle":"","family":"Grudziak","given":"Joanna","non-dropping-particle":"","parse-names":false,"suffix":""},{"dropping-particle":"","family":"Charles","given":"Anthony","non-dropping-particle":"","parse-names":false,"suffix":""}],"container-title":"World Neurosurgery","id":"ITEM-1","issued":{"date-parts":[["2017","12","1"]]},"page":"650-655","publisher":"Elsevier Inc.","title":"Epidemiology, Management, and Functional Outcomes of Traumatic Brain Injury in Sub-Saharan Africa","type":"article-journal","volume":"108"},"uris":["http://www.mendeley.com/documents/?uuid=6a43943e-a11d-432e-b357-ccf32a4ba38e"]},{"id":"ITEM-2","itemData":{"DOI":"10.1308/003588407X209329","ISSN":"00358843","abstract":"Malawi is a poor country with few doctors. It has 21 district hospitals all of which have operating theatres but none of which has a permanent surgeon. It also has 4 central hospitals, each with one or more surgeons. Most district hospitals are manned by a single doctor and two or more paramedical clinical officers. All district and central hospitals were visited, and theatre logbooks analysed. All cases performed in 2003 were recorded. In 2003, a total of 48,696 surgical operations were recorded, of which 25,053 were performed in 21 district hospitals and 23,643 in 4 central hospitals. Caesarean section is the commonest major surgical procedure in district hospitals and is performed in approximately 2.8% of all births, compared to 22% in the UK. Very few major general surgical or orthopaedic procedu</w:instrText>
            </w:r>
            <w:r w:rsidRPr="00CF0B4F">
              <w:instrText>res are carried out in district hospitals. This study underlines Malawi's need for more surgeons to be trained and retained.","author":[{"dropping-particle":"","family":"Lavy","given":"Chris","non-dropping-particle":"","parse-names":false,"suffix":""},{"dropping-particle":"","family":"Tindall","given":"Alistair","non-dropping-particle":"","parse-names":false,"suffix":""},{"dropping-particle":"","family":"Steinlechner","given":"Colin","non-dropping-particle":"","parse-names":false,"suffix":""},{"dropping-particle":"","family":"Mkandawire","given":"Nyengo","non-dropping-particle":"","parse-names":false,"suffix":""},{"dropping-particle":"","family":"Chimangeni","given":"Sandy","non-dropping-particle":"","parse-names":false,"suffix":""}],"container-title":"Annals of the Royal College of Surgeons of England","id":"ITEM-2","issue":"7","issued":{"date-parts":[["2007","10"]]},"page":"722-724","publisher":"Royal College of Surgeons of England","title":"Surgery in Malawi - A national survey of activity in rural and urban hospitals","type":"article-journal","volume":"89"},"uris":["http://www.mendeley.com/documents/?uuid=49b3b33c-3bf8-3a11-abed-da1b3a0d17fc"]}],"mendeley":{"formattedCitation":"(Eaton et al. 2017; Lavy et al. 2007)","plainTextFormattedCitation":"(Eaton et al. 2017; Lavy et al. 2007)","previouslyFormattedCitation":"(Eaton et al. 2017; Lavy et al. 2007)"},"properties":{"noteIndex":0},"schema":"https://github.com/citation-style-language/schema/raw/master/csl-citation.json"}</w:instrText>
            </w:r>
            <w:r>
              <w:fldChar w:fldCharType="separate"/>
            </w:r>
            <w:r w:rsidRPr="004137CE">
              <w:rPr>
                <w:noProof/>
              </w:rPr>
              <w:t>(Eaton et al. 2017; Lavy et al. 2007)</w:t>
            </w:r>
            <w:r>
              <w:fldChar w:fldCharType="end"/>
            </w:r>
          </w:p>
        </w:tc>
      </w:tr>
      <w:tr w:rsidR="00DD077E" w:rsidRPr="00374B11" w14:paraId="0CB2EA97" w14:textId="77777777" w:rsidTr="00356EB3">
        <w:tc>
          <w:tcPr>
            <w:tcW w:w="2187" w:type="dxa"/>
          </w:tcPr>
          <w:p w14:paraId="18041BCA" w14:textId="77777777" w:rsidR="00DD077E" w:rsidRPr="004137CE" w:rsidRDefault="00DD077E" w:rsidP="00356EB3">
            <w:pPr>
              <w:spacing w:line="480" w:lineRule="auto"/>
            </w:pPr>
            <w:r w:rsidRPr="004137CE">
              <w:t>Intraventricular haemorrhage</w:t>
            </w:r>
          </w:p>
        </w:tc>
        <w:tc>
          <w:tcPr>
            <w:tcW w:w="1225" w:type="dxa"/>
          </w:tcPr>
          <w:p w14:paraId="70AAC349" w14:textId="77777777" w:rsidR="00DD077E" w:rsidRPr="004137CE" w:rsidRDefault="00DD077E" w:rsidP="00356EB3">
            <w:pPr>
              <w:spacing w:line="480" w:lineRule="auto"/>
            </w:pPr>
            <w:r w:rsidRPr="004137CE">
              <w:t>3</w:t>
            </w:r>
          </w:p>
        </w:tc>
        <w:tc>
          <w:tcPr>
            <w:tcW w:w="1034" w:type="dxa"/>
          </w:tcPr>
          <w:p w14:paraId="6212BC7B" w14:textId="77777777" w:rsidR="00DD077E" w:rsidRPr="004137CE" w:rsidRDefault="00DD077E" w:rsidP="00356EB3">
            <w:pPr>
              <w:spacing w:line="480" w:lineRule="auto"/>
            </w:pPr>
            <w:r w:rsidRPr="004137CE">
              <w:t>0.174</w:t>
            </w:r>
          </w:p>
        </w:tc>
        <w:tc>
          <w:tcPr>
            <w:tcW w:w="1772" w:type="dxa"/>
          </w:tcPr>
          <w:p w14:paraId="03D5A95B" w14:textId="77777777" w:rsidR="00DD077E" w:rsidRPr="004137CE" w:rsidRDefault="00DD077E" w:rsidP="00356EB3">
            <w:pPr>
              <w:spacing w:line="480" w:lineRule="auto"/>
            </w:pPr>
            <w:r w:rsidRPr="004137CE">
              <w:t>Heal with time or major surgery (craniotomy)</w:t>
            </w:r>
          </w:p>
        </w:tc>
        <w:tc>
          <w:tcPr>
            <w:tcW w:w="1214" w:type="dxa"/>
          </w:tcPr>
          <w:p w14:paraId="36CEC666" w14:textId="77777777" w:rsidR="00DD077E" w:rsidRDefault="00DD077E" w:rsidP="00356EB3">
            <w:pPr>
              <w:spacing w:line="480" w:lineRule="auto"/>
            </w:pPr>
            <w:r>
              <w:t xml:space="preserve">42 days with surgery </w:t>
            </w:r>
            <w:r>
              <w:lastRenderedPageBreak/>
              <w:t>otherwise permanent</w:t>
            </w:r>
          </w:p>
        </w:tc>
        <w:tc>
          <w:tcPr>
            <w:tcW w:w="1584" w:type="dxa"/>
          </w:tcPr>
          <w:p w14:paraId="359E15B1" w14:textId="77777777" w:rsidR="00DD077E" w:rsidRPr="004137CE" w:rsidRDefault="00DD077E" w:rsidP="00356EB3">
            <w:pPr>
              <w:spacing w:line="480" w:lineRule="auto"/>
            </w:pPr>
            <w:r>
              <w:lastRenderedPageBreak/>
              <w:fldChar w:fldCharType="begin" w:fldLock="1"/>
            </w:r>
            <w:r w:rsidRPr="004137CE">
              <w:instrText>AD</w:instrText>
            </w:r>
            <w:r>
              <w:instrText>DIN CSL_CITATION {"citationItems":[{"id":"ITEM-1","itemData":{"DOI":"10.1016/j.wneu.2017.09.084","ISSN":"18788769","abstract":"Background Trauma accounts for 4.7 million deaths each year, with an estimated 90% of these occurring in low- and middle-income countries (LMICs). Approximately half of trauma-related deaths are caused by central nervous system injury. Because a thorough understanding of traumatic brain injury (TBI) in LMICs is essential to mitigate TBI-related mortality, we established a clinical and radiographic database to characterize TBI in our low-income setting. Methods This is a review of prospectively collected data from Kamuzu Central Hospital, a tertiary care center in the capital of Malawi. All patients admitted from October 2016 through May 2017 with a history of head trauma, altered consciousness, and/or radiographic evidence TBI were included. We performed descriptive statistics, a Cox regression analysis, and a survival analysis. Results There were 280 patients who met inclusion criteria; of these, 80.5% were men. The mean age was 28.8 ± 16.3 years. Median Glasgow Coma Scale (GCS) score was 12 (interquartile range, 8–15). Road traffic crashes constituted the most common injury mechanism (60.7%). There were 148 (52.3%) patients who received a computed tomography scan, with the most common findings being contusions (26.1%). Of the patients, 88 (33.0%) had severe TBI, defined as a GCS score ≤8, of whom 27.6% were intubated and 10.3% received tracheostomies. Overall mortality was 30.9%. Of patients who survived, 80.1% made a good recovery. Female sex was protective, and the only significant predictor of poor functional outcome was presence of severe TBI (hazard ratio, 2.98; 95% confidence interval, 1.79–4.95). Conclusions TBI represents a significant part of the global neurosurgical burden of disease. Implementation of proven in-hospital interventions for these patients is critical to attenuate TBI-related morbidity and mortality.","author":[{"dropping-particle":"","family":"Eaton","given":"Jessica","non-dropping-particle":"","parse-names":false,"suffix":""},{"dropping-particle":"","family":"Hanif","given":"Asma Bilal","non-dropping-particle":"","parse-names":false,"suffix":""},{"dropping-particle":"","family":"Grudziak","given":"Joanna","non-dropping-particle":"","parse-names":false,"suffix":""},{"dropping-particle":"","family":"Charles","given":"Anthony","non-dropping-particle":"","parse-names":false,"suffix":""}],"container-title":"World Neurosurgery","id":"ITEM-1","issued":{"date-parts":[["2017","12","1"]]},"page":"650-655","publisher":"Elsevier Inc.","title":"Epidemiology, Management, and Functional Outcomes of Traumatic Brain Injury in Sub-Saharan Africa","type":"article-journal","volume":"108"},"uris":["http://www.mendeley.com/documents/?uuid=6a43943e-a11d-432e-b357-ccf32a4ba38e"]},{"id":"ITEM-2","itemData":{"DOI":"10.1308/003588407X209329","ISSN":"00358843","abstract":"Malawi is a poor country with few doctors. It has 21 district hospitals all of which have operating theatres but none of which has a permanent surgeon. It also has 4 central hospitals, each with one or more surgeons. Most district hospitals are manned by a single doctor and two or more paramedical clinical officers. All district and central hospitals were visited, and theatre logbooks analysed. All cases performed in 2003 were recorded. In 2003, a total of 48,696 surgical operations were recorded, of which 25,053 were performed in 21 district hospitals and 23,643 in 4 central hospitals. Caesarean section is the commonest major surgical procedure in district hospitals and is performed in approximately 2.8% of all births, compared to 22% in the UK. Very few major general surgical or orthopaedic procedu</w:instrText>
            </w:r>
            <w:r w:rsidRPr="004137CE">
              <w:instrText>res are carried out in district hospitals. This study underlines Malawi's need for more surgeons to be trained and retained.","author":[{"dropping-particle":"","family":"Lavy","given":"Chris","non-dropping-particle":"","parse-names":false,"suffix":""},{"dropping-particle":"","family":"Tindall","given":"Alistair","non-dropping-particle":"","parse-names":false,"suffix":""},{"dropping-particle":"","family":"Steinlechner","given":"Colin","non-dropping-particle":"","parse-names":false,"suffix":""},{"dropping-particle":"","family":"Mkandawire","given":"Nyengo","non-dropping-particle":"","parse-names":false,"suffix":""},{"dropping-particle":"","family":"Chimangeni","given":"Sandy","non-dropping-particle":"","parse-names":false,"suffix":""}],"container-title":"Annals of the Royal College of Surgeons of England","id":"ITEM-2","issue":"7","issued":{"date-parts":[["2007","10"]]},"page":"722-724","publisher":"Royal College of Surgeons of England","title":"Surgery in Malawi - A national survey of activity in rural and urban hospitals","type":"article-journal","volume":"89"},"uris":["http://www.mendeley.com/documents/?uuid=49b3b33c-3bf8-3a11-abed-da1b3a0d17fc"]}],"mendeley":{"formattedCitation":"(Eaton et al. 2017; Lavy et al. 2007)","plainTextFormattedCitation":"(Eaton et al. 2017; Lavy et al. 2007)","previouslyFormattedCitation":"(Eaton et al. 2017; Lavy et al. 2007)"},"properties":{"noteIndex":0},"schema":"https://github.com/citation-style-language/schema/raw/master/csl-citation.json"}</w:instrText>
            </w:r>
            <w:r>
              <w:fldChar w:fldCharType="separate"/>
            </w:r>
            <w:r w:rsidRPr="004137CE">
              <w:rPr>
                <w:noProof/>
              </w:rPr>
              <w:t>(Eaton et al. 2017; Lavy et al. 2007)</w:t>
            </w:r>
            <w:r>
              <w:fldChar w:fldCharType="end"/>
            </w:r>
          </w:p>
        </w:tc>
      </w:tr>
      <w:tr w:rsidR="00DD077E" w:rsidRPr="00374B11" w14:paraId="368B0F81" w14:textId="77777777" w:rsidTr="00356EB3">
        <w:tc>
          <w:tcPr>
            <w:tcW w:w="2187" w:type="dxa"/>
          </w:tcPr>
          <w:p w14:paraId="46DE5AAD" w14:textId="77777777" w:rsidR="00DD077E" w:rsidRPr="004137CE" w:rsidRDefault="00DD077E" w:rsidP="00356EB3">
            <w:pPr>
              <w:spacing w:line="480" w:lineRule="auto"/>
            </w:pPr>
            <w:r w:rsidRPr="004137CE">
              <w:t>Subgaleal hematoma</w:t>
            </w:r>
          </w:p>
        </w:tc>
        <w:tc>
          <w:tcPr>
            <w:tcW w:w="1225" w:type="dxa"/>
          </w:tcPr>
          <w:p w14:paraId="5B49850C" w14:textId="77777777" w:rsidR="00DD077E" w:rsidRPr="004137CE" w:rsidRDefault="00DD077E" w:rsidP="00356EB3">
            <w:pPr>
              <w:spacing w:line="480" w:lineRule="auto"/>
            </w:pPr>
            <w:r w:rsidRPr="004137CE">
              <w:t>3</w:t>
            </w:r>
          </w:p>
        </w:tc>
        <w:tc>
          <w:tcPr>
            <w:tcW w:w="1034" w:type="dxa"/>
          </w:tcPr>
          <w:p w14:paraId="2E821446" w14:textId="77777777" w:rsidR="00DD077E" w:rsidRPr="004137CE" w:rsidRDefault="00DD077E" w:rsidP="00356EB3">
            <w:pPr>
              <w:spacing w:line="480" w:lineRule="auto"/>
            </w:pPr>
            <w:r w:rsidRPr="004137CE">
              <w:t>0.174</w:t>
            </w:r>
          </w:p>
        </w:tc>
        <w:tc>
          <w:tcPr>
            <w:tcW w:w="1772" w:type="dxa"/>
          </w:tcPr>
          <w:p w14:paraId="4F507F05" w14:textId="77777777" w:rsidR="00DD077E" w:rsidRPr="004137CE" w:rsidRDefault="00DD077E" w:rsidP="00356EB3">
            <w:pPr>
              <w:spacing w:line="480" w:lineRule="auto"/>
            </w:pPr>
            <w:r w:rsidRPr="004137CE">
              <w:t>Heal with time or major surgery (craniotomy)</w:t>
            </w:r>
          </w:p>
        </w:tc>
        <w:tc>
          <w:tcPr>
            <w:tcW w:w="1214" w:type="dxa"/>
          </w:tcPr>
          <w:p w14:paraId="5E25C87E" w14:textId="77777777" w:rsidR="00DD077E" w:rsidRDefault="00DD077E" w:rsidP="00356EB3">
            <w:pPr>
              <w:spacing w:line="480" w:lineRule="auto"/>
            </w:pPr>
            <w:r>
              <w:t>42 days with surgery otherwise permanent</w:t>
            </w:r>
          </w:p>
        </w:tc>
        <w:tc>
          <w:tcPr>
            <w:tcW w:w="1584" w:type="dxa"/>
          </w:tcPr>
          <w:p w14:paraId="6A897644" w14:textId="77777777" w:rsidR="00DD077E" w:rsidRPr="004137CE" w:rsidRDefault="00DD077E" w:rsidP="00356EB3">
            <w:pPr>
              <w:spacing w:line="480" w:lineRule="auto"/>
            </w:pPr>
            <w:r>
              <w:fldChar w:fldCharType="begin" w:fldLock="1"/>
            </w:r>
            <w:r w:rsidRPr="004137CE">
              <w:instrText>ADDIN CSL_CI</w:instrText>
            </w:r>
            <w:r>
              <w:instrText>TATION {"citationItems":[{"id":"ITEM-1","itemData":{"DOI":"10.1016/j.wneu.2017.09.084","ISSN":"18788769","abstract":"Background Trauma accounts for 4.7 million deaths each year, with an estimated 90% of these occurring in low- and middle-income countries (LMICs). Approximately half of trauma-related deaths are caused by central nervous system injury. Because a thorough understanding of traumatic brain injury (TBI) in LMICs is essential to mitigate TBI-related mortality, we established a clinical and radiographic database to characterize TBI in our low-income setting. Methods This is a review of prospectively collected data from Kamuzu Central Hospital, a tertiary care center in the capital of Malawi. All patients admitted from October 2016 through May 2017 with a history of head trauma, altered consciousness, and/or radiographic evidence TBI were included. We performed descriptive statistics, a Cox regression analysis, and a survival analysis. Results There were 280 patients who met inclusion criteria; of these, 80.5% were men. The mean age was 28.8 ± 16.3 years. Median Glasgow Coma Scale (GCS) score was 12 (interquartile range, 8–15). Road traffic crashes constituted the most common injury mechanism (60.7%). There were 148 (52.3%) patients who received a computed tomography scan, with the most common findings being contusions (26.1%). Of the patients, 88 (33.0%) had severe TBI, defined as a GCS score ≤8, of whom 27.6% were intubated and 10.3% received tracheostomies. Overall mortality was 30.9%. Of patients who survived, 80.1% made a good recovery. Female sex was protective, and the only significant predictor of poor functional outcome was presence of severe TBI (hazard ratio, 2.98; 95% confidence interval, 1.79–4.95). Conclusions TBI represents a significant part of the global neurosurgical burden of disease. Implementation of proven in-hospital interventions for these patients is critical to attenuate TBI-related morbidity and mortality.","author":[{"dropping-particle":"","family":"Eaton","given":"Jessica","non-dropping-particle":"","parse-names":false,"suffix":""},{"dropping-particle":"","family":"Hanif","given":"Asma Bilal","non-dropping-particle":"","parse-names":false,"suffix":""},{"dropping-particle":"","family":"Grudziak","given":"Joanna","non-dropping-particle":"","parse-names":false,"suffix":""},{"dropping-particle":"","family":"Charles","given":"Anthony","non-dropping-particle":"","parse-names":false,"suffix":""}],"container-title":"World Neurosurgery","id":"ITEM-1","issued":{"date-parts":[["2017","12","1"]]},"page":"650-655","publisher":"Elsevier Inc.","title":"Epidemiology, Management, and Functional Outcomes of Traumatic Brain Injury in Sub-Saharan Africa","type":"article-journal","volume":"108"},"uris":["http://www.mendeley.com/documents/?uuid=6a43943e-a11d-432e-b357-ccf32a4ba38e"]},{"id":"ITEM-2","itemData":{"DOI":"10.1308/003588407X209329","ISSN":"00358843","abstract":"Malawi is a poor country with few doctors. It has 21 district hospitals all of which have operating theatres but none of which has a permanent surgeon. It also has 4 central hospitals, each with one or more surgeons. Most district hospitals are manned by a single doctor and two or more paramedical clinical officers. All district and central hospitals were visited, and theatre logbooks analysed. All cases performed in 2003 were recorded. In 2003, a total of 48,696 surgical operations were recorded, of which 25,053 were performed in 21 district hospitals and 23,643 in 4 central hospitals. Caesarean section is the commonest major surgical procedure in district hospitals and is performed in approximately 2.8% of all births, compared to 22% in the UK. Very few major general surgical or orthopaedic procedu</w:instrText>
            </w:r>
            <w:r w:rsidRPr="004137CE">
              <w:instrText>res are carried out in district hospitals. This study underlines Malawi's need for more surgeons to be trained and retained.","author":[{"dropping-particle":"","family":"Lavy","given":"Chris","non-dropping-particle":"","parse-names":false,"suffix":""},{"dropping-particle":"","family":"Tindall","given":"Alistair","non-dropping-particle":"","parse-names":false,"suffix":""},{"dropping-particle":"","family":"Steinlechner","given":"Colin","non-dropping-particle":"","parse-names":false,"suffix":""},{"dropping-particle":"","family":"Mkandawire","given":"Nyengo","non-dropping-particle":"","parse-names":false,"suffix":""},{"dropping-particle":"","family":"Chimangeni","given":"Sandy","non-dropping-particle":"","parse-names":false,"suffix":""}],"container-title":"Annals of the Royal College of Surgeons of England","id":"ITEM-2","issue":"7","issued":{"date-parts":[["2007","10"]]},"page":"722-724","publisher":"Royal College of Surgeons of England","title":"Surgery in Malawi - A national survey of activity in rural and urban hospitals","type":"article-journal","volume":"89"},"uris":["http://www.mendeley.com/documents/?uuid=49b3b33c-3bf8-3a11-abed-da1b3a0d17fc"]}],"mendeley":{"formattedCitation":"(Eaton et al. 2017; Lavy et al. 2007)","plainTextFormattedCitation":"(Eaton et al. 2017; Lavy et al. 2007)","previouslyFormattedCitation":"(Eaton et al. 2017; Lavy et al. 2007)"},"properties":{"noteIndex":0},"schema":"https://github.com/citation-style-language/schema/raw/master/csl-citation.json"}</w:instrText>
            </w:r>
            <w:r>
              <w:fldChar w:fldCharType="separate"/>
            </w:r>
            <w:r w:rsidRPr="004137CE">
              <w:rPr>
                <w:noProof/>
              </w:rPr>
              <w:t>(Eaton et al. 2017; Lavy et al. 2007)</w:t>
            </w:r>
            <w:r>
              <w:fldChar w:fldCharType="end"/>
            </w:r>
          </w:p>
        </w:tc>
      </w:tr>
      <w:tr w:rsidR="00DD077E" w:rsidRPr="00374B11" w14:paraId="316F65D3" w14:textId="77777777" w:rsidTr="00356EB3">
        <w:tc>
          <w:tcPr>
            <w:tcW w:w="2187" w:type="dxa"/>
          </w:tcPr>
          <w:p w14:paraId="0FDEAAEC" w14:textId="77777777" w:rsidR="00DD077E" w:rsidRPr="004137CE" w:rsidRDefault="00DD077E" w:rsidP="00356EB3">
            <w:pPr>
              <w:spacing w:line="480" w:lineRule="auto"/>
            </w:pPr>
            <w:r w:rsidRPr="004137CE">
              <w:t>Epidural hematoma</w:t>
            </w:r>
          </w:p>
        </w:tc>
        <w:tc>
          <w:tcPr>
            <w:tcW w:w="1225" w:type="dxa"/>
          </w:tcPr>
          <w:p w14:paraId="6C4FD827" w14:textId="77777777" w:rsidR="00DD077E" w:rsidRPr="004137CE" w:rsidRDefault="00DD077E" w:rsidP="00356EB3">
            <w:pPr>
              <w:spacing w:line="480" w:lineRule="auto"/>
            </w:pPr>
            <w:r w:rsidRPr="004137CE">
              <w:t>4</w:t>
            </w:r>
          </w:p>
        </w:tc>
        <w:tc>
          <w:tcPr>
            <w:tcW w:w="1034" w:type="dxa"/>
          </w:tcPr>
          <w:p w14:paraId="4E2447C1" w14:textId="77777777" w:rsidR="00DD077E" w:rsidRPr="004137CE" w:rsidRDefault="00DD077E" w:rsidP="00356EB3">
            <w:pPr>
              <w:spacing w:line="480" w:lineRule="auto"/>
            </w:pPr>
            <w:r w:rsidRPr="004137CE">
              <w:t>0.185</w:t>
            </w:r>
          </w:p>
        </w:tc>
        <w:tc>
          <w:tcPr>
            <w:tcW w:w="1772" w:type="dxa"/>
          </w:tcPr>
          <w:p w14:paraId="60E18D0E" w14:textId="77777777" w:rsidR="00DD077E" w:rsidRPr="004137CE" w:rsidRDefault="00DD077E" w:rsidP="00356EB3">
            <w:pPr>
              <w:spacing w:line="480" w:lineRule="auto"/>
            </w:pPr>
            <w:r w:rsidRPr="004137CE">
              <w:t>Heal with time or major surgery (craniotomy)</w:t>
            </w:r>
          </w:p>
        </w:tc>
        <w:tc>
          <w:tcPr>
            <w:tcW w:w="1214" w:type="dxa"/>
          </w:tcPr>
          <w:p w14:paraId="47ED390A" w14:textId="77777777" w:rsidR="00DD077E" w:rsidRDefault="00DD077E" w:rsidP="00356EB3">
            <w:pPr>
              <w:spacing w:line="480" w:lineRule="auto"/>
            </w:pPr>
            <w:r>
              <w:t>42 days with surgery otherwise permanent</w:t>
            </w:r>
          </w:p>
        </w:tc>
        <w:tc>
          <w:tcPr>
            <w:tcW w:w="1584" w:type="dxa"/>
          </w:tcPr>
          <w:p w14:paraId="72B1FE22" w14:textId="77777777" w:rsidR="00DD077E" w:rsidRPr="004137CE" w:rsidRDefault="00DD077E" w:rsidP="00356EB3">
            <w:pPr>
              <w:spacing w:line="480" w:lineRule="auto"/>
            </w:pPr>
            <w:r>
              <w:fldChar w:fldCharType="begin" w:fldLock="1"/>
            </w:r>
            <w:r w:rsidRPr="004137CE">
              <w:instrText>ADDIN CSL_CIT</w:instrText>
            </w:r>
            <w:r>
              <w:instrText>ATION {"citationItems":[{"id":"ITEM-1","itemData":{"DOI":"10.1016/j.wneu.2017.09.084","ISSN":"18788769","abstract":"Background Trauma accounts for 4.7 million deaths each year, with an estimated 90% of these occurring in low- and middle-income countries (LMICs). Approximately half of trauma-related deaths are caused by central nervous system injury. Because a thorough understanding of traumatic brain injury (TBI) in LMICs is essential to mitigate TBI-related mortality, we established a clinical and radiographic database to characterize TBI in our low-income setting. Methods This is a review of prospectively collected data from Kamuzu Central Hospital, a tertiary care center in the capital of Malawi. All patients admitted from October 2016 through May 2017 with a history of head trauma, altered consciousness, and/or radiographic evidence TBI were included. We performed descriptive statistics, a Cox regression analysis, and a survival analysis. Results There were 280 patients who met inclusion criteria; of these, 80.5% were men. The mean age was 28.8 ± 16.3 years. Median Glasgow Coma Scale (GCS) score was 12 (interquartile range, 8–15). Road traffic crashes constituted the most common injury mechanism (60.7%). There were 148 (52.3%) patients who received a computed tomography scan, with the most common findings being contusions (26.1%). Of the patients, 88 (33.0%) had severe TBI, defined as a GCS score ≤8, of whom 27.6% were intubated and 10.3% received tracheostomies. Overall mortality was 30.9%. Of patients who survived, 80.1% made a good recovery. Female sex was protective, and the only significant predictor of poor functional outcome was presence of severe TBI (hazard ratio, 2.98; 95% confidence interval, 1.79–4.95). Conclusions TBI represents a significant part of the global neurosurgical burden of disease. Implementation of proven in-hospital interventions for these patients is critical to attenuate TBI-related morbidity and mortality.","author":[{"dropping-particle":"","family":"Eaton","given":"Jessica","non-dropping-particle":"","parse-names":false,"suffix":""},{"dropping-particle":"","family":"Hanif","given":"Asma Bilal","non-dropping-particle":"","parse-names":false,"suffix":""},{"dropping-particle":"","family":"Grudziak","given":"Joanna","non-dropping-particle":"","parse-names":false,"suffix":""},{"dropping-particle":"","family":"Charles","given":"Anthony","non-dropping-particle":"","parse-names":false,"suffix":""}],"container-title":"World Neurosurgery","id":"ITEM-1","issued":{"date-parts":[["2017","12","1"]]},"page":"650-655","publisher":"Elsevier Inc.","title":"Epidemiology, Management, and Functional Outcomes of Traumatic Brain Injury in Sub-Saharan Africa","type":"article-journal","volume":"108"},"uris":["http://www.mendeley.com/documents/?uuid=6a43943e-a11d-432e-b357-ccf32a4ba38e"]},{"id":"ITEM-2","itemData":{"DOI":"10.1308/003588407X209329","ISSN":"00358843","abstract":"Malawi is a poor country with few doctors. It has 21 district hospitals all of which have operating theatres but none of which has a permanent surgeon. It also has 4 central hospitals, each with one or more surgeons. Most district hospitals are manned by a single doctor and two or more paramedical clinical officers. All district and central hospitals were visited, and theatre logbooks analysed. All cases performed in 2003 were recorded. In 2003, a total of 48,696 surgical operations were recorded, of which 25,053 were performed in 21 district hospitals and 23,643 in 4 central hospitals. Caesarean section is the commonest major surgical procedure in district hospitals and is performed in approximately 2.8% of all births, compared to 22% in the UK. Very few major general surgical or orthopaedic procedu</w:instrText>
            </w:r>
            <w:r w:rsidRPr="004137CE">
              <w:instrText>res are carried out in district hospitals. This study underlines Malawi's need for more surgeons to be trained and retained.","author":[{"dropping-particle":"","family":"Lavy","given":"Chris","non-dropping-particle":"","parse-names":false,"suffix":""},{"dropping-particle":"","family":"Tindall","given":"Alistair","non-dropping-particle":"","parse-names":false,"suffix":""},{"dropping-particle":"","family":"Steinlechner","given":"Colin","non-dropping-particle":"","parse-names":false,"suffix":""},{"dropping-particle":"","family":"Mkandawire","given":"Nyengo","non-dropping-particle":"","parse-names":false,"suffix":""},{"dropping-particle":"","family":"Chimangeni","given":"Sandy","non-dropping-particle":"","parse-names":false,"suffix":""}],"container-title":"Annals of the Royal College of Surgeons of England","id":"ITEM-2","issue":"7","issued":{"date-parts":[["2007","10"]]},"page":"722-724","publisher":"Royal College of Surgeons of England","title":"Surgery in Malawi - A national survey of activity in rural and urban hospitals","type":"article-journal","volume":"89"},"uris":["http://www.mendeley.com/documents/?uuid=49b3b33c-3bf8-3a11-abed-da1b3a0d17fc"]}],"mendeley":{"formattedCitation":"(Eaton et al. 2017; Lavy et al. 2007)","plainTextFormattedCitation":"(Eaton et al. 2017; Lavy et al. 2007)","previouslyFormattedCitation":"(Eaton et al. 2017; Lavy et al. 2007)"},"properties":{"noteIndex":0},"schema":"https://github.com/citation-style-language/schema/raw/master/csl-citation.json"}</w:instrText>
            </w:r>
            <w:r>
              <w:fldChar w:fldCharType="separate"/>
            </w:r>
            <w:r w:rsidRPr="004137CE">
              <w:rPr>
                <w:noProof/>
              </w:rPr>
              <w:t>(Eaton et al. 2017; Lavy et al. 2007)</w:t>
            </w:r>
            <w:r>
              <w:fldChar w:fldCharType="end"/>
            </w:r>
          </w:p>
        </w:tc>
      </w:tr>
      <w:tr w:rsidR="00DD077E" w:rsidRPr="00374B11" w14:paraId="3F7D96CC" w14:textId="77777777" w:rsidTr="00356EB3">
        <w:tc>
          <w:tcPr>
            <w:tcW w:w="2187" w:type="dxa"/>
          </w:tcPr>
          <w:p w14:paraId="19A212B7" w14:textId="77777777" w:rsidR="00DD077E" w:rsidRPr="004137CE" w:rsidRDefault="00DD077E" w:rsidP="00356EB3">
            <w:pPr>
              <w:spacing w:line="480" w:lineRule="auto"/>
            </w:pPr>
            <w:r w:rsidRPr="004137CE">
              <w:t>Subdural hematoma</w:t>
            </w:r>
          </w:p>
        </w:tc>
        <w:tc>
          <w:tcPr>
            <w:tcW w:w="1225" w:type="dxa"/>
          </w:tcPr>
          <w:p w14:paraId="79B4BFC2" w14:textId="77777777" w:rsidR="00DD077E" w:rsidRPr="004137CE" w:rsidRDefault="00DD077E" w:rsidP="00356EB3">
            <w:pPr>
              <w:spacing w:line="480" w:lineRule="auto"/>
            </w:pPr>
            <w:r w:rsidRPr="004137CE">
              <w:t>4</w:t>
            </w:r>
          </w:p>
        </w:tc>
        <w:tc>
          <w:tcPr>
            <w:tcW w:w="1034" w:type="dxa"/>
          </w:tcPr>
          <w:p w14:paraId="262D680B" w14:textId="77777777" w:rsidR="00DD077E" w:rsidRPr="004137CE" w:rsidRDefault="00DD077E" w:rsidP="00356EB3">
            <w:pPr>
              <w:spacing w:line="480" w:lineRule="auto"/>
            </w:pPr>
            <w:r w:rsidRPr="004137CE">
              <w:t>0.21</w:t>
            </w:r>
          </w:p>
        </w:tc>
        <w:tc>
          <w:tcPr>
            <w:tcW w:w="1772" w:type="dxa"/>
          </w:tcPr>
          <w:p w14:paraId="36FD3D7F" w14:textId="77777777" w:rsidR="00DD077E" w:rsidRPr="004137CE" w:rsidRDefault="00DD077E" w:rsidP="00356EB3">
            <w:pPr>
              <w:spacing w:line="480" w:lineRule="auto"/>
            </w:pPr>
            <w:r w:rsidRPr="004137CE">
              <w:t>Heal with time or major surgery (craniotomy)</w:t>
            </w:r>
          </w:p>
        </w:tc>
        <w:tc>
          <w:tcPr>
            <w:tcW w:w="1214" w:type="dxa"/>
          </w:tcPr>
          <w:p w14:paraId="2C2D0043" w14:textId="77777777" w:rsidR="00DD077E" w:rsidRDefault="00DD077E" w:rsidP="00356EB3">
            <w:pPr>
              <w:spacing w:line="480" w:lineRule="auto"/>
            </w:pPr>
            <w:r>
              <w:t>42 days with surgery otherwise permanent</w:t>
            </w:r>
          </w:p>
        </w:tc>
        <w:tc>
          <w:tcPr>
            <w:tcW w:w="1584" w:type="dxa"/>
          </w:tcPr>
          <w:p w14:paraId="556FDCFC" w14:textId="77777777" w:rsidR="00DD077E" w:rsidRPr="004137CE" w:rsidRDefault="00DD077E" w:rsidP="00356EB3">
            <w:pPr>
              <w:spacing w:line="480" w:lineRule="auto"/>
            </w:pPr>
            <w:r>
              <w:fldChar w:fldCharType="begin" w:fldLock="1"/>
            </w:r>
            <w:r w:rsidRPr="004137CE">
              <w:instrText>ADDIN CSL_CITA</w:instrText>
            </w:r>
            <w:r>
              <w:instrText>TION {"citationItems":[{"id":"ITEM-1","itemData":{"DOI":"10.1016/j.wneu.2017.09.084","ISSN":"18788769","abstract":"Background Trauma accounts for 4.7 million deaths each year, with an estimated 90% of these occurring in low- and middle-income countries (LMICs). Approximately half of trauma-related deaths are caused by central nervous system injury. Because a thorough understanding of traumatic brain injury (TBI) in LMICs is essential to mitigate TBI-related mortality, we established a clinical and radiographic database to characterize TBI in our low-income setting. Methods This is a review of prospectively collected data from Kamuzu Central Hospital, a tertiary care center in the capital of Malawi. All patients admitted from October 2016 through May 2017 with a history of head trauma, altered consciousness, and/or radiographic evidence TBI were included. We performed descriptive statistics, a Cox regression analysis, and a survival analysis. Results There were 280 patients who met inclusion criteria; of these, 80.5% were men. The mean age was 28.8 ± 16.3 years. Median Glasgow Coma Scale (GCS) score was 12 (interquartile range, 8–15). Road traffic crashes constituted the most common injury mechanism (60.7%). There were 148 (52.3%) patients who received a computed tomography scan, with the most common findings being contusions (26.1%). Of the patients, 88 (33.0%) had severe TBI, defined as a GCS score ≤8, of whom 27.6% were intubated and 10.3% received tracheostomies. Overall mortality was 30.9%. Of patients who survived, 80.1% made a good recovery. Female sex was protective, and the only significant predictor of poor functional outcome was presence of severe TBI (hazard ratio, 2.98; 95% confidence interval, 1.79–4.95). Conclusions TBI represents a significant part of the global neurosurgical burden of disease. Implementation of proven in-hospital interventions for these patients is critical to attenuate TBI-related morbidity and mortality.","author":[{"dropping-particle":"","family":"Eaton","given":"Jessica","non-dropping-particle":"","parse-names":false,"suffix":""},{"dropping-particle":"","family":"Hanif","given":"Asma Bilal","non-dropping-particle":"","parse-names":false,"suffix":""},{"dropping-particle":"","family":"Grudziak","given":"Joanna","non-dropping-particle":"","parse-names":false,"suffix":""},{"dropping-particle":"","family":"Charles","given":"Anthony","non-dropping-particle":"","parse-names":false,"suffix":""}],"container-title":"World Neurosurgery","id":"ITEM-1","issued":{"date-parts":[["2017","12","1"]]},"page":"650-655","publisher":"Elsevier Inc.","title":"Epidemiology, Management, and Functional Outcomes of Traumatic Brain Injury in Sub-Saharan Africa","type":"article-journal","volume":"108"},"uris":["http://www.mendeley.com/documents/?uuid=6a43943e-a11d-432e-b357-ccf32a4ba38e"]},{"id":"ITEM-2","itemData":{"DOI":"10.1308/003588407X209329","ISSN":"00358843","abstract":"Malawi is a poor country with few doctors. It has 21 district hospitals all of which have operating theatres but none of which has a permanent surgeon. It also has 4 central hospitals, each with one or more surgeons. Most district hospitals are manned by a single doctor and two or more paramedical clinical officers. All district and central hospitals were visited, and theatre logbooks analysed. All cases performed in 2003 were recorded. In 2003, a total of 48,696 surgical operations were recorded, of which 25,053 were performed in 21 district hospitals and 23,643 in 4 central hospitals. Caesarean section is the commonest major surgical procedure in district hospitals and is performed in approximately 2.8% of all births, compared to 22% in the UK. Very few major general surgical or orthopaedic procedu</w:instrText>
            </w:r>
            <w:r w:rsidRPr="004137CE">
              <w:instrText>res are carried out in district hospitals. This study underlines Malawi's need for more surgeons to be trained and retained.","author":[{"dropping-particle":"","family":"Lavy","given":"Chris","non-dropping-particle":"","parse-names":false,"suffix":""},{"dropping-particle":"","family":"Tindall","given":"Alistair","non-dropping-particle":"","parse-names":false,"suffix":""},{"dropping-particle":"","family":"Steinlechner","given":"Colin","non-dropping-particle":"","parse-names":false,"suffix":""},{"dropping-particle":"","family":"Mkandawire","given":"Nyengo","non-dropping-particle":"","parse-names":false,"suffix":""},{"dropping-particle":"","family":"Chimangeni","given":"Sandy","non-dropping-particle":"","parse-names":false,"suffix":""}],"container-title":"Annals of the Royal College of Surgeons of England","id":"ITEM-2","issue":"7","issued":{"date-parts":[["2007","10"]]},"page":"722-724","publisher":"Royal College of Surgeons of England","title":"Surgery in Malawi - A national survey of activity in rural and urban hospitals","type":"article-journal","volume":"89"},"uris":["http://www.mendeley.com/documents/?uuid=49b3b33c-3bf8-3a11-abed-da1b3a0d17fc"]}],"mendeley":{"formattedCitation":"(Eaton et al. 2017; Lavy et al. 2007)","plainTextFormattedCitation":"(Eaton et al. 2017; Lavy et al. 2007)","previouslyFormattedCitation":"(Eaton et al. 2017; Lavy et al. 2007)"},"properties":{"noteIndex":0},"schema":"https://github.com/citation-style-language/schema/raw/master/csl-citation.json"}</w:instrText>
            </w:r>
            <w:r>
              <w:fldChar w:fldCharType="separate"/>
            </w:r>
            <w:r w:rsidRPr="004137CE">
              <w:rPr>
                <w:noProof/>
              </w:rPr>
              <w:t>(Eaton et al. 2017; Lavy et al. 2007)</w:t>
            </w:r>
            <w:r>
              <w:fldChar w:fldCharType="end"/>
            </w:r>
          </w:p>
        </w:tc>
      </w:tr>
      <w:tr w:rsidR="00DD077E" w:rsidRPr="00374B11" w14:paraId="5517E8C3" w14:textId="77777777" w:rsidTr="00356EB3">
        <w:tc>
          <w:tcPr>
            <w:tcW w:w="2187" w:type="dxa"/>
          </w:tcPr>
          <w:p w14:paraId="500EF57D" w14:textId="77777777" w:rsidR="00DD077E" w:rsidRPr="004137CE" w:rsidRDefault="00DD077E" w:rsidP="00356EB3">
            <w:pPr>
              <w:spacing w:line="480" w:lineRule="auto"/>
            </w:pPr>
            <w:r w:rsidRPr="004137CE">
              <w:t>Diffuse axonal injury/midline shift</w:t>
            </w:r>
          </w:p>
        </w:tc>
        <w:tc>
          <w:tcPr>
            <w:tcW w:w="1225" w:type="dxa"/>
          </w:tcPr>
          <w:p w14:paraId="68EC8D08" w14:textId="77777777" w:rsidR="00DD077E" w:rsidRPr="004137CE" w:rsidRDefault="00DD077E" w:rsidP="00356EB3">
            <w:pPr>
              <w:spacing w:line="480" w:lineRule="auto"/>
            </w:pPr>
            <w:r w:rsidRPr="004137CE">
              <w:t>5</w:t>
            </w:r>
          </w:p>
        </w:tc>
        <w:tc>
          <w:tcPr>
            <w:tcW w:w="1034" w:type="dxa"/>
          </w:tcPr>
          <w:p w14:paraId="55EB56D4" w14:textId="77777777" w:rsidR="00DD077E" w:rsidRPr="004137CE" w:rsidRDefault="00DD077E" w:rsidP="00356EB3">
            <w:pPr>
              <w:spacing w:line="480" w:lineRule="auto"/>
            </w:pPr>
            <w:r w:rsidRPr="004137CE">
              <w:t>0.239</w:t>
            </w:r>
          </w:p>
        </w:tc>
        <w:tc>
          <w:tcPr>
            <w:tcW w:w="1772" w:type="dxa"/>
          </w:tcPr>
          <w:p w14:paraId="406EE493" w14:textId="77777777" w:rsidR="00DD077E" w:rsidRPr="0051285B" w:rsidRDefault="00DD077E" w:rsidP="00356EB3">
            <w:pPr>
              <w:spacing w:line="480" w:lineRule="auto"/>
            </w:pPr>
            <w:r w:rsidRPr="00374B11">
              <w:t>Heal with time or major surgery (cranioto</w:t>
            </w:r>
            <w:r>
              <w:t>my)</w:t>
            </w:r>
          </w:p>
        </w:tc>
        <w:tc>
          <w:tcPr>
            <w:tcW w:w="1214" w:type="dxa"/>
          </w:tcPr>
          <w:p w14:paraId="7943A1E8" w14:textId="77777777" w:rsidR="00DD077E" w:rsidRDefault="00DD077E" w:rsidP="00356EB3">
            <w:pPr>
              <w:spacing w:line="480" w:lineRule="auto"/>
            </w:pPr>
            <w:r>
              <w:t>42 days with surgery otherwise permanent</w:t>
            </w:r>
          </w:p>
        </w:tc>
        <w:tc>
          <w:tcPr>
            <w:tcW w:w="1584" w:type="dxa"/>
          </w:tcPr>
          <w:p w14:paraId="32A73E90" w14:textId="77777777" w:rsidR="00DD077E" w:rsidRPr="004137CE" w:rsidRDefault="00DD077E" w:rsidP="00356EB3">
            <w:pPr>
              <w:spacing w:line="480" w:lineRule="auto"/>
            </w:pPr>
            <w:r>
              <w:fldChar w:fldCharType="begin" w:fldLock="1"/>
            </w:r>
            <w:r>
              <w:instrText>ADDIN CSL_CITATION {"citationItems":[{"id":"ITEM-1","itemData":{"DOI":"10.1016/j.wneu.2017.09.084","ISSN":"18788769","abstract":"Background Trauma accounts for 4.7 million deaths each year, with an estimated 90% of these occurring in low- and middle-income countries (LMICs). Approximately half of trauma-related deaths are caused by central nervous system injury. Because a thorough understanding of traumatic brain injury (TBI) in LMICs is essential to mitigate TBI-related mortality, we established a clinical and radiographic database to characterize TBI in our low-income setting. Methods This is a review of prospectively collected data from Kamuzu Central Hospital, a tertiary care center in the capital of Malawi. All patients admitted from October 2016 through May 2017 with a history of head trauma, altered consciousness, and/or radiographic evidence TBI were included. We performed descriptive statistics, a Cox regression analysis, and a survival analysis. Results There were 280 patients who met inclusion criteria; of these, 80.5% were men. The mean age was 28.8 ± 16.3 years. Median Glasgow Coma Scale (GCS) score was 12 (interquartile range, 8–15). Road traffic crashes constituted the most common injury mechanism (60.7%). There were 148 (52.3%) patients who received a computed tomography scan, with the most common findings being contusions (26.1%). Of the patients, 88 (33.0%) had severe TBI, defined as a GCS score ≤8, of whom 27.6% were intubated and 10.3% received tracheostomies. Overall mortality was 30.9%. Of patients who survived, 80.1% made a good recovery. Female sex was protective, and the only significant predictor of poor functional outcome was presence of severe TBI (hazard ratio, 2.98; 95% confidence interval, 1.79–4.95). Conclusions TBI represents a significant part of the global neurosurgical burden of disease. Implementation of proven in-hospital interventions for these patients is critical to attenuate TBI-related morbidity and mortality.","author":[{"dropping-particle":"","family":"Eaton","given":"Jessica","non-dropping-particle":"","parse-names":false,"suffix":""},{"dropping-particle":"","family":"Hanif","given":"Asma Bilal","non-dropping-particle":"","parse-names":false,"suffix":""},{"dropping-particle":"","family":"Grudziak","given":"Joanna","non-dropping-particle":"","parse-names":false,"suffix":""},{"dropping-particle":"","family":"Charles","given":"Anthony","non-dropping-particle":"","parse-names":false,"suffix":""}],"container-title":"World Neurosurgery","id":"ITEM-1","issued":{"date-parts":[["2017","12","1"]]},"page":"650-655","publisher":"Elsevier Inc.","title":"Epidemiology, Management, and Functional Outcomes of Traumatic Brain Injury in Sub-Saharan Africa","type":"article-journal","volume":"108"},"uris":["http://www.mendeley.com/documents/?uuid=6a43943e-a11d-432e-b357-ccf32a4ba38e"]},{"id":"ITEM-2","itemData":{"DOI":"10.1308/003588407X209329","ISSN":"00358843","abstract":"Malawi is a poor country with few doctors. It has 21 district hospitals all of which have operating theatres but none of which has a permanent surgeon. It also has 4 central hospitals, each with one or more surgeons. Most district hospitals are manned by a single doctor and two or more paramedical clinical officers. All district and central hospitals were visited, and theatre logbooks analysed. All cases performed in 2003 were recorded. In 2003, a total of 48,696 surgical operations were recorded, of which 25,053 were performed in 21 district hospitals and 23,643 in 4 central hospitals. Caesarean section is the commonest major surgical procedure in district hospitals and is performed in approximately 2.8% of all births, compared to 22% in the UK. Very few major general surgical or orthopaedic procedu</w:instrText>
            </w:r>
            <w:r w:rsidRPr="004137CE">
              <w:instrText>res are carried out in district hospitals. This study underlines Malawi's need for more surgeons to be trained and retained.","author":[{"dropping-particle":"","family":"Lavy","given":"Chris","non-dropping-particle":"","parse-names":false,"suffix":""},{"dropping-particle":"","family":"Tindall","given":"Alistair","non-dropping-particle":"","parse-names":false,"suffix":""},{"dropping-particle":"","family":"Steinlechner","given":"Colin","non-dropping-particle":"","parse-names":false,"suffix":""},{"dropping-particle":"","family":"Mkandawire","given":"Nyengo","non-dropping-particle":"","parse-names":false,"suffix":""},{"dropping-particle":"","family":"Chimangeni","given":"Sandy","non-dropping-particle":"","parse-names":false,"suffix":""}],"container-title":"Annals of the Royal College of Surgeons of England","id":"ITEM-2","issue":"7","issued":{"date-parts":[["2007","10"]]},"page":"722-724","publisher":"Royal College of Surgeons of England","title":"Surgery in Malawi - A national survey of activity in rural and urban hospitals","type":"article-journal","volume":"89"},"uris":["http://www.mendeley.com/documents/?uuid=49b3b33c-3bf8-3a11-abed-da1b3a0d17fc"]}],"mendeley":{"formattedCitation":"(Eaton et al. 2017; Lavy et al. 2007)","plainTextFormattedCitation":"(Eaton et al. 2017; Lavy et al. 2007)","previouslyFormattedCitation":"(Eaton et al. 2017; Lavy et al. 2007)"},"properties":{"noteIndex":0},"schema":"https://github.com/citation-style-language/schema/raw/master/csl-citation.json"}</w:instrText>
            </w:r>
            <w:r>
              <w:fldChar w:fldCharType="separate"/>
            </w:r>
            <w:r w:rsidRPr="004137CE">
              <w:rPr>
                <w:noProof/>
              </w:rPr>
              <w:t>(Eaton et al. 2017; Lavy et al. 2007)</w:t>
            </w:r>
            <w:r>
              <w:fldChar w:fldCharType="end"/>
            </w:r>
          </w:p>
        </w:tc>
      </w:tr>
      <w:tr w:rsidR="00DD077E" w14:paraId="7A70914A" w14:textId="77777777" w:rsidTr="00356EB3">
        <w:tc>
          <w:tcPr>
            <w:tcW w:w="2187" w:type="dxa"/>
          </w:tcPr>
          <w:p w14:paraId="11496180" w14:textId="77777777" w:rsidR="00DD077E" w:rsidRPr="004137CE" w:rsidRDefault="00DD077E" w:rsidP="00356EB3">
            <w:pPr>
              <w:spacing w:line="480" w:lineRule="auto"/>
            </w:pPr>
            <w:r w:rsidRPr="004137CE">
              <w:t>Laceration to the head</w:t>
            </w:r>
          </w:p>
        </w:tc>
        <w:tc>
          <w:tcPr>
            <w:tcW w:w="1225" w:type="dxa"/>
          </w:tcPr>
          <w:p w14:paraId="472E2B1D" w14:textId="77777777" w:rsidR="00DD077E" w:rsidRPr="004137CE" w:rsidRDefault="00DD077E" w:rsidP="00356EB3">
            <w:pPr>
              <w:spacing w:line="480" w:lineRule="auto"/>
            </w:pPr>
            <w:r w:rsidRPr="004137CE">
              <w:t>1</w:t>
            </w:r>
          </w:p>
        </w:tc>
        <w:tc>
          <w:tcPr>
            <w:tcW w:w="1034" w:type="dxa"/>
          </w:tcPr>
          <w:p w14:paraId="5138D98A" w14:textId="77777777" w:rsidR="00DD077E" w:rsidRPr="004137CE" w:rsidRDefault="00DD077E" w:rsidP="00356EB3">
            <w:pPr>
              <w:spacing w:line="480" w:lineRule="auto"/>
            </w:pPr>
            <w:r w:rsidRPr="004137CE">
              <w:t>0.1</w:t>
            </w:r>
          </w:p>
        </w:tc>
        <w:tc>
          <w:tcPr>
            <w:tcW w:w="1772" w:type="dxa"/>
          </w:tcPr>
          <w:p w14:paraId="0CFE7374" w14:textId="77777777" w:rsidR="00DD077E" w:rsidRPr="004137CE" w:rsidRDefault="00DD077E" w:rsidP="00356EB3">
            <w:pPr>
              <w:spacing w:line="480" w:lineRule="auto"/>
            </w:pPr>
            <w:r w:rsidRPr="004137CE">
              <w:t xml:space="preserve">Suture kit, tetanus vaccine </w:t>
            </w:r>
          </w:p>
        </w:tc>
        <w:tc>
          <w:tcPr>
            <w:tcW w:w="1214" w:type="dxa"/>
          </w:tcPr>
          <w:p w14:paraId="189FE755" w14:textId="77777777" w:rsidR="00DD077E" w:rsidRPr="004137CE" w:rsidRDefault="00DD077E" w:rsidP="00356EB3">
            <w:pPr>
              <w:spacing w:line="480" w:lineRule="auto"/>
            </w:pPr>
            <w:r>
              <w:t>7 days</w:t>
            </w:r>
          </w:p>
        </w:tc>
        <w:tc>
          <w:tcPr>
            <w:tcW w:w="1584" w:type="dxa"/>
          </w:tcPr>
          <w:p w14:paraId="497A7894" w14:textId="77777777" w:rsidR="00DD077E" w:rsidRPr="0051285B" w:rsidRDefault="00DD077E" w:rsidP="00356EB3">
            <w:pPr>
              <w:spacing w:line="480" w:lineRule="auto"/>
            </w:pPr>
            <w:r w:rsidRPr="004137CE">
              <w:t>Malawian treatment guidelin</w:t>
            </w:r>
            <w:r>
              <w:t>es</w:t>
            </w:r>
          </w:p>
        </w:tc>
      </w:tr>
      <w:tr w:rsidR="00DD077E" w14:paraId="153AF91F" w14:textId="77777777" w:rsidTr="00356EB3">
        <w:tc>
          <w:tcPr>
            <w:tcW w:w="2187" w:type="dxa"/>
          </w:tcPr>
          <w:p w14:paraId="4B82C7AE" w14:textId="77777777" w:rsidR="00DD077E" w:rsidRDefault="00DD077E" w:rsidP="00356EB3">
            <w:pPr>
              <w:spacing w:line="480" w:lineRule="auto"/>
            </w:pPr>
            <w:r>
              <w:lastRenderedPageBreak/>
              <w:t>Burn to the head</w:t>
            </w:r>
          </w:p>
        </w:tc>
        <w:tc>
          <w:tcPr>
            <w:tcW w:w="1225" w:type="dxa"/>
          </w:tcPr>
          <w:p w14:paraId="73334B87" w14:textId="77777777" w:rsidR="00DD077E" w:rsidRDefault="00DD077E" w:rsidP="00356EB3">
            <w:pPr>
              <w:spacing w:line="480" w:lineRule="auto"/>
            </w:pPr>
            <w:r>
              <w:t>4</w:t>
            </w:r>
          </w:p>
        </w:tc>
        <w:tc>
          <w:tcPr>
            <w:tcW w:w="1034" w:type="dxa"/>
          </w:tcPr>
          <w:p w14:paraId="11E57AC6" w14:textId="77777777" w:rsidR="00DD077E" w:rsidRDefault="00DD077E" w:rsidP="00356EB3">
            <w:pPr>
              <w:spacing w:line="480" w:lineRule="auto"/>
            </w:pPr>
            <w:r w:rsidRPr="0051285B">
              <w:t>0.455</w:t>
            </w:r>
          </w:p>
        </w:tc>
        <w:tc>
          <w:tcPr>
            <w:tcW w:w="1772" w:type="dxa"/>
          </w:tcPr>
          <w:p w14:paraId="2BA3B3CE" w14:textId="77777777" w:rsidR="00DD077E" w:rsidRPr="0051285B" w:rsidRDefault="00DD077E" w:rsidP="00356EB3">
            <w:pPr>
              <w:spacing w:line="480" w:lineRule="auto"/>
            </w:pPr>
            <w:r w:rsidRPr="00837714">
              <w:t>Cetrimide 15% + chlorhexidine 1.5% solution</w:t>
            </w:r>
            <w:r>
              <w:t xml:space="preserve">, Paraffin dressing, </w:t>
            </w:r>
            <w:r w:rsidRPr="00837714">
              <w:t>ringer's lactate (Hartmann's solution)</w:t>
            </w:r>
            <w:r>
              <w:t>, tetanus vaccine</w:t>
            </w:r>
          </w:p>
        </w:tc>
        <w:tc>
          <w:tcPr>
            <w:tcW w:w="1214" w:type="dxa"/>
          </w:tcPr>
          <w:p w14:paraId="4235B051" w14:textId="77777777" w:rsidR="00DD077E" w:rsidRDefault="00DD077E" w:rsidP="00356EB3">
            <w:pPr>
              <w:spacing w:line="480" w:lineRule="auto"/>
            </w:pPr>
            <w:r>
              <w:t>28 days with treatment otherwise permanent</w:t>
            </w:r>
          </w:p>
        </w:tc>
        <w:tc>
          <w:tcPr>
            <w:tcW w:w="1584" w:type="dxa"/>
          </w:tcPr>
          <w:p w14:paraId="20B9DC09" w14:textId="77777777" w:rsidR="00DD077E" w:rsidRPr="0051285B" w:rsidRDefault="00DD077E" w:rsidP="00356EB3">
            <w:pPr>
              <w:spacing w:line="480" w:lineRule="auto"/>
            </w:pPr>
            <w:r>
              <w:t>Malawian treatment guidelines</w:t>
            </w:r>
          </w:p>
        </w:tc>
      </w:tr>
      <w:tr w:rsidR="00DD077E" w14:paraId="3857E6B1" w14:textId="77777777" w:rsidTr="00356EB3">
        <w:tc>
          <w:tcPr>
            <w:tcW w:w="2187" w:type="dxa"/>
          </w:tcPr>
          <w:p w14:paraId="1273E86A" w14:textId="77777777" w:rsidR="00DD077E" w:rsidRDefault="00DD077E" w:rsidP="00356EB3">
            <w:pPr>
              <w:spacing w:line="480" w:lineRule="auto"/>
            </w:pPr>
            <w:r>
              <w:t>Facial fracture (nasal/unspecified)</w:t>
            </w:r>
          </w:p>
        </w:tc>
        <w:tc>
          <w:tcPr>
            <w:tcW w:w="1225" w:type="dxa"/>
          </w:tcPr>
          <w:p w14:paraId="03A7EF4C" w14:textId="77777777" w:rsidR="00DD077E" w:rsidRDefault="00DD077E" w:rsidP="00356EB3">
            <w:pPr>
              <w:spacing w:line="480" w:lineRule="auto"/>
            </w:pPr>
            <w:r>
              <w:t>1</w:t>
            </w:r>
          </w:p>
        </w:tc>
        <w:tc>
          <w:tcPr>
            <w:tcW w:w="1034" w:type="dxa"/>
          </w:tcPr>
          <w:p w14:paraId="5C93E058" w14:textId="77777777" w:rsidR="00DD077E" w:rsidRDefault="00DD077E" w:rsidP="00356EB3">
            <w:pPr>
              <w:spacing w:line="480" w:lineRule="auto"/>
            </w:pPr>
            <w:r w:rsidRPr="0051285B">
              <w:t>0.067</w:t>
            </w:r>
          </w:p>
        </w:tc>
        <w:tc>
          <w:tcPr>
            <w:tcW w:w="1772" w:type="dxa"/>
          </w:tcPr>
          <w:p w14:paraId="3012707A" w14:textId="77777777" w:rsidR="00DD077E" w:rsidRPr="0051285B" w:rsidRDefault="00DD077E" w:rsidP="00356EB3">
            <w:pPr>
              <w:spacing w:line="480" w:lineRule="auto"/>
            </w:pPr>
            <w:r>
              <w:t>Minor surgery</w:t>
            </w:r>
          </w:p>
        </w:tc>
        <w:tc>
          <w:tcPr>
            <w:tcW w:w="1214" w:type="dxa"/>
          </w:tcPr>
          <w:p w14:paraId="4E71D05C" w14:textId="77777777" w:rsidR="00DD077E" w:rsidRDefault="00DD077E" w:rsidP="00356EB3">
            <w:pPr>
              <w:spacing w:line="480" w:lineRule="auto"/>
            </w:pPr>
            <w:r>
              <w:t>49 days</w:t>
            </w:r>
          </w:p>
        </w:tc>
        <w:tc>
          <w:tcPr>
            <w:tcW w:w="1584" w:type="dxa"/>
          </w:tcPr>
          <w:p w14:paraId="7F5343AB" w14:textId="77777777" w:rsidR="00DD077E" w:rsidRPr="0051285B" w:rsidRDefault="00DD077E" w:rsidP="00356EB3">
            <w:pPr>
              <w:spacing w:line="480" w:lineRule="auto"/>
            </w:pPr>
            <w:r>
              <w:fldChar w:fldCharType="begin" w:fldLock="1"/>
            </w:r>
            <w:r>
              <w:instrText>ADDIN CSL_CITATION {"citationItems":[{"id":"ITEM-1","itemData":{"DOI":"10.1007/s11999-008-0366-5","ISBN":"1800:100,000","ISSN":"15281132","PMID":"18633684","abstract":"Malawi has a population of about 13 million people, 85% of whom live in rural areas. The gross national income per capita is US$620, with 42% of the people living on less than US$1 per day. The government per capita expenditure on health is US$5. Malawi has 266 doctors, of whom only nine are orthopaedic surgeons. To address the severe shortage of doctors, Malawi relies heavily on paramedical officers to provide the bulk of healthcare. Specialized orthopaedic clinical officers have been trained since 1985 and are deployed primarily in rural district hospitals to manage 80% to 90% of the orthopaedic workload in Malawi. They are trained in conservative management of most common traumatic and nontraumatic musculoskeletal conditions. Since the program began, 117 orthopaedic clinical officers have been trained, of whom 82 are in clinical practice. In 2002, Malawi began a local orthopaedic postgraduate program with an intake of one to two candidates per year. However, orthopaedic clinical officers will continue to be needed for the foreseeable future. Orthopaedic clinical officer training is a cost-effective way of providing trained healthcare workers to meet the orthopaedic needs of a country with very few doctors and even fewer orthopaedic surgeons. © 2008 The Association of Bone and Joint Surgeons.","author":[{"dropping-particle":"","family":"Mkandawire","given":"Nyengo","non-dropping-particle":"","parse-names":false,"suffix":""},{"dropping-particle":"","family":"Ngulube","given":"Christopher","non-dropping-particle":"","parse-names":false,"suffix":""},{"dropping-particle":"","family":"Lavy","given":"Christopher","non-dropping-particle":"","parse-names":false,"suffix":""}],"container-title":"Clinical Orthopaedics and Related Research","id":"ITEM-1","issue":"10","issued":{"date-parts":[["2008"]]},"page":"2385-2391","title":"Orthopaedic clinical officer program in Malawi: A model for providing orthopaedic care","type":"paper-conference","volume":"466"},"uris":["http://www.mendeley.com/documents/?uuid=b25baa12-bcec-36c3-a43d-1714a4da985e"]}],"mendeley":{"formattedCitation":"(Mkandawire, Ngulube, and Lavy 2008)","plainTextFormattedCitation":"(Mkandawire, Ngulube, and Lavy 2008)","previouslyFormattedCitation":"(Mkandawire, Ngulube, and Lavy 2008)"},"properties":{"noteIndex":0},"schema":"https://github.com/citation-style-language/schema/raw/master/csl-citation.json"}</w:instrText>
            </w:r>
            <w:r>
              <w:fldChar w:fldCharType="separate"/>
            </w:r>
            <w:r w:rsidRPr="00483819">
              <w:rPr>
                <w:noProof/>
              </w:rPr>
              <w:t>(Mkandawire, Ngulube, and Lavy 2008)</w:t>
            </w:r>
            <w:r>
              <w:fldChar w:fldCharType="end"/>
            </w:r>
          </w:p>
        </w:tc>
      </w:tr>
      <w:tr w:rsidR="00DD077E" w14:paraId="5303B338" w14:textId="77777777" w:rsidTr="00356EB3">
        <w:tc>
          <w:tcPr>
            <w:tcW w:w="2187" w:type="dxa"/>
          </w:tcPr>
          <w:p w14:paraId="1F39D99D" w14:textId="77777777" w:rsidR="00DD077E" w:rsidRDefault="00DD077E" w:rsidP="00356EB3">
            <w:pPr>
              <w:spacing w:line="480" w:lineRule="auto"/>
            </w:pPr>
            <w:r>
              <w:t>Facial fracture (mandible/zygomatic)</w:t>
            </w:r>
          </w:p>
        </w:tc>
        <w:tc>
          <w:tcPr>
            <w:tcW w:w="1225" w:type="dxa"/>
          </w:tcPr>
          <w:p w14:paraId="095E1030" w14:textId="77777777" w:rsidR="00DD077E" w:rsidRDefault="00DD077E" w:rsidP="00356EB3">
            <w:pPr>
              <w:spacing w:line="480" w:lineRule="auto"/>
            </w:pPr>
            <w:r>
              <w:t>2</w:t>
            </w:r>
          </w:p>
        </w:tc>
        <w:tc>
          <w:tcPr>
            <w:tcW w:w="1034" w:type="dxa"/>
          </w:tcPr>
          <w:p w14:paraId="789FC518" w14:textId="77777777" w:rsidR="00DD077E" w:rsidRDefault="00DD077E" w:rsidP="00356EB3">
            <w:pPr>
              <w:spacing w:line="480" w:lineRule="auto"/>
            </w:pPr>
            <w:r w:rsidRPr="0051285B">
              <w:t>0.067</w:t>
            </w:r>
          </w:p>
        </w:tc>
        <w:tc>
          <w:tcPr>
            <w:tcW w:w="1772" w:type="dxa"/>
          </w:tcPr>
          <w:p w14:paraId="24592ABF" w14:textId="77777777" w:rsidR="00DD077E" w:rsidRPr="0051285B" w:rsidRDefault="00DD077E" w:rsidP="00356EB3">
            <w:pPr>
              <w:spacing w:line="480" w:lineRule="auto"/>
            </w:pPr>
            <w:r>
              <w:t>Minor surgery</w:t>
            </w:r>
          </w:p>
        </w:tc>
        <w:tc>
          <w:tcPr>
            <w:tcW w:w="1214" w:type="dxa"/>
          </w:tcPr>
          <w:p w14:paraId="0BC9B323" w14:textId="77777777" w:rsidR="00DD077E" w:rsidRDefault="00DD077E" w:rsidP="00356EB3">
            <w:pPr>
              <w:spacing w:line="480" w:lineRule="auto"/>
            </w:pPr>
            <w:r>
              <w:t>49 days</w:t>
            </w:r>
          </w:p>
        </w:tc>
        <w:tc>
          <w:tcPr>
            <w:tcW w:w="1584" w:type="dxa"/>
          </w:tcPr>
          <w:p w14:paraId="53E9FFB5" w14:textId="77777777" w:rsidR="00DD077E" w:rsidRPr="0051285B" w:rsidRDefault="00DD077E" w:rsidP="00356EB3">
            <w:pPr>
              <w:spacing w:line="480" w:lineRule="auto"/>
            </w:pPr>
            <w:r>
              <w:fldChar w:fldCharType="begin" w:fldLock="1"/>
            </w:r>
            <w:r>
              <w:instrText>ADDIN CSL_CITATION {"citationItems":[{"id":"ITEM-1","itemData":{"DOI":"10.1007/s11999-008-0366-5","ISBN":"1800:100,000","ISSN":"15281132","PMID":"18633684","abstract":"Malawi has a population of about 13 million people, 85% of whom live in rural areas. The gross national income per capita is US$620, with 42% of the people living on less than US$1 per day. The government per capita expenditure on health is US$5. Malawi has 266 doctors, of whom only nine are orthopaedic surgeons. To address the severe shortage of doctors, Malawi relies heavily on paramedical officers to provide the bulk of healthcare. Specialized orthopaedic clinical officers have been trained since 1985 and are deployed primarily in rural district hospitals to manage 80% to 90% of the orthopaedic workload in Malawi. They are trained in conservative management of most common traumatic and nontraumatic musculoskeletal conditions. Since the program began, 117 orthopaedic clinical officers have been trained, of whom 82 are in clinical practice. In 2002, Malawi began a local orthopaedic postgraduate program with an intake of one to two candidates per year. However, orthopaedic clinical officers will continue to be needed for the foreseeable future. Orthopaedic clinical officer training is a cost-effective way of providing trained healthcare workers to meet the orthopaedic needs of a country with very few doctors and even fewer orthopaedic surgeons. © 2008 The Association of Bone and Joint Surgeons.","author":[{"dropping-particle":"","family":"Mkandawire","given":"Nyengo","non-dropping-particle":"","parse-names":false,"suffix":""},{"dropping-particle":"","family":"Ngulube","given":"Christopher","non-dropping-particle":"","parse-names":false,"suffix":""},{"dropping-particle":"","family":"Lavy","given":"Christopher","non-dropping-particle":"","parse-names":false,"suffix":""}],"container-title":"Clinical Orthopaedics and Related Research","id":"ITEM-1","issue":"10","issued":{"date-parts":[["2008"]]},"page":"2385-2391","title":"Orthopaedic clinical officer program in Malawi: A model for providing orthopaedic care","type":"paper-conference","volume":"466"},"uris":["http://www.mendeley.com/documents/?uuid=b25baa12-bcec-36c3-a43d-1714a4da985e"]}],"mendeley":{"formattedCitation":"(Mkandawire, Ngulube, and Lavy 2008)","plainTextFormattedCitation":"(Mkandawire, Ngulube, and Lavy 2008)","previouslyFormattedCitation":"(Mkandawire, Ngulube, and Lavy 2008)"},"properties":{"noteIndex":0},"schema":"https://github.com/citation-style-language/schema/raw/master/csl-citation.json"}</w:instrText>
            </w:r>
            <w:r>
              <w:fldChar w:fldCharType="separate"/>
            </w:r>
            <w:r w:rsidRPr="00483819">
              <w:rPr>
                <w:noProof/>
              </w:rPr>
              <w:t>(Mkandawire, Ngulube, and Lavy 2008)</w:t>
            </w:r>
            <w:r>
              <w:fldChar w:fldCharType="end"/>
            </w:r>
          </w:p>
        </w:tc>
      </w:tr>
      <w:tr w:rsidR="00DD077E" w14:paraId="770CECA6" w14:textId="77777777" w:rsidTr="00356EB3">
        <w:tc>
          <w:tcPr>
            <w:tcW w:w="2187" w:type="dxa"/>
          </w:tcPr>
          <w:p w14:paraId="4FFF5DD5" w14:textId="77777777" w:rsidR="00DD077E" w:rsidRDefault="00DD077E" w:rsidP="00356EB3">
            <w:pPr>
              <w:spacing w:line="480" w:lineRule="auto"/>
            </w:pPr>
            <w:r>
              <w:t>Soft tissue injury to face</w:t>
            </w:r>
          </w:p>
        </w:tc>
        <w:tc>
          <w:tcPr>
            <w:tcW w:w="1225" w:type="dxa"/>
          </w:tcPr>
          <w:p w14:paraId="12BFA333" w14:textId="77777777" w:rsidR="00DD077E" w:rsidRDefault="00DD077E" w:rsidP="00356EB3">
            <w:pPr>
              <w:spacing w:line="480" w:lineRule="auto"/>
            </w:pPr>
            <w:r>
              <w:t>1</w:t>
            </w:r>
          </w:p>
        </w:tc>
        <w:tc>
          <w:tcPr>
            <w:tcW w:w="1034" w:type="dxa"/>
          </w:tcPr>
          <w:p w14:paraId="5CE4A7CE" w14:textId="77777777" w:rsidR="00DD077E" w:rsidRDefault="00DD077E" w:rsidP="00356EB3">
            <w:pPr>
              <w:spacing w:line="480" w:lineRule="auto"/>
            </w:pPr>
            <w:r w:rsidRPr="0051285B">
              <w:t>0.1</w:t>
            </w:r>
          </w:p>
        </w:tc>
        <w:tc>
          <w:tcPr>
            <w:tcW w:w="1772" w:type="dxa"/>
          </w:tcPr>
          <w:p w14:paraId="4B06603A" w14:textId="77777777" w:rsidR="00DD077E" w:rsidRPr="0051285B" w:rsidRDefault="00DD077E" w:rsidP="00356EB3">
            <w:pPr>
              <w:spacing w:line="480" w:lineRule="auto"/>
            </w:pPr>
            <w:r>
              <w:t>Minor surgery</w:t>
            </w:r>
          </w:p>
        </w:tc>
        <w:tc>
          <w:tcPr>
            <w:tcW w:w="1214" w:type="dxa"/>
          </w:tcPr>
          <w:p w14:paraId="4EA67B78" w14:textId="77777777" w:rsidR="00DD077E" w:rsidRDefault="00DD077E" w:rsidP="00356EB3">
            <w:pPr>
              <w:spacing w:line="480" w:lineRule="auto"/>
            </w:pPr>
            <w:r>
              <w:t>7 days</w:t>
            </w:r>
          </w:p>
        </w:tc>
        <w:tc>
          <w:tcPr>
            <w:tcW w:w="1584" w:type="dxa"/>
          </w:tcPr>
          <w:p w14:paraId="63DB81BC" w14:textId="77777777" w:rsidR="00DD077E" w:rsidRPr="0051285B" w:rsidRDefault="00DD077E" w:rsidP="00356EB3">
            <w:pPr>
              <w:spacing w:line="480" w:lineRule="auto"/>
            </w:pPr>
            <w:r>
              <w:fldChar w:fldCharType="begin" w:fldLock="1"/>
            </w:r>
            <w:r>
              <w:instrText>ADDIN CSL_CITATION {"citationItems":[{"id":"ITEM-1","itemData":{"DOI":"10.1007/s11999-008-0366-5","ISBN":"1800:100,000","ISSN":"15281132","PMID":"18633684","abstract":"Malawi has a population of about 13 million people, 85% of whom live in rural areas. The gross national income per capita is US$620, with 42% of the people living on less than US$1 per day. The government per capita expenditure on health is US$5. Malawi has 266 doctors, of whom only nine are orthopaedic surgeons. To address the severe shortage of doctors, Malawi relies heavily on paramedical officers to provide the bulk of healthcare. Specialized orthopaedic clinical officers have been trained since 1985 and are deployed primarily in rural district hospitals to manage 80% to 90% of the orthopaedic workload in Malawi. They are trained in conservative management of most common traumatic and nontraumatic musculoskeletal conditions. Since the program began, 117 orthopaedic clinical officers have been trained, of whom 82 are in clinical practice. In 2002, Malawi began a local orthopaedic postgraduate program with an intake of one to two candidates per year. However, orthopaedic clinical officers will continue to be needed for the foreseeable future. Orthopaedic clinical officer training is a cost-effective way of providing trained healthcare workers to meet the orthopaedic needs of a country with very few doctors and even fewer orthopaedic surgeons. © 2008 The Association of Bone and Joint Surgeons.","author":[{"dropping-particle":"","family":"Mkandawire","given":"Nyengo","non-dropping-particle":"","parse-names":false,"suffix":""},{"dropping-particle":"","family":"Ngulube","given":"Christopher","non-dropping-particle":"","parse-names":false,"suffix":""},{"dropping-particle":"","family":"Lavy","given":"Christopher","non-dropping-particle":"","parse-names":false,"suffix":""}],"container-title":"Clinical Orthopaedics and Related Research","id":"ITEM-1","issue":"10","issued":{"date-parts":[["2008"]]},"page":"2385-2391","title":"Orthopaedic clinical officer program in Malawi: A model for providing orthopaedic care","type":"paper-conference","volume":"466"},"uris":["http://www.mendeley.com/documents/?uuid=b25baa12-bcec-36c3-a43d-1714a4da985e"]}],"mendeley":{"formattedCitation":"(Mkandawire, Ngulube, and Lavy 2008)","plainTextFormattedCitation":"(Mkandawire, Ngulube, and Lavy 2008)","previouslyFormattedCitation":"(Mkandawire, Ngulube, and Lavy 2008)"},"properties":{"noteIndex":0},"schema":"https://github.com/citation-style-language/schema/raw/master/csl-citation.json"}</w:instrText>
            </w:r>
            <w:r>
              <w:fldChar w:fldCharType="separate"/>
            </w:r>
            <w:r w:rsidRPr="00483819">
              <w:rPr>
                <w:noProof/>
              </w:rPr>
              <w:t>(Mkandawire, Ngulube, and Lavy 2008)</w:t>
            </w:r>
            <w:r>
              <w:fldChar w:fldCharType="end"/>
            </w:r>
          </w:p>
        </w:tc>
      </w:tr>
      <w:tr w:rsidR="00DD077E" w14:paraId="49C96829" w14:textId="77777777" w:rsidTr="00356EB3">
        <w:tc>
          <w:tcPr>
            <w:tcW w:w="2187" w:type="dxa"/>
          </w:tcPr>
          <w:p w14:paraId="45DF96F6" w14:textId="77777777" w:rsidR="00DD077E" w:rsidRDefault="00DD077E" w:rsidP="00356EB3">
            <w:pPr>
              <w:spacing w:line="480" w:lineRule="auto"/>
            </w:pPr>
            <w:r>
              <w:t>Laceration to the face</w:t>
            </w:r>
          </w:p>
        </w:tc>
        <w:tc>
          <w:tcPr>
            <w:tcW w:w="1225" w:type="dxa"/>
          </w:tcPr>
          <w:p w14:paraId="2DAF428B" w14:textId="77777777" w:rsidR="00DD077E" w:rsidRDefault="00DD077E" w:rsidP="00356EB3">
            <w:pPr>
              <w:spacing w:line="480" w:lineRule="auto"/>
            </w:pPr>
            <w:r>
              <w:t>1</w:t>
            </w:r>
          </w:p>
        </w:tc>
        <w:tc>
          <w:tcPr>
            <w:tcW w:w="1034" w:type="dxa"/>
          </w:tcPr>
          <w:p w14:paraId="3798ACE8" w14:textId="77777777" w:rsidR="00DD077E" w:rsidRDefault="00DD077E" w:rsidP="00356EB3">
            <w:pPr>
              <w:spacing w:line="480" w:lineRule="auto"/>
            </w:pPr>
            <w:r w:rsidRPr="0051285B">
              <w:t>0.1</w:t>
            </w:r>
          </w:p>
        </w:tc>
        <w:tc>
          <w:tcPr>
            <w:tcW w:w="1772" w:type="dxa"/>
          </w:tcPr>
          <w:p w14:paraId="772E1506" w14:textId="77777777" w:rsidR="00DD077E" w:rsidRPr="0051285B" w:rsidRDefault="00DD077E" w:rsidP="00356EB3">
            <w:pPr>
              <w:spacing w:line="480" w:lineRule="auto"/>
            </w:pPr>
            <w:r>
              <w:t xml:space="preserve">Suture kit, tetanus vaccine </w:t>
            </w:r>
          </w:p>
        </w:tc>
        <w:tc>
          <w:tcPr>
            <w:tcW w:w="1214" w:type="dxa"/>
          </w:tcPr>
          <w:p w14:paraId="3DE971BA" w14:textId="77777777" w:rsidR="00DD077E" w:rsidRDefault="00DD077E" w:rsidP="00356EB3">
            <w:pPr>
              <w:spacing w:line="480" w:lineRule="auto"/>
            </w:pPr>
            <w:r>
              <w:t>7 days</w:t>
            </w:r>
          </w:p>
        </w:tc>
        <w:tc>
          <w:tcPr>
            <w:tcW w:w="1584" w:type="dxa"/>
          </w:tcPr>
          <w:p w14:paraId="3FBCD1CC" w14:textId="77777777" w:rsidR="00DD077E" w:rsidRPr="0051285B" w:rsidRDefault="00DD077E" w:rsidP="00356EB3">
            <w:pPr>
              <w:spacing w:line="480" w:lineRule="auto"/>
            </w:pPr>
            <w:r>
              <w:t>Malawian treatment guidelines</w:t>
            </w:r>
          </w:p>
        </w:tc>
      </w:tr>
      <w:tr w:rsidR="00DD077E" w14:paraId="7721FCEF" w14:textId="77777777" w:rsidTr="00356EB3">
        <w:tc>
          <w:tcPr>
            <w:tcW w:w="2187" w:type="dxa"/>
          </w:tcPr>
          <w:p w14:paraId="4EADB9B2" w14:textId="77777777" w:rsidR="00DD077E" w:rsidRDefault="00DD077E" w:rsidP="00356EB3">
            <w:pPr>
              <w:spacing w:line="480" w:lineRule="auto"/>
            </w:pPr>
            <w:r>
              <w:t>Burn to the face</w:t>
            </w:r>
          </w:p>
        </w:tc>
        <w:tc>
          <w:tcPr>
            <w:tcW w:w="1225" w:type="dxa"/>
          </w:tcPr>
          <w:p w14:paraId="79B9C278" w14:textId="77777777" w:rsidR="00DD077E" w:rsidRDefault="00DD077E" w:rsidP="00356EB3">
            <w:pPr>
              <w:spacing w:line="480" w:lineRule="auto"/>
            </w:pPr>
            <w:r>
              <w:t>4</w:t>
            </w:r>
          </w:p>
        </w:tc>
        <w:tc>
          <w:tcPr>
            <w:tcW w:w="1034" w:type="dxa"/>
          </w:tcPr>
          <w:p w14:paraId="66666981" w14:textId="77777777" w:rsidR="00DD077E" w:rsidRDefault="00DD077E" w:rsidP="00356EB3">
            <w:pPr>
              <w:spacing w:line="480" w:lineRule="auto"/>
            </w:pPr>
            <w:r w:rsidRPr="0051285B">
              <w:t>0.455</w:t>
            </w:r>
          </w:p>
        </w:tc>
        <w:tc>
          <w:tcPr>
            <w:tcW w:w="1772" w:type="dxa"/>
          </w:tcPr>
          <w:p w14:paraId="01EA7A12" w14:textId="77777777" w:rsidR="00DD077E" w:rsidRPr="0051285B" w:rsidRDefault="00DD077E" w:rsidP="00356EB3">
            <w:pPr>
              <w:spacing w:line="480" w:lineRule="auto"/>
            </w:pPr>
            <w:r w:rsidRPr="00837714">
              <w:t>Cetrimide 15% + chlorhexidine 1.5% solution</w:t>
            </w:r>
            <w:r>
              <w:t xml:space="preserve">, Paraffin dressing, </w:t>
            </w:r>
            <w:r w:rsidRPr="00837714">
              <w:t xml:space="preserve">ringer's lactate </w:t>
            </w:r>
            <w:r w:rsidRPr="00837714">
              <w:lastRenderedPageBreak/>
              <w:t>(Hartmann's solution)</w:t>
            </w:r>
            <w:r>
              <w:t>, tetanus vaccine</w:t>
            </w:r>
          </w:p>
        </w:tc>
        <w:tc>
          <w:tcPr>
            <w:tcW w:w="1214" w:type="dxa"/>
          </w:tcPr>
          <w:p w14:paraId="1B59AFDA" w14:textId="77777777" w:rsidR="00DD077E" w:rsidRDefault="00DD077E" w:rsidP="00356EB3">
            <w:pPr>
              <w:spacing w:line="480" w:lineRule="auto"/>
            </w:pPr>
            <w:r>
              <w:lastRenderedPageBreak/>
              <w:t>28 days with treatment otherwise permanent</w:t>
            </w:r>
          </w:p>
        </w:tc>
        <w:tc>
          <w:tcPr>
            <w:tcW w:w="1584" w:type="dxa"/>
          </w:tcPr>
          <w:p w14:paraId="5ABBF139" w14:textId="77777777" w:rsidR="00DD077E" w:rsidRPr="0051285B" w:rsidRDefault="00DD077E" w:rsidP="00356EB3">
            <w:pPr>
              <w:spacing w:line="480" w:lineRule="auto"/>
            </w:pPr>
            <w:r>
              <w:t>Malawian treatment guidelines</w:t>
            </w:r>
          </w:p>
        </w:tc>
      </w:tr>
      <w:tr w:rsidR="00DD077E" w14:paraId="74021B40" w14:textId="77777777" w:rsidTr="00356EB3">
        <w:tc>
          <w:tcPr>
            <w:tcW w:w="2187" w:type="dxa"/>
          </w:tcPr>
          <w:p w14:paraId="6DF145DF" w14:textId="77777777" w:rsidR="00DD077E" w:rsidRDefault="00DD077E" w:rsidP="00356EB3">
            <w:pPr>
              <w:spacing w:line="480" w:lineRule="auto"/>
            </w:pPr>
            <w:r>
              <w:t>Eye injury</w:t>
            </w:r>
          </w:p>
        </w:tc>
        <w:tc>
          <w:tcPr>
            <w:tcW w:w="1225" w:type="dxa"/>
          </w:tcPr>
          <w:p w14:paraId="5C126F53" w14:textId="77777777" w:rsidR="00DD077E" w:rsidRDefault="00DD077E" w:rsidP="00356EB3">
            <w:pPr>
              <w:spacing w:line="480" w:lineRule="auto"/>
            </w:pPr>
            <w:r>
              <w:t>1</w:t>
            </w:r>
          </w:p>
        </w:tc>
        <w:tc>
          <w:tcPr>
            <w:tcW w:w="1034" w:type="dxa"/>
          </w:tcPr>
          <w:p w14:paraId="4A45B1F9" w14:textId="77777777" w:rsidR="00DD077E" w:rsidRDefault="00DD077E" w:rsidP="00356EB3">
            <w:pPr>
              <w:spacing w:line="480" w:lineRule="auto"/>
            </w:pPr>
            <w:r w:rsidRPr="0051285B">
              <w:t>0.054</w:t>
            </w:r>
          </w:p>
        </w:tc>
        <w:tc>
          <w:tcPr>
            <w:tcW w:w="1772" w:type="dxa"/>
          </w:tcPr>
          <w:p w14:paraId="6EC969BB" w14:textId="77777777" w:rsidR="00DD077E" w:rsidRPr="0051285B" w:rsidRDefault="00DD077E" w:rsidP="00356EB3">
            <w:pPr>
              <w:spacing w:line="480" w:lineRule="auto"/>
            </w:pPr>
            <w:r>
              <w:t>Minor surgery</w:t>
            </w:r>
          </w:p>
        </w:tc>
        <w:tc>
          <w:tcPr>
            <w:tcW w:w="1214" w:type="dxa"/>
          </w:tcPr>
          <w:p w14:paraId="3FEA27B1" w14:textId="77777777" w:rsidR="00DD077E" w:rsidRDefault="00DD077E" w:rsidP="00356EB3">
            <w:pPr>
              <w:spacing w:line="480" w:lineRule="auto"/>
            </w:pPr>
            <w:r>
              <w:t>7 days</w:t>
            </w:r>
          </w:p>
        </w:tc>
        <w:tc>
          <w:tcPr>
            <w:tcW w:w="1584" w:type="dxa"/>
          </w:tcPr>
          <w:p w14:paraId="1501756A" w14:textId="77777777" w:rsidR="00DD077E" w:rsidRPr="0051285B" w:rsidRDefault="00DD077E" w:rsidP="00356EB3">
            <w:pPr>
              <w:spacing w:line="480" w:lineRule="auto"/>
            </w:pPr>
            <w:r>
              <w:fldChar w:fldCharType="begin" w:fldLock="1"/>
            </w:r>
            <w:r>
              <w:instrText>ADDIN CSL_CITATION {"citationItems":[{"id":"ITEM-1","itemData":{"DOI":"10.1007/s11999-008-0366-5","ISBN":"1800:100,000","ISSN":"15281132","PMID":"18633684","abstract":"Malawi has a population of about 13 million people, 85% of whom live in rural areas. The gross national income per capita is US$620, with 42% of the people living on less than US$1 per day. The government per capita expenditure on health is US$5. Malawi has 266 doctors, of whom only nine are orthopaedic surgeons. To address the severe shortage of doctors, Malawi relies heavily on paramedical officers to provide the bulk of healthcare. Specialized orthopaedic clinical officers have been trained since 1985 and are deployed primarily in rural district hospitals to manage 80% to 90% of the orthopaedic workload in Malawi. They are trained in conservative management of most common traumatic and nontraumatic musculoskeletal conditions. Since the program began, 117 orthopaedic clinical officers have been trained, of whom 82 are in clinical practice. In 2002, Malawi began a local orthopaedic postgraduate program with an intake of one to two candidates per year. However, orthopaedic clinical officers will continue to be needed for the foreseeable future. Orthopaedic clinical officer training is a cost-effective way of providing trained healthcare workers to meet the orthopaedic needs of a country with very few doctors and even fewer orthopaedic surgeons. © 2008 The Association of Bone and Joint Surgeons.","author":[{"dropping-particle":"","family":"Mkandawire","given":"Nyengo","non-dropping-particle":"","parse-names":false,"suffix":""},{"dropping-particle":"","family":"Ngulube","given":"Christopher","non-dropping-particle":"","parse-names":false,"suffix":""},{"dropping-particle":"","family":"Lavy","given":"Christopher","non-dropping-particle":"","parse-names":false,"suffix":""}],"container-title":"Clinical Orthopaedics and Related Research","id":"ITEM-1","issue":"10","issued":{"date-parts":[["2008"]]},"page":"2385-2391","title":"Orthopaedic clinical officer program in Malawi: A model for providing orthopaedic care","type":"paper-conference","volume":"466"},"uris":["http://www.mendeley.com/documents/?uuid=b25baa12-bcec-36c3-a43d-1714a4da985e"]}],"mendeley":{"formattedCitation":"(Mkandawire, Ngulube, and Lavy 2008)","plainTextFormattedCitation":"(Mkandawire, Ngulube, and Lavy 2008)","previouslyFormattedCitation":"(Mkandawire, Ngulube, and Lavy 2008)"},"properties":{"noteIndex":0},"schema":"https://github.com/citation-style-language/schema/raw/master/csl-citation.json"}</w:instrText>
            </w:r>
            <w:r>
              <w:fldChar w:fldCharType="separate"/>
            </w:r>
            <w:r w:rsidRPr="00483819">
              <w:rPr>
                <w:noProof/>
              </w:rPr>
              <w:t>(Mkandawire, Ngulube, and Lavy 2008)</w:t>
            </w:r>
            <w:r>
              <w:fldChar w:fldCharType="end"/>
            </w:r>
          </w:p>
        </w:tc>
      </w:tr>
      <w:tr w:rsidR="00DD077E" w14:paraId="5C17979A" w14:textId="77777777" w:rsidTr="00356EB3">
        <w:tc>
          <w:tcPr>
            <w:tcW w:w="2187" w:type="dxa"/>
          </w:tcPr>
          <w:p w14:paraId="0FDC6BDA" w14:textId="77777777" w:rsidR="00DD077E" w:rsidRDefault="00DD077E" w:rsidP="00356EB3">
            <w:pPr>
              <w:spacing w:line="480" w:lineRule="auto"/>
            </w:pPr>
            <w:r>
              <w:t>Soft tissue injury in neck (vertebral artery laceration)</w:t>
            </w:r>
          </w:p>
        </w:tc>
        <w:tc>
          <w:tcPr>
            <w:tcW w:w="1225" w:type="dxa"/>
          </w:tcPr>
          <w:p w14:paraId="16223894" w14:textId="77777777" w:rsidR="00DD077E" w:rsidRDefault="00DD077E" w:rsidP="00356EB3">
            <w:pPr>
              <w:spacing w:line="480" w:lineRule="auto"/>
            </w:pPr>
            <w:r>
              <w:t>2</w:t>
            </w:r>
          </w:p>
        </w:tc>
        <w:tc>
          <w:tcPr>
            <w:tcW w:w="1034" w:type="dxa"/>
          </w:tcPr>
          <w:p w14:paraId="39E149F3" w14:textId="77777777" w:rsidR="00DD077E" w:rsidRDefault="00DD077E" w:rsidP="00356EB3">
            <w:pPr>
              <w:spacing w:line="480" w:lineRule="auto"/>
            </w:pPr>
            <w:r>
              <w:t>0.1</w:t>
            </w:r>
          </w:p>
        </w:tc>
        <w:tc>
          <w:tcPr>
            <w:tcW w:w="1772" w:type="dxa"/>
          </w:tcPr>
          <w:p w14:paraId="12DED45C" w14:textId="77777777" w:rsidR="00DD077E" w:rsidRDefault="00DD077E" w:rsidP="00356EB3">
            <w:pPr>
              <w:spacing w:line="480" w:lineRule="auto"/>
            </w:pPr>
            <w:r>
              <w:t>Major surgery</w:t>
            </w:r>
          </w:p>
        </w:tc>
        <w:tc>
          <w:tcPr>
            <w:tcW w:w="1214" w:type="dxa"/>
          </w:tcPr>
          <w:p w14:paraId="0985822D" w14:textId="77777777" w:rsidR="00DD077E" w:rsidRDefault="00DD077E" w:rsidP="00356EB3">
            <w:pPr>
              <w:spacing w:line="480" w:lineRule="auto"/>
            </w:pPr>
            <w:r>
              <w:t>42 days</w:t>
            </w:r>
          </w:p>
        </w:tc>
        <w:tc>
          <w:tcPr>
            <w:tcW w:w="1584" w:type="dxa"/>
          </w:tcPr>
          <w:p w14:paraId="61DFA707" w14:textId="77777777" w:rsidR="00DD077E" w:rsidRDefault="00DD077E" w:rsidP="00356EB3">
            <w:pPr>
              <w:spacing w:line="480" w:lineRule="auto"/>
            </w:pPr>
            <w:r>
              <w:fldChar w:fldCharType="begin" w:fldLock="1"/>
            </w:r>
            <w:r>
              <w:instrText>ADDIN CSL_CITATION {"citationItems":[{"id":"ITEM-1","itemData":{"DOI":"10.1308/003588407X209329","ISSN":"00358843","abstract":"Malawi is a poor country with few doctors. It has 21 district hospitals all of which have operating theatres but none of which has a permanent surgeon. It also has 4 central hospitals, each with one or more surgeons. Most district hospitals are manned by a single doctor and two or more paramedical clinical officers. All district and central hospitals were visited, and theatre logbooks analysed. All cases performed in 2003 were recorded. In 2003, a total of 48,696 surgical operations were recorded, of which 25,053 were performed in 21 district hospitals and 23,643 in 4 central hospitals. Caesarean section is the commonest major surgical procedure in district hospitals and is performed in approximately 2.8% of all births, compared to 22% in the UK. Very few major general surgical or orthopaedic procedures are carried out in district hospitals. This study underlines Malawi's need for more surgeons to be trained and retained.","author":[{"dropping-particle":"","family":"Lavy","given":"Chris","non-dropping-particle":"","parse-names":false,"suffix":""},{"dropping-particle":"","family":"Tindall","given":"Alistair","non-dropping-particle":"","parse-names":false,"suffix":""},{"dropping-particle":"","family":"Steinlechner","given":"Colin","non-dropping-particle":"","parse-names":false,"suffix":""},{"dropping-particle":"","family":"Mkandawire","given":"Nyengo","non-dropping-particle":"","parse-names":false,"suffix":""},{"dropping-particle":"","family":"Chimangeni","given":"Sandy","non-dropping-particle":"","parse-names":false,"suffix":""}],"container-title":"Annals of the Royal College of Surgeons of England","id":"ITEM-1","issue":"7","issued":{"date-parts":[["2007","10"]]},"page":"722-724","publisher":"Royal College of Surgeons of England","title":"Surgery in Malawi - A national survey of activity in rural and urban hospitals","type":"article-journal","volume":"89"},"uris":["http://www.mendeley.com/documents/?uuid=49b3b33c-3bf8-3a11-abed-da1b3a0d17fc"]}],"mendeley":{"formattedCitation":"(Lavy et al. 2007)","plainTextFormattedCitation":"(Lavy et al. 2007)","previouslyFormattedCitation":"(Lavy et al. 2007)"},"properties":{"noteIndex":0},"schema":"https://github.com/citation-style-language/schema/raw/master/csl-citation.json"}</w:instrText>
            </w:r>
            <w:r>
              <w:fldChar w:fldCharType="separate"/>
            </w:r>
            <w:r w:rsidRPr="00411E99">
              <w:rPr>
                <w:noProof/>
              </w:rPr>
              <w:t>(Lavy et al. 2007)</w:t>
            </w:r>
            <w:r>
              <w:fldChar w:fldCharType="end"/>
            </w:r>
          </w:p>
        </w:tc>
      </w:tr>
      <w:tr w:rsidR="00DD077E" w14:paraId="66D448EE" w14:textId="77777777" w:rsidTr="00356EB3">
        <w:tc>
          <w:tcPr>
            <w:tcW w:w="2187" w:type="dxa"/>
          </w:tcPr>
          <w:p w14:paraId="101FC38B" w14:textId="77777777" w:rsidR="00DD077E" w:rsidRDefault="00DD077E" w:rsidP="00356EB3">
            <w:pPr>
              <w:spacing w:line="480" w:lineRule="auto"/>
            </w:pPr>
            <w:r>
              <w:t>Soft tissue injury in neck (pharynx contusion)</w:t>
            </w:r>
          </w:p>
        </w:tc>
        <w:tc>
          <w:tcPr>
            <w:tcW w:w="1225" w:type="dxa"/>
          </w:tcPr>
          <w:p w14:paraId="2D9D61BF" w14:textId="77777777" w:rsidR="00DD077E" w:rsidRDefault="00DD077E" w:rsidP="00356EB3">
            <w:pPr>
              <w:spacing w:line="480" w:lineRule="auto"/>
            </w:pPr>
            <w:r>
              <w:t>3</w:t>
            </w:r>
          </w:p>
        </w:tc>
        <w:tc>
          <w:tcPr>
            <w:tcW w:w="1034" w:type="dxa"/>
          </w:tcPr>
          <w:p w14:paraId="09BBA359" w14:textId="77777777" w:rsidR="00DD077E" w:rsidRDefault="00DD077E" w:rsidP="00356EB3">
            <w:pPr>
              <w:spacing w:line="480" w:lineRule="auto"/>
            </w:pPr>
            <w:r>
              <w:t>0.1</w:t>
            </w:r>
          </w:p>
        </w:tc>
        <w:tc>
          <w:tcPr>
            <w:tcW w:w="1772" w:type="dxa"/>
          </w:tcPr>
          <w:p w14:paraId="7E764154" w14:textId="77777777" w:rsidR="00DD077E" w:rsidRDefault="00DD077E" w:rsidP="00356EB3">
            <w:pPr>
              <w:spacing w:line="480" w:lineRule="auto"/>
            </w:pPr>
            <w:r>
              <w:t>Major surgery</w:t>
            </w:r>
          </w:p>
        </w:tc>
        <w:tc>
          <w:tcPr>
            <w:tcW w:w="1214" w:type="dxa"/>
          </w:tcPr>
          <w:p w14:paraId="19B535F8" w14:textId="77777777" w:rsidR="00DD077E" w:rsidRDefault="00DD077E" w:rsidP="00356EB3">
            <w:pPr>
              <w:spacing w:line="480" w:lineRule="auto"/>
            </w:pPr>
            <w:r>
              <w:t>42 days</w:t>
            </w:r>
          </w:p>
        </w:tc>
        <w:tc>
          <w:tcPr>
            <w:tcW w:w="1584" w:type="dxa"/>
          </w:tcPr>
          <w:p w14:paraId="57E427B6" w14:textId="77777777" w:rsidR="00DD077E" w:rsidRDefault="00DD077E" w:rsidP="00356EB3">
            <w:pPr>
              <w:spacing w:line="480" w:lineRule="auto"/>
            </w:pPr>
            <w:r>
              <w:fldChar w:fldCharType="begin" w:fldLock="1"/>
            </w:r>
            <w:r>
              <w:instrText>ADDIN CSL_CITATION {"citationItems":[{"id":"ITEM-1","itemData":{"DOI":"10.1308/003588407X209329","ISSN":"00358843","abstract":"Malawi is a poor country with few doctors. It has 21 district hospitals all of which have operating theatres but none of which has a permanent surgeon. It also has 4 central hospitals, each with one or more surgeons. Most district hospitals are manned by a single doctor and two or more paramedical clinical officers. All district and central hospitals were visited, and theatre logbooks analysed. All cases performed in 2003 were recorded. In 2003, a total of 48,696 surgical operations were recorded, of which 25,053 were performed in 21 district hospitals and 23,643 in 4 central hospitals. Caesarean section is the commonest major surgical procedure in district hospitals and is performed in approximately 2.8% of all births, compared to 22% in the UK. Very few major general surgical or orthopaedic procedures are carried out in district hospitals. This study underlines Malawi's need for more surgeons to be trained and retained.","author":[{"dropping-particle":"","family":"Lavy","given":"Chris","non-dropping-particle":"","parse-names":false,"suffix":""},{"dropping-particle":"","family":"Tindall","given":"Alistair","non-dropping-particle":"","parse-names":false,"suffix":""},{"dropping-particle":"","family":"Steinlechner","given":"Colin","non-dropping-particle":"","parse-names":false,"suffix":""},{"dropping-particle":"","family":"Mkandawire","given":"Nyengo","non-dropping-particle":"","parse-names":false,"suffix":""},{"dropping-particle":"","family":"Chimangeni","given":"Sandy","non-dropping-particle":"","parse-names":false,"suffix":""}],"container-title":"Annals of the Royal College of Surgeons of England","id":"ITEM-1","issue":"7","issued":{"date-parts":[["2007","10"]]},"page":"722-724","publisher":"Royal College of Surgeons of England","title":"Surgery in Malawi - A national survey of activity in rural and urban hospitals","type":"article-journal","volume":"89"},"uris":["http://www.mendeley.com/documents/?uuid=49b3b33c-3bf8-3a11-abed-da1b3a0d17fc"]}],"mendeley":{"formattedCitation":"(Lavy et al. 2007)","plainTextFormattedCitation":"(Lavy et al. 2007)","previouslyFormattedCitation":"(Lavy et al. 2007)"},"properties":{"noteIndex":0},"schema":"https://github.com/citation-style-language/schema/raw/master/csl-citation.json"}</w:instrText>
            </w:r>
            <w:r>
              <w:fldChar w:fldCharType="separate"/>
            </w:r>
            <w:r w:rsidRPr="00411E99">
              <w:rPr>
                <w:noProof/>
              </w:rPr>
              <w:t>(Lavy et al. 2007)</w:t>
            </w:r>
            <w:r>
              <w:fldChar w:fldCharType="end"/>
            </w:r>
          </w:p>
        </w:tc>
      </w:tr>
      <w:tr w:rsidR="00DD077E" w14:paraId="134FF90C" w14:textId="77777777" w:rsidTr="00356EB3">
        <w:tc>
          <w:tcPr>
            <w:tcW w:w="2187" w:type="dxa"/>
          </w:tcPr>
          <w:p w14:paraId="78FECE2A" w14:textId="77777777" w:rsidR="00DD077E" w:rsidRDefault="00DD077E" w:rsidP="00356EB3">
            <w:pPr>
              <w:spacing w:line="480" w:lineRule="auto"/>
            </w:pPr>
            <w:r>
              <w:t>Sternomastoid m. hemorrhage/ Hemorrhage, supraclavicular triangle/</w:t>
            </w:r>
          </w:p>
          <w:p w14:paraId="62381D30" w14:textId="77777777" w:rsidR="00DD077E" w:rsidRDefault="00DD077E" w:rsidP="00356EB3">
            <w:pPr>
              <w:spacing w:line="480" w:lineRule="auto"/>
            </w:pPr>
            <w:r>
              <w:t>Hemorrhage, posterior triangle/</w:t>
            </w:r>
          </w:p>
          <w:p w14:paraId="1DC4A510" w14:textId="77777777" w:rsidR="00DD077E" w:rsidRDefault="00DD077E" w:rsidP="00356EB3">
            <w:pPr>
              <w:spacing w:line="480" w:lineRule="auto"/>
            </w:pPr>
            <w:r>
              <w:t>Anterior vertebral vessel hemorrhage/ Neck muscle hemorrhage</w:t>
            </w:r>
          </w:p>
          <w:p w14:paraId="1BFD1C80" w14:textId="77777777" w:rsidR="00DD077E" w:rsidRDefault="00DD077E" w:rsidP="00356EB3">
            <w:pPr>
              <w:spacing w:line="480" w:lineRule="auto"/>
            </w:pPr>
          </w:p>
        </w:tc>
        <w:tc>
          <w:tcPr>
            <w:tcW w:w="1225" w:type="dxa"/>
          </w:tcPr>
          <w:p w14:paraId="583B0B21" w14:textId="77777777" w:rsidR="00DD077E" w:rsidRDefault="00DD077E" w:rsidP="00356EB3">
            <w:pPr>
              <w:spacing w:line="480" w:lineRule="auto"/>
            </w:pPr>
            <w:r>
              <w:t>1</w:t>
            </w:r>
          </w:p>
        </w:tc>
        <w:tc>
          <w:tcPr>
            <w:tcW w:w="1034" w:type="dxa"/>
          </w:tcPr>
          <w:p w14:paraId="6C26C667" w14:textId="77777777" w:rsidR="00DD077E" w:rsidRDefault="00DD077E" w:rsidP="00356EB3">
            <w:pPr>
              <w:spacing w:line="480" w:lineRule="auto"/>
            </w:pPr>
            <w:r>
              <w:t>0.1</w:t>
            </w:r>
          </w:p>
        </w:tc>
        <w:tc>
          <w:tcPr>
            <w:tcW w:w="1772" w:type="dxa"/>
          </w:tcPr>
          <w:p w14:paraId="26966052" w14:textId="77777777" w:rsidR="00DD077E" w:rsidRDefault="00DD077E" w:rsidP="00356EB3">
            <w:pPr>
              <w:spacing w:line="480" w:lineRule="auto"/>
            </w:pPr>
            <w:r>
              <w:t>Major surgery</w:t>
            </w:r>
          </w:p>
        </w:tc>
        <w:tc>
          <w:tcPr>
            <w:tcW w:w="1214" w:type="dxa"/>
          </w:tcPr>
          <w:p w14:paraId="71F9E9DA" w14:textId="77777777" w:rsidR="00DD077E" w:rsidRDefault="00DD077E" w:rsidP="00356EB3">
            <w:pPr>
              <w:spacing w:line="480" w:lineRule="auto"/>
            </w:pPr>
            <w:r>
              <w:t>7 days</w:t>
            </w:r>
          </w:p>
        </w:tc>
        <w:tc>
          <w:tcPr>
            <w:tcW w:w="1584" w:type="dxa"/>
          </w:tcPr>
          <w:p w14:paraId="1B8D35A7" w14:textId="77777777" w:rsidR="00DD077E" w:rsidRDefault="00DD077E" w:rsidP="00356EB3">
            <w:pPr>
              <w:spacing w:line="480" w:lineRule="auto"/>
            </w:pPr>
            <w:r>
              <w:fldChar w:fldCharType="begin" w:fldLock="1"/>
            </w:r>
            <w:r>
              <w:instrText>ADDIN CSL_CITATION {"citationItems":[{"id":"ITEM-1","itemData":{"DOI":"10.1308/003588407X209329","ISSN":"00358843","abstract":"Malawi is a poor country with few doctors. It has 21 district hospitals all of which have operating theatres but none of which has a permanent surgeon. It also has 4 central hospitals, each with one or more surgeons. Most district hospitals are manned by a single doctor and two or more paramedical clinical officers. All district and central hospitals were visited, and theatre logbooks analysed. All cases performed in 2003 were recorded. In 2003, a total of 48,696 surgical operations were recorded, of which 25,053 were performed in 21 district hospitals and 23,643 in 4 central hospitals. Caesarean section is the commonest major surgical procedure in district hospitals and is performed in approximately 2.8% of all births, compared to 22% in the UK. Very few major general surgical or orthopaedic procedures are carried out in district hospitals. This study underlines Malawi's need for more surgeons to be trained and retained.","author":[{"dropping-particle":"","family":"Lavy","given":"Chris","non-dropping-particle":"","parse-names":false,"suffix":""},{"dropping-particle":"","family":"Tindall","given":"Alistair","non-dropping-particle":"","parse-names":false,"suffix":""},{"dropping-particle":"","family":"Steinlechner","given":"Colin","non-dropping-particle":"","parse-names":false,"suffix":""},{"dropping-particle":"","family":"Mkandawire","given":"Nyengo","non-dropping-particle":"","parse-names":false,"suffix":""},{"dropping-particle":"","family":"Chimangeni","given":"Sandy","non-dropping-particle":"","parse-names":false,"suffix":""}],"container-title":"Annals of the Royal College of Surgeons of England","id":"ITEM-1","issue":"7","issued":{"date-parts":[["2007","10"]]},"page":"722-724","publisher":"Royal College of Surgeons of England","title":"Surgery in Malawi - A national survey of activity in rural and urban hospitals","type":"article-journal","volume":"89"},"uris":["http://www.mendeley.com/documents/?uuid=49b3b33c-3bf8-3a11-abed-da1b3a0d17fc"]}],"mendeley":{"formattedCitation":"(Lavy et al. 2007)","plainTextFormattedCitation":"(Lavy et al. 2007)","previouslyFormattedCitation":"(Lavy et al. 2007)"},"properties":{"noteIndex":0},"schema":"https://github.com/citation-style-language/schema/raw/master/csl-citation.json"}</w:instrText>
            </w:r>
            <w:r>
              <w:fldChar w:fldCharType="separate"/>
            </w:r>
            <w:r w:rsidRPr="00411E99">
              <w:rPr>
                <w:noProof/>
              </w:rPr>
              <w:t>(Lavy et al. 2007)</w:t>
            </w:r>
            <w:r>
              <w:fldChar w:fldCharType="end"/>
            </w:r>
          </w:p>
        </w:tc>
      </w:tr>
      <w:tr w:rsidR="00DD077E" w14:paraId="78590F42" w14:textId="77777777" w:rsidTr="00356EB3">
        <w:tc>
          <w:tcPr>
            <w:tcW w:w="2187" w:type="dxa"/>
          </w:tcPr>
          <w:p w14:paraId="7E120FBB" w14:textId="77777777" w:rsidR="00DD077E" w:rsidRDefault="00DD077E" w:rsidP="00356EB3">
            <w:pPr>
              <w:spacing w:line="480" w:lineRule="auto"/>
            </w:pPr>
            <w:r>
              <w:lastRenderedPageBreak/>
              <w:t>Hematoma in carotid sheath/</w:t>
            </w:r>
          </w:p>
          <w:p w14:paraId="15F278FD" w14:textId="77777777" w:rsidR="00DD077E" w:rsidRDefault="00DD077E" w:rsidP="00356EB3">
            <w:pPr>
              <w:spacing w:line="480" w:lineRule="auto"/>
            </w:pPr>
            <w:r>
              <w:t>Carotid sheath hemorrhage</w:t>
            </w:r>
          </w:p>
        </w:tc>
        <w:tc>
          <w:tcPr>
            <w:tcW w:w="1225" w:type="dxa"/>
          </w:tcPr>
          <w:p w14:paraId="121845B9" w14:textId="77777777" w:rsidR="00DD077E" w:rsidRDefault="00DD077E" w:rsidP="00356EB3">
            <w:pPr>
              <w:spacing w:line="480" w:lineRule="auto"/>
            </w:pPr>
            <w:r>
              <w:t>3</w:t>
            </w:r>
          </w:p>
        </w:tc>
        <w:tc>
          <w:tcPr>
            <w:tcW w:w="1034" w:type="dxa"/>
          </w:tcPr>
          <w:p w14:paraId="48378C72" w14:textId="77777777" w:rsidR="00DD077E" w:rsidRDefault="00DD077E" w:rsidP="00356EB3">
            <w:pPr>
              <w:spacing w:line="480" w:lineRule="auto"/>
            </w:pPr>
            <w:r>
              <w:t>0.1</w:t>
            </w:r>
          </w:p>
        </w:tc>
        <w:tc>
          <w:tcPr>
            <w:tcW w:w="1772" w:type="dxa"/>
          </w:tcPr>
          <w:p w14:paraId="1613BAC6" w14:textId="77777777" w:rsidR="00DD077E" w:rsidRDefault="00DD077E" w:rsidP="00356EB3">
            <w:pPr>
              <w:spacing w:line="480" w:lineRule="auto"/>
            </w:pPr>
            <w:r>
              <w:t>Major surgery</w:t>
            </w:r>
          </w:p>
        </w:tc>
        <w:tc>
          <w:tcPr>
            <w:tcW w:w="1214" w:type="dxa"/>
          </w:tcPr>
          <w:p w14:paraId="0DF0EABD" w14:textId="77777777" w:rsidR="00DD077E" w:rsidRDefault="00DD077E" w:rsidP="00356EB3">
            <w:pPr>
              <w:spacing w:line="480" w:lineRule="auto"/>
            </w:pPr>
            <w:r>
              <w:t>14 days</w:t>
            </w:r>
          </w:p>
        </w:tc>
        <w:tc>
          <w:tcPr>
            <w:tcW w:w="1584" w:type="dxa"/>
          </w:tcPr>
          <w:p w14:paraId="6E6A1FF6" w14:textId="77777777" w:rsidR="00DD077E" w:rsidRDefault="00DD077E" w:rsidP="00356EB3">
            <w:pPr>
              <w:spacing w:line="480" w:lineRule="auto"/>
            </w:pPr>
            <w:r>
              <w:fldChar w:fldCharType="begin" w:fldLock="1"/>
            </w:r>
            <w:r>
              <w:instrText>ADDIN CSL_CITATION {"citationItems":[{"id":"ITEM-1","itemData":{"DOI":"10.1308/003588407X209329","ISSN":"00358843","abstract":"Malawi is a poor country with few doctors. It has 21 district hospitals all of which have operating theatres but none of which has a permanent surgeon. It also has 4 central hospitals, each with one or more surgeons. Most district hospitals are manned by a single doctor and two or more paramedical clinical officers. All district and central hospitals were visited, and theatre logbooks analysed. All cases performed in 2003 were recorded. In 2003, a total of 48,696 surgical operations were recorded, of which 25,053 were performed in 21 district hospitals and 23,643 in 4 central hospitals. Caesarean section is the commonest major surgical procedure in district hospitals and is performed in approximately 2.8% of all births, compared to 22% in the UK. Very few major general surgical or orthopaedic procedures are carried out in district hospitals. This study underlines Malawi's need for more surgeons to be trained and retained.","author":[{"dropping-particle":"","family":"Lavy","given":"Chris","non-dropping-particle":"","parse-names":false,"suffix":""},{"dropping-particle":"","family":"Tindall","given":"Alistair","non-dropping-particle":"","parse-names":false,"suffix":""},{"dropping-particle":"","family":"Steinlechner","given":"Colin","non-dropping-particle":"","parse-names":false,"suffix":""},{"dropping-particle":"","family":"Mkandawire","given":"Nyengo","non-dropping-particle":"","parse-names":false,"suffix":""},{"dropping-particle":"","family":"Chimangeni","given":"Sandy","non-dropping-particle":"","parse-names":false,"suffix":""}],"container-title":"Annals of the Royal College of Surgeons of England","id":"ITEM-1","issue":"7","issued":{"date-parts":[["2007","10"]]},"page":"722-724","publisher":"Royal College of Surgeons of England","title":"Surgery in Malawi - A national survey of activity in rural and urban hospitals","type":"article-journal","volume":"89"},"uris":["http://www.mendeley.com/documents/?uuid=49b3b33c-3bf8-3a11-abed-da1b3a0d17fc"]}],"mendeley":{"formattedCitation":"(Lavy et al. 2007)","plainTextFormattedCitation":"(Lavy et al. 2007)","previouslyFormattedCitation":"(Lavy et al. 2007)"},"properties":{"noteIndex":0},"schema":"https://github.com/citation-style-language/schema/raw/master/csl-citation.json"}</w:instrText>
            </w:r>
            <w:r>
              <w:fldChar w:fldCharType="separate"/>
            </w:r>
            <w:r w:rsidRPr="00411E99">
              <w:rPr>
                <w:noProof/>
              </w:rPr>
              <w:t>(Lavy et al. 2007)</w:t>
            </w:r>
            <w:r>
              <w:fldChar w:fldCharType="end"/>
            </w:r>
          </w:p>
        </w:tc>
      </w:tr>
      <w:tr w:rsidR="00DD077E" w14:paraId="728E210D" w14:textId="77777777" w:rsidTr="00356EB3">
        <w:tc>
          <w:tcPr>
            <w:tcW w:w="2187" w:type="dxa"/>
          </w:tcPr>
          <w:p w14:paraId="0BAB5097" w14:textId="77777777" w:rsidR="00DD077E" w:rsidRDefault="00DD077E" w:rsidP="00356EB3">
            <w:pPr>
              <w:spacing w:line="480" w:lineRule="auto"/>
            </w:pPr>
            <w:r>
              <w:t>Atlanto-occipital subluxation</w:t>
            </w:r>
          </w:p>
        </w:tc>
        <w:tc>
          <w:tcPr>
            <w:tcW w:w="1225" w:type="dxa"/>
          </w:tcPr>
          <w:p w14:paraId="463F5CD7" w14:textId="77777777" w:rsidR="00DD077E" w:rsidRDefault="00DD077E" w:rsidP="00356EB3">
            <w:pPr>
              <w:spacing w:line="480" w:lineRule="auto"/>
            </w:pPr>
            <w:r>
              <w:t>2</w:t>
            </w:r>
          </w:p>
        </w:tc>
        <w:tc>
          <w:tcPr>
            <w:tcW w:w="1034" w:type="dxa"/>
          </w:tcPr>
          <w:p w14:paraId="07D96F7D" w14:textId="77777777" w:rsidR="00DD077E" w:rsidRDefault="00DD077E" w:rsidP="00356EB3">
            <w:pPr>
              <w:spacing w:line="480" w:lineRule="auto"/>
            </w:pPr>
            <w:r w:rsidRPr="00FD7592">
              <w:t>0.187</w:t>
            </w:r>
          </w:p>
        </w:tc>
        <w:tc>
          <w:tcPr>
            <w:tcW w:w="1772" w:type="dxa"/>
          </w:tcPr>
          <w:p w14:paraId="3B96B78C" w14:textId="77777777" w:rsidR="00DD077E" w:rsidRPr="00FD7592" w:rsidRDefault="00DD077E" w:rsidP="00356EB3">
            <w:pPr>
              <w:spacing w:line="480" w:lineRule="auto"/>
            </w:pPr>
            <w:r>
              <w:t>Heal with time or minor surgery</w:t>
            </w:r>
          </w:p>
        </w:tc>
        <w:tc>
          <w:tcPr>
            <w:tcW w:w="1214" w:type="dxa"/>
          </w:tcPr>
          <w:p w14:paraId="200C44FC" w14:textId="77777777" w:rsidR="00DD077E" w:rsidRDefault="00DD077E" w:rsidP="00356EB3">
            <w:pPr>
              <w:spacing w:line="480" w:lineRule="auto"/>
            </w:pPr>
            <w:r>
              <w:t>42 days</w:t>
            </w:r>
          </w:p>
        </w:tc>
        <w:tc>
          <w:tcPr>
            <w:tcW w:w="1584" w:type="dxa"/>
          </w:tcPr>
          <w:p w14:paraId="11BF4A32" w14:textId="77777777" w:rsidR="00DD077E" w:rsidRPr="00FD7592" w:rsidRDefault="00DD077E" w:rsidP="00356EB3">
            <w:pPr>
              <w:spacing w:line="480" w:lineRule="auto"/>
            </w:pPr>
            <w:r>
              <w:fldChar w:fldCharType="begin" w:fldLock="1"/>
            </w:r>
            <w:r>
              <w:instrText>ADDIN CSL_CITATION {"citationItems":[{"id":"ITEM-1","itemData":{"DOI":"10.1007/s11999-008-0366-5","ISBN":"1800:100,000","ISSN":"15281132","PMID":"18633684","abstract":"Malawi has a population of about 13 million people, 85% of whom live in rural areas. The gross national income per capita is US$620, with 42% of the people living on less than US$1 per day. The government per capita expenditure on health is US$5. Malawi has 266 doctors, of whom only nine are orthopaedic surgeons. To address the severe shortage of doctors, Malawi relies heavily on paramedical officers to provide the bulk of healthcare. Specialized orthopaedic clinical officers have been trained since 1985 and are deployed primarily in rural district hospitals to manage 80% to 90% of the orthopaedic workload in Malawi. They are trained in conservative management of most common traumatic and nontraumatic musculoskeletal conditions. Since the program began, 117 orthopaedic clinical officers have been trained, of whom 82 are in clinical practice. In 2002, Malawi began a local orthopaedic postgraduate program with an intake of one to two candidates per year. However, orthopaedic clinical officers will continue to be needed for the foreseeable future. Orthopaedic clinical officer training is a cost-effective way of providing trained healthcare workers to meet the orthopaedic needs of a country with very few doctors and even fewer orthopaedic surgeons. © 2008 The Association of Bone and Joint Surgeons.","author":[{"dropping-particle":"","family":"Mkandawire","given":"Nyengo","non-dropping-particle":"","parse-names":false,"suffix":""},{"dropping-particle":"","family":"Ngulube","given":"Christopher","non-dropping-particle":"","parse-names":false,"suffix":""},{"dropping-particle":"","family":"Lavy","given":"Christopher","non-dropping-particle":"","parse-names":false,"suffix":""}],"container-title":"Clinical Orthopaedics and Related Research","id":"ITEM-1","issue":"10","issued":{"date-parts":[["2008"]]},"page":"2385-2391","title":"Orthopaedic clinical officer program in Malawi: A model for providing orthopaedic care","type":"paper-conference","volume":"466"},"uris":["http://www.mendeley.com/documents/?uuid=b25baa12-bcec-36c3-a43d-1714a4da985e"]}],"mendeley":{"formattedCitation":"(Mkandawire, Ngulube, and Lavy 2008)","plainTextFormattedCitation":"(Mkandawire, Ngulube, and Lavy 2008)","previouslyFormattedCitation":"(Mkandawire, Ngulube, and Lavy 2008)"},"properties":{"noteIndex":0},"schema":"https://github.com/citation-style-language/schema/raw/master/csl-citation.json"}</w:instrText>
            </w:r>
            <w:r>
              <w:fldChar w:fldCharType="separate"/>
            </w:r>
            <w:r w:rsidRPr="00483819">
              <w:rPr>
                <w:noProof/>
              </w:rPr>
              <w:t>(Mkandawire, Ngulube, and Lavy 2008)</w:t>
            </w:r>
            <w:r>
              <w:fldChar w:fldCharType="end"/>
            </w:r>
          </w:p>
        </w:tc>
      </w:tr>
      <w:tr w:rsidR="00DD077E" w14:paraId="72039200" w14:textId="77777777" w:rsidTr="00356EB3">
        <w:tc>
          <w:tcPr>
            <w:tcW w:w="2187" w:type="dxa"/>
          </w:tcPr>
          <w:p w14:paraId="5196D51A" w14:textId="77777777" w:rsidR="00DD077E" w:rsidRDefault="00DD077E" w:rsidP="00356EB3">
            <w:pPr>
              <w:spacing w:line="480" w:lineRule="auto"/>
            </w:pPr>
            <w:r>
              <w:t>Atlanto-axial subluxation</w:t>
            </w:r>
          </w:p>
        </w:tc>
        <w:tc>
          <w:tcPr>
            <w:tcW w:w="1225" w:type="dxa"/>
          </w:tcPr>
          <w:p w14:paraId="227A1725" w14:textId="77777777" w:rsidR="00DD077E" w:rsidRDefault="00DD077E" w:rsidP="00356EB3">
            <w:pPr>
              <w:spacing w:line="480" w:lineRule="auto"/>
            </w:pPr>
            <w:r>
              <w:t>3</w:t>
            </w:r>
          </w:p>
        </w:tc>
        <w:tc>
          <w:tcPr>
            <w:tcW w:w="1034" w:type="dxa"/>
          </w:tcPr>
          <w:p w14:paraId="40D6B1F8" w14:textId="77777777" w:rsidR="00DD077E" w:rsidRDefault="00DD077E" w:rsidP="00356EB3">
            <w:pPr>
              <w:spacing w:line="480" w:lineRule="auto"/>
            </w:pPr>
            <w:r w:rsidRPr="00FD7592">
              <w:t>0.187</w:t>
            </w:r>
          </w:p>
        </w:tc>
        <w:tc>
          <w:tcPr>
            <w:tcW w:w="1772" w:type="dxa"/>
          </w:tcPr>
          <w:p w14:paraId="07765488" w14:textId="77777777" w:rsidR="00DD077E" w:rsidRPr="00FD7592" w:rsidRDefault="00DD077E" w:rsidP="00356EB3">
            <w:pPr>
              <w:spacing w:line="480" w:lineRule="auto"/>
            </w:pPr>
            <w:r>
              <w:t>Heal with time or minor surgery</w:t>
            </w:r>
          </w:p>
        </w:tc>
        <w:tc>
          <w:tcPr>
            <w:tcW w:w="1214" w:type="dxa"/>
          </w:tcPr>
          <w:p w14:paraId="6195AC49" w14:textId="77777777" w:rsidR="00DD077E" w:rsidRDefault="00DD077E" w:rsidP="00356EB3">
            <w:pPr>
              <w:spacing w:line="480" w:lineRule="auto"/>
            </w:pPr>
            <w:r>
              <w:t>42 days</w:t>
            </w:r>
          </w:p>
        </w:tc>
        <w:tc>
          <w:tcPr>
            <w:tcW w:w="1584" w:type="dxa"/>
          </w:tcPr>
          <w:p w14:paraId="45FF6647" w14:textId="77777777" w:rsidR="00DD077E" w:rsidRPr="00FD7592" w:rsidRDefault="00DD077E" w:rsidP="00356EB3">
            <w:pPr>
              <w:spacing w:line="480" w:lineRule="auto"/>
            </w:pPr>
            <w:r>
              <w:fldChar w:fldCharType="begin" w:fldLock="1"/>
            </w:r>
            <w:r>
              <w:instrText>ADDIN CSL_CITATION {"citationItems":[{"id":"ITEM-1","itemData":{"DOI":"10.1007/s11999-008-0366-5","ISBN":"1800:100,000","ISSN":"15281132","PMID":"18633684","abstract":"Malawi has a population of about 13 million people, 85% of whom live in rural areas. The gross national income per capita is US$620, with 42% of the people living on less than US$1 per day. The government per capita expenditure on health is US$5. Malawi has 266 doctors, of whom only nine are orthopaedic surgeons. To address the severe shortage of doctors, Malawi relies heavily on paramedical officers to provide the bulk of healthcare. Specialized orthopaedic clinical officers have been trained since 1985 and are deployed primarily in rural district hospitals to manage 80% to 90% of the orthopaedic workload in Malawi. They are trained in conservative management of most common traumatic and nontraumatic musculoskeletal conditions. Since the program began, 117 orthopaedic clinical officers have been trained, of whom 82 are in clinical practice. In 2002, Malawi began a local orthopaedic postgraduate program with an intake of one to two candidates per year. However, orthopaedic clinical officers will continue to be needed for the foreseeable future. Orthopaedic clinical officer training is a cost-effective way of providing trained healthcare workers to meet the orthopaedic needs of a country with very few doctors and even fewer orthopaedic surgeons. © 2008 The Association of Bone and Joint Surgeons.","author":[{"dropping-particle":"","family":"Mkandawire","given":"Nyengo","non-dropping-particle":"","parse-names":false,"suffix":""},{"dropping-particle":"","family":"Ngulube","given":"Christopher","non-dropping-particle":"","parse-names":false,"suffix":""},{"dropping-particle":"","family":"Lavy","given":"Christopher","non-dropping-particle":"","parse-names":false,"suffix":""}],"container-title":"Clinical Orthopaedics and Related Research","id":"ITEM-1","issue":"10","issued":{"date-parts":[["2008"]]},"page":"2385-2391","title":"Orthopaedic clinical officer program in Malawi: A model for providing orthopaedic care","type":"paper-conference","volume":"466"},"uris":["http://www.mendeley.com/documents/?uuid=b25baa12-bcec-36c3-a43d-1714a4da985e"]}],"mendeley":{"formattedCitation":"(Mkandawire, Ngulube, and Lavy 2008)","plainTextFormattedCitation":"(Mkandawire, Ngulube, and Lavy 2008)","previouslyFormattedCitation":"(Mkandawire, Ngulube, and Lavy 2008)"},"properties":{"noteIndex":0},"schema":"https://github.com/citation-style-language/schema/raw/master/csl-citation.json"}</w:instrText>
            </w:r>
            <w:r>
              <w:fldChar w:fldCharType="separate"/>
            </w:r>
            <w:r w:rsidRPr="00483819">
              <w:rPr>
                <w:noProof/>
              </w:rPr>
              <w:t>(Mkandawire, Ngulube, and Lavy 2008)</w:t>
            </w:r>
            <w:r>
              <w:fldChar w:fldCharType="end"/>
            </w:r>
          </w:p>
        </w:tc>
      </w:tr>
      <w:tr w:rsidR="00DD077E" w14:paraId="4A84ED78" w14:textId="77777777" w:rsidTr="00356EB3">
        <w:tc>
          <w:tcPr>
            <w:tcW w:w="2187" w:type="dxa"/>
          </w:tcPr>
          <w:p w14:paraId="0E04EC89" w14:textId="77777777" w:rsidR="00DD077E" w:rsidRDefault="00DD077E" w:rsidP="00356EB3">
            <w:pPr>
              <w:spacing w:line="480" w:lineRule="auto"/>
            </w:pPr>
            <w:r>
              <w:t>Laceration to the neck</w:t>
            </w:r>
          </w:p>
        </w:tc>
        <w:tc>
          <w:tcPr>
            <w:tcW w:w="1225" w:type="dxa"/>
          </w:tcPr>
          <w:p w14:paraId="6DF2F1D9" w14:textId="77777777" w:rsidR="00DD077E" w:rsidRDefault="00DD077E" w:rsidP="00356EB3">
            <w:pPr>
              <w:spacing w:line="480" w:lineRule="auto"/>
            </w:pPr>
            <w:r>
              <w:t>1</w:t>
            </w:r>
          </w:p>
        </w:tc>
        <w:tc>
          <w:tcPr>
            <w:tcW w:w="1034" w:type="dxa"/>
          </w:tcPr>
          <w:p w14:paraId="1C3506DF" w14:textId="77777777" w:rsidR="00DD077E" w:rsidRDefault="00DD077E" w:rsidP="00356EB3">
            <w:pPr>
              <w:spacing w:line="480" w:lineRule="auto"/>
            </w:pPr>
            <w:r w:rsidRPr="0051285B">
              <w:t>0.1</w:t>
            </w:r>
          </w:p>
        </w:tc>
        <w:tc>
          <w:tcPr>
            <w:tcW w:w="1772" w:type="dxa"/>
          </w:tcPr>
          <w:p w14:paraId="3955685D" w14:textId="77777777" w:rsidR="00DD077E" w:rsidRPr="0051285B" w:rsidRDefault="00DD077E" w:rsidP="00356EB3">
            <w:pPr>
              <w:spacing w:line="480" w:lineRule="auto"/>
            </w:pPr>
            <w:r>
              <w:t xml:space="preserve">Suture kit, tetanus vaccine </w:t>
            </w:r>
          </w:p>
        </w:tc>
        <w:tc>
          <w:tcPr>
            <w:tcW w:w="1214" w:type="dxa"/>
          </w:tcPr>
          <w:p w14:paraId="1C9178FA" w14:textId="77777777" w:rsidR="00DD077E" w:rsidRDefault="00DD077E" w:rsidP="00356EB3">
            <w:pPr>
              <w:spacing w:line="480" w:lineRule="auto"/>
            </w:pPr>
            <w:r>
              <w:t>7 days</w:t>
            </w:r>
          </w:p>
        </w:tc>
        <w:tc>
          <w:tcPr>
            <w:tcW w:w="1584" w:type="dxa"/>
          </w:tcPr>
          <w:p w14:paraId="13DAC359" w14:textId="77777777" w:rsidR="00DD077E" w:rsidRPr="0051285B" w:rsidRDefault="00DD077E" w:rsidP="00356EB3">
            <w:pPr>
              <w:spacing w:line="480" w:lineRule="auto"/>
            </w:pPr>
            <w:r>
              <w:t>Malawian treatment guidelines</w:t>
            </w:r>
          </w:p>
        </w:tc>
      </w:tr>
      <w:tr w:rsidR="00DD077E" w14:paraId="140FA765" w14:textId="77777777" w:rsidTr="00356EB3">
        <w:tc>
          <w:tcPr>
            <w:tcW w:w="2187" w:type="dxa"/>
          </w:tcPr>
          <w:p w14:paraId="68970103" w14:textId="77777777" w:rsidR="00DD077E" w:rsidRDefault="00DD077E" w:rsidP="00356EB3">
            <w:pPr>
              <w:spacing w:line="480" w:lineRule="auto"/>
            </w:pPr>
            <w:r>
              <w:t>Burn to the neck</w:t>
            </w:r>
          </w:p>
        </w:tc>
        <w:tc>
          <w:tcPr>
            <w:tcW w:w="1225" w:type="dxa"/>
          </w:tcPr>
          <w:p w14:paraId="040EC9ED" w14:textId="77777777" w:rsidR="00DD077E" w:rsidRDefault="00DD077E" w:rsidP="00356EB3">
            <w:pPr>
              <w:spacing w:line="480" w:lineRule="auto"/>
            </w:pPr>
            <w:r>
              <w:t>3</w:t>
            </w:r>
          </w:p>
        </w:tc>
        <w:tc>
          <w:tcPr>
            <w:tcW w:w="1034" w:type="dxa"/>
          </w:tcPr>
          <w:p w14:paraId="466549E9" w14:textId="77777777" w:rsidR="00DD077E" w:rsidRDefault="00DD077E" w:rsidP="00356EB3">
            <w:pPr>
              <w:spacing w:line="480" w:lineRule="auto"/>
            </w:pPr>
            <w:r w:rsidRPr="0051285B">
              <w:t>0.135</w:t>
            </w:r>
          </w:p>
        </w:tc>
        <w:tc>
          <w:tcPr>
            <w:tcW w:w="1772" w:type="dxa"/>
          </w:tcPr>
          <w:p w14:paraId="36D14E0E" w14:textId="77777777" w:rsidR="00DD077E" w:rsidRPr="0051285B" w:rsidRDefault="00DD077E" w:rsidP="00356EB3">
            <w:pPr>
              <w:spacing w:line="480" w:lineRule="auto"/>
            </w:pPr>
            <w:r w:rsidRPr="00837714">
              <w:t>Cetrimide 15% + chlorhexidine 1.5% solution</w:t>
            </w:r>
            <w:r>
              <w:t xml:space="preserve">, Paraffin dressing, </w:t>
            </w:r>
            <w:r w:rsidRPr="00837714">
              <w:t>ringer's lactate (Hartmann's solution)</w:t>
            </w:r>
            <w:r>
              <w:t>, tetanus vaccine</w:t>
            </w:r>
          </w:p>
        </w:tc>
        <w:tc>
          <w:tcPr>
            <w:tcW w:w="1214" w:type="dxa"/>
          </w:tcPr>
          <w:p w14:paraId="16AC43D5" w14:textId="77777777" w:rsidR="00DD077E" w:rsidRDefault="00DD077E" w:rsidP="00356EB3">
            <w:pPr>
              <w:spacing w:line="480" w:lineRule="auto"/>
            </w:pPr>
            <w:r>
              <w:t>28 days with treatment otherwise permanent</w:t>
            </w:r>
          </w:p>
        </w:tc>
        <w:tc>
          <w:tcPr>
            <w:tcW w:w="1584" w:type="dxa"/>
          </w:tcPr>
          <w:p w14:paraId="69B30690" w14:textId="77777777" w:rsidR="00DD077E" w:rsidRPr="0051285B" w:rsidRDefault="00DD077E" w:rsidP="00356EB3">
            <w:pPr>
              <w:spacing w:line="480" w:lineRule="auto"/>
            </w:pPr>
            <w:r>
              <w:t>Malawian treatment guidelines</w:t>
            </w:r>
          </w:p>
        </w:tc>
      </w:tr>
      <w:tr w:rsidR="00DD077E" w14:paraId="24B5B838" w14:textId="77777777" w:rsidTr="00356EB3">
        <w:tc>
          <w:tcPr>
            <w:tcW w:w="2187" w:type="dxa"/>
          </w:tcPr>
          <w:p w14:paraId="37958271" w14:textId="77777777" w:rsidR="00DD077E" w:rsidRDefault="00DD077E" w:rsidP="00356EB3">
            <w:pPr>
              <w:spacing w:line="480" w:lineRule="auto"/>
            </w:pPr>
            <w:r>
              <w:t>Fractured rib(s)</w:t>
            </w:r>
          </w:p>
        </w:tc>
        <w:tc>
          <w:tcPr>
            <w:tcW w:w="1225" w:type="dxa"/>
          </w:tcPr>
          <w:p w14:paraId="7DB9FE17" w14:textId="77777777" w:rsidR="00DD077E" w:rsidRDefault="00DD077E" w:rsidP="00356EB3">
            <w:pPr>
              <w:spacing w:line="480" w:lineRule="auto"/>
            </w:pPr>
            <w:r>
              <w:t>2</w:t>
            </w:r>
          </w:p>
        </w:tc>
        <w:tc>
          <w:tcPr>
            <w:tcW w:w="1034" w:type="dxa"/>
          </w:tcPr>
          <w:p w14:paraId="6355BEC6" w14:textId="77777777" w:rsidR="00DD077E" w:rsidRDefault="00DD077E" w:rsidP="00356EB3">
            <w:pPr>
              <w:spacing w:line="480" w:lineRule="auto"/>
            </w:pPr>
            <w:r w:rsidRPr="00FD7592">
              <w:t>0.187</w:t>
            </w:r>
          </w:p>
        </w:tc>
        <w:tc>
          <w:tcPr>
            <w:tcW w:w="1772" w:type="dxa"/>
          </w:tcPr>
          <w:p w14:paraId="6B84AD09" w14:textId="77777777" w:rsidR="00DD077E" w:rsidRPr="00FD7592" w:rsidRDefault="00DD077E" w:rsidP="00356EB3">
            <w:pPr>
              <w:spacing w:line="480" w:lineRule="auto"/>
            </w:pPr>
            <w:r>
              <w:t>Heal with time</w:t>
            </w:r>
          </w:p>
        </w:tc>
        <w:tc>
          <w:tcPr>
            <w:tcW w:w="1214" w:type="dxa"/>
          </w:tcPr>
          <w:p w14:paraId="5BEF1CD1" w14:textId="77777777" w:rsidR="00DD077E" w:rsidRDefault="00DD077E" w:rsidP="00356EB3">
            <w:pPr>
              <w:spacing w:line="480" w:lineRule="auto"/>
            </w:pPr>
            <w:r>
              <w:t>35 days</w:t>
            </w:r>
          </w:p>
        </w:tc>
        <w:tc>
          <w:tcPr>
            <w:tcW w:w="1584" w:type="dxa"/>
          </w:tcPr>
          <w:p w14:paraId="7F316326" w14:textId="77777777" w:rsidR="00DD077E" w:rsidRPr="00FD7592" w:rsidRDefault="00DD077E" w:rsidP="00356EB3">
            <w:pPr>
              <w:spacing w:line="480" w:lineRule="auto"/>
            </w:pPr>
            <w:r>
              <w:t>Assumed</w:t>
            </w:r>
          </w:p>
        </w:tc>
      </w:tr>
      <w:tr w:rsidR="00DD077E" w14:paraId="3A964845" w14:textId="77777777" w:rsidTr="00356EB3">
        <w:tc>
          <w:tcPr>
            <w:tcW w:w="2187" w:type="dxa"/>
          </w:tcPr>
          <w:p w14:paraId="6A69094B" w14:textId="77777777" w:rsidR="00DD077E" w:rsidRDefault="00DD077E" w:rsidP="00356EB3">
            <w:pPr>
              <w:spacing w:line="480" w:lineRule="auto"/>
            </w:pPr>
            <w:r>
              <w:t>Flail chest</w:t>
            </w:r>
          </w:p>
        </w:tc>
        <w:tc>
          <w:tcPr>
            <w:tcW w:w="1225" w:type="dxa"/>
          </w:tcPr>
          <w:p w14:paraId="5A9670FD" w14:textId="77777777" w:rsidR="00DD077E" w:rsidRDefault="00DD077E" w:rsidP="00356EB3">
            <w:pPr>
              <w:spacing w:line="480" w:lineRule="auto"/>
            </w:pPr>
            <w:r>
              <w:t>4</w:t>
            </w:r>
          </w:p>
        </w:tc>
        <w:tc>
          <w:tcPr>
            <w:tcW w:w="1034" w:type="dxa"/>
          </w:tcPr>
          <w:p w14:paraId="58798595" w14:textId="77777777" w:rsidR="00DD077E" w:rsidRDefault="00DD077E" w:rsidP="00356EB3">
            <w:pPr>
              <w:spacing w:line="480" w:lineRule="auto"/>
            </w:pPr>
            <w:r w:rsidRPr="00FD7592">
              <w:t>0.211</w:t>
            </w:r>
          </w:p>
        </w:tc>
        <w:tc>
          <w:tcPr>
            <w:tcW w:w="1772" w:type="dxa"/>
          </w:tcPr>
          <w:p w14:paraId="49067FA4" w14:textId="77777777" w:rsidR="00DD077E" w:rsidRPr="00FD7592" w:rsidRDefault="00DD077E" w:rsidP="00356EB3">
            <w:pPr>
              <w:spacing w:line="480" w:lineRule="auto"/>
            </w:pPr>
            <w:r>
              <w:t>Major surgery</w:t>
            </w:r>
          </w:p>
        </w:tc>
        <w:tc>
          <w:tcPr>
            <w:tcW w:w="1214" w:type="dxa"/>
          </w:tcPr>
          <w:p w14:paraId="195BA09B" w14:textId="77777777" w:rsidR="00DD077E" w:rsidRDefault="00DD077E" w:rsidP="00356EB3">
            <w:pPr>
              <w:spacing w:line="480" w:lineRule="auto"/>
            </w:pPr>
            <w:r>
              <w:t>365 days</w:t>
            </w:r>
          </w:p>
        </w:tc>
        <w:tc>
          <w:tcPr>
            <w:tcW w:w="1584" w:type="dxa"/>
          </w:tcPr>
          <w:p w14:paraId="6B2D0E9B" w14:textId="77777777" w:rsidR="00DD077E" w:rsidRPr="00FD7592" w:rsidRDefault="00DD077E" w:rsidP="00356EB3">
            <w:pPr>
              <w:spacing w:line="480" w:lineRule="auto"/>
            </w:pPr>
            <w:r>
              <w:fldChar w:fldCharType="begin" w:fldLock="1"/>
            </w:r>
            <w:r>
              <w:instrText>ADDIN CSL_CITATION {"citationItems":[{"id":"ITEM-1","itemData":{"DOI":"10.1016/S0020-1383(03)00290-0","ISSN":"00201383","PMID":"15037375","abstract":"The contribution of musculo skeletal trauma to morbidity and disability in developing countries is often underestimated. As Head of Department of Surgery and Orthopaedics for 3 years at a non-paying hospital in Malawi/East Africa (one of the least developed countries according to UNDP), I analysed my operation log book of 658 cases. Although there are many specific and local factors influencing the picture, the main problems of trauma care in rural Africa become evident. Based on personal experience views on non-operative versus operative fracture treatment, indications, quality control and training are presented. First world standards, equipment and implants of yesterday are often the only ones available but they scarcely meet the demands of clinical practice in developing countries. Contemporary state-of-the-art knowledge lacks most of its material basis to be successfully introduced. However, transforming it into \"appropriate technologies\" is most rewarding not only for the individual trauma surgeon, but for the wider community within orthopaedics. © 2003 Elsevier Ltd. All rights reserved.","author":[{"dropping-particle":"","family":"Bach","given":"O.","non-dropping-particle":"","parse-names":false,"suffix":""}],"container-title":"Injury","id":"ITEM-1","issue":"4","issued":{"date-parts":[["2004","4","1"]]},"page":"401-406","publisher":"Elsevier","title":"Musculo skeletal trauma in an East African public hospital","type":"article-journal","volume":"35"},"uris":["http://www.mendeley.com/documents/?uuid=ba458cc2-f9bf-3bdd-acf3-4bb5a5765a26"]}],"mendeley":{"formattedCitation":"(Bach 2004)","plainTextFormattedCitation":"(Bach 2004)","previouslyFormattedCitation":"(Bach 2004)"},"properties":{"noteIndex":0},"schema":"https://github.com/citation-style-language/schema/raw/master/csl-citation.json"}</w:instrText>
            </w:r>
            <w:r>
              <w:fldChar w:fldCharType="separate"/>
            </w:r>
            <w:r w:rsidRPr="00B36FAD">
              <w:rPr>
                <w:noProof/>
              </w:rPr>
              <w:t>(Bach 2004)</w:t>
            </w:r>
            <w:r>
              <w:fldChar w:fldCharType="end"/>
            </w:r>
          </w:p>
        </w:tc>
      </w:tr>
      <w:tr w:rsidR="00DD077E" w14:paraId="5E827B8B" w14:textId="77777777" w:rsidTr="00356EB3">
        <w:tc>
          <w:tcPr>
            <w:tcW w:w="2187" w:type="dxa"/>
          </w:tcPr>
          <w:p w14:paraId="325F5190" w14:textId="77777777" w:rsidR="00DD077E" w:rsidRDefault="00DD077E" w:rsidP="00356EB3">
            <w:pPr>
              <w:spacing w:line="480" w:lineRule="auto"/>
            </w:pPr>
            <w:r>
              <w:t>Chest wall bruises/haematoma</w:t>
            </w:r>
          </w:p>
        </w:tc>
        <w:tc>
          <w:tcPr>
            <w:tcW w:w="1225" w:type="dxa"/>
          </w:tcPr>
          <w:p w14:paraId="0DC8DAA1" w14:textId="77777777" w:rsidR="00DD077E" w:rsidRDefault="00DD077E" w:rsidP="00356EB3">
            <w:pPr>
              <w:spacing w:line="480" w:lineRule="auto"/>
            </w:pPr>
            <w:r>
              <w:t>1</w:t>
            </w:r>
          </w:p>
        </w:tc>
        <w:tc>
          <w:tcPr>
            <w:tcW w:w="1034" w:type="dxa"/>
          </w:tcPr>
          <w:p w14:paraId="6D7819BE" w14:textId="77777777" w:rsidR="00DD077E" w:rsidRDefault="00DD077E" w:rsidP="00356EB3">
            <w:pPr>
              <w:spacing w:line="480" w:lineRule="auto"/>
            </w:pPr>
            <w:r w:rsidRPr="00FD7592">
              <w:t>0.143</w:t>
            </w:r>
          </w:p>
        </w:tc>
        <w:tc>
          <w:tcPr>
            <w:tcW w:w="1772" w:type="dxa"/>
          </w:tcPr>
          <w:p w14:paraId="33808443" w14:textId="77777777" w:rsidR="00DD077E" w:rsidRPr="00FD7592" w:rsidRDefault="00DD077E" w:rsidP="00356EB3">
            <w:pPr>
              <w:spacing w:line="480" w:lineRule="auto"/>
            </w:pPr>
            <w:r>
              <w:t>Heal with time</w:t>
            </w:r>
          </w:p>
        </w:tc>
        <w:tc>
          <w:tcPr>
            <w:tcW w:w="1214" w:type="dxa"/>
          </w:tcPr>
          <w:p w14:paraId="645ECA17" w14:textId="77777777" w:rsidR="00DD077E" w:rsidRDefault="00DD077E" w:rsidP="00356EB3">
            <w:pPr>
              <w:spacing w:line="480" w:lineRule="auto"/>
            </w:pPr>
            <w:r>
              <w:t>14 days</w:t>
            </w:r>
          </w:p>
        </w:tc>
        <w:tc>
          <w:tcPr>
            <w:tcW w:w="1584" w:type="dxa"/>
          </w:tcPr>
          <w:p w14:paraId="237BC6B3" w14:textId="77777777" w:rsidR="00DD077E" w:rsidRPr="00FD7592" w:rsidRDefault="00DD077E" w:rsidP="00356EB3">
            <w:pPr>
              <w:spacing w:line="480" w:lineRule="auto"/>
            </w:pPr>
            <w:r>
              <w:t>Assumed</w:t>
            </w:r>
          </w:p>
        </w:tc>
      </w:tr>
      <w:tr w:rsidR="00DD077E" w14:paraId="55D909C2" w14:textId="77777777" w:rsidTr="00356EB3">
        <w:tc>
          <w:tcPr>
            <w:tcW w:w="2187" w:type="dxa"/>
          </w:tcPr>
          <w:p w14:paraId="4ECA7E61" w14:textId="77777777" w:rsidR="00DD077E" w:rsidRDefault="00DD077E" w:rsidP="00356EB3">
            <w:pPr>
              <w:spacing w:line="480" w:lineRule="auto"/>
            </w:pPr>
            <w:r>
              <w:lastRenderedPageBreak/>
              <w:t>Haemothorax</w:t>
            </w:r>
          </w:p>
        </w:tc>
        <w:tc>
          <w:tcPr>
            <w:tcW w:w="1225" w:type="dxa"/>
          </w:tcPr>
          <w:p w14:paraId="495F24E2" w14:textId="77777777" w:rsidR="00DD077E" w:rsidRDefault="00DD077E" w:rsidP="00356EB3">
            <w:pPr>
              <w:spacing w:line="480" w:lineRule="auto"/>
            </w:pPr>
            <w:r>
              <w:t>3</w:t>
            </w:r>
          </w:p>
        </w:tc>
        <w:tc>
          <w:tcPr>
            <w:tcW w:w="1034" w:type="dxa"/>
          </w:tcPr>
          <w:p w14:paraId="6216BD2E" w14:textId="77777777" w:rsidR="00DD077E" w:rsidRDefault="00DD077E" w:rsidP="00356EB3">
            <w:pPr>
              <w:spacing w:line="480" w:lineRule="auto"/>
            </w:pPr>
            <w:r w:rsidRPr="00FD7592">
              <w:t>0.143</w:t>
            </w:r>
          </w:p>
        </w:tc>
        <w:tc>
          <w:tcPr>
            <w:tcW w:w="1772" w:type="dxa"/>
          </w:tcPr>
          <w:p w14:paraId="1D6467B4" w14:textId="77777777" w:rsidR="00DD077E" w:rsidRPr="00FD7592" w:rsidRDefault="00DD077E" w:rsidP="00356EB3">
            <w:pPr>
              <w:spacing w:line="480" w:lineRule="auto"/>
            </w:pPr>
            <w:r>
              <w:t>Thoroscopy</w:t>
            </w:r>
          </w:p>
        </w:tc>
        <w:tc>
          <w:tcPr>
            <w:tcW w:w="1214" w:type="dxa"/>
          </w:tcPr>
          <w:p w14:paraId="2FEB1DA3" w14:textId="77777777" w:rsidR="00DD077E" w:rsidRDefault="00DD077E" w:rsidP="00356EB3">
            <w:pPr>
              <w:spacing w:line="480" w:lineRule="auto"/>
            </w:pPr>
            <w:r>
              <w:t>7 days if treated surgically, otherwise 14 days</w:t>
            </w:r>
          </w:p>
        </w:tc>
        <w:tc>
          <w:tcPr>
            <w:tcW w:w="1584" w:type="dxa"/>
          </w:tcPr>
          <w:p w14:paraId="69DCC75C" w14:textId="77777777" w:rsidR="00DD077E" w:rsidRPr="00FD7592" w:rsidRDefault="00DD077E" w:rsidP="00356EB3">
            <w:pPr>
              <w:spacing w:line="480" w:lineRule="auto"/>
            </w:pPr>
            <w:r>
              <w:t>Paediatric handbook for Malawi</w:t>
            </w:r>
          </w:p>
        </w:tc>
      </w:tr>
      <w:tr w:rsidR="00DD077E" w14:paraId="42BF7AEE" w14:textId="77777777" w:rsidTr="00356EB3">
        <w:tc>
          <w:tcPr>
            <w:tcW w:w="2187" w:type="dxa"/>
          </w:tcPr>
          <w:p w14:paraId="0258428E" w14:textId="77777777" w:rsidR="00DD077E" w:rsidRDefault="00DD077E" w:rsidP="00356EB3">
            <w:pPr>
              <w:spacing w:line="480" w:lineRule="auto"/>
            </w:pPr>
            <w:r>
              <w:t>Lung contusion</w:t>
            </w:r>
          </w:p>
        </w:tc>
        <w:tc>
          <w:tcPr>
            <w:tcW w:w="1225" w:type="dxa"/>
          </w:tcPr>
          <w:p w14:paraId="0EFDE45B" w14:textId="77777777" w:rsidR="00DD077E" w:rsidRDefault="00DD077E" w:rsidP="00356EB3">
            <w:pPr>
              <w:spacing w:line="480" w:lineRule="auto"/>
            </w:pPr>
            <w:r>
              <w:t>3</w:t>
            </w:r>
          </w:p>
        </w:tc>
        <w:tc>
          <w:tcPr>
            <w:tcW w:w="1034" w:type="dxa"/>
          </w:tcPr>
          <w:p w14:paraId="3D2E3554" w14:textId="77777777" w:rsidR="00DD077E" w:rsidRDefault="00DD077E" w:rsidP="00356EB3">
            <w:pPr>
              <w:spacing w:line="480" w:lineRule="auto"/>
            </w:pPr>
            <w:r w:rsidRPr="00FD7592">
              <w:t>0.205</w:t>
            </w:r>
          </w:p>
        </w:tc>
        <w:tc>
          <w:tcPr>
            <w:tcW w:w="1772" w:type="dxa"/>
          </w:tcPr>
          <w:p w14:paraId="30C09FD3" w14:textId="77777777" w:rsidR="00DD077E" w:rsidRPr="00FD7592" w:rsidRDefault="00DD077E" w:rsidP="00356EB3">
            <w:pPr>
              <w:spacing w:line="480" w:lineRule="auto"/>
            </w:pPr>
            <w:r>
              <w:t>Thoroscopy</w:t>
            </w:r>
          </w:p>
        </w:tc>
        <w:tc>
          <w:tcPr>
            <w:tcW w:w="1214" w:type="dxa"/>
          </w:tcPr>
          <w:p w14:paraId="68C01FFE" w14:textId="77777777" w:rsidR="00DD077E" w:rsidRDefault="00DD077E" w:rsidP="00356EB3">
            <w:pPr>
              <w:spacing w:line="480" w:lineRule="auto"/>
            </w:pPr>
            <w:r>
              <w:t>42 days with surgery, otherwise 84 days</w:t>
            </w:r>
          </w:p>
        </w:tc>
        <w:tc>
          <w:tcPr>
            <w:tcW w:w="1584" w:type="dxa"/>
          </w:tcPr>
          <w:p w14:paraId="2D9831E9" w14:textId="77777777" w:rsidR="00DD077E" w:rsidRPr="00FD7592" w:rsidRDefault="00DD077E" w:rsidP="00356EB3">
            <w:pPr>
              <w:spacing w:line="480" w:lineRule="auto"/>
            </w:pPr>
            <w:r>
              <w:t>Paediatric handbook for Malawi</w:t>
            </w:r>
          </w:p>
        </w:tc>
      </w:tr>
      <w:tr w:rsidR="00DD077E" w14:paraId="4D701EAB" w14:textId="77777777" w:rsidTr="00356EB3">
        <w:tc>
          <w:tcPr>
            <w:tcW w:w="2187" w:type="dxa"/>
          </w:tcPr>
          <w:p w14:paraId="46DBDAA5" w14:textId="77777777" w:rsidR="00DD077E" w:rsidRDefault="00DD077E" w:rsidP="00356EB3">
            <w:pPr>
              <w:spacing w:line="480" w:lineRule="auto"/>
            </w:pPr>
            <w:r>
              <w:t>Diaphragm rupture</w:t>
            </w:r>
          </w:p>
        </w:tc>
        <w:tc>
          <w:tcPr>
            <w:tcW w:w="1225" w:type="dxa"/>
          </w:tcPr>
          <w:p w14:paraId="7B5FD224" w14:textId="77777777" w:rsidR="00DD077E" w:rsidRDefault="00DD077E" w:rsidP="00356EB3">
            <w:pPr>
              <w:spacing w:line="480" w:lineRule="auto"/>
            </w:pPr>
            <w:r>
              <w:t>3</w:t>
            </w:r>
          </w:p>
        </w:tc>
        <w:tc>
          <w:tcPr>
            <w:tcW w:w="1034" w:type="dxa"/>
          </w:tcPr>
          <w:p w14:paraId="260DA5FE" w14:textId="77777777" w:rsidR="00DD077E" w:rsidRDefault="00DD077E" w:rsidP="00356EB3">
            <w:pPr>
              <w:spacing w:line="480" w:lineRule="auto"/>
            </w:pPr>
            <w:r w:rsidRPr="00FD7592">
              <w:t>0.205</w:t>
            </w:r>
          </w:p>
        </w:tc>
        <w:tc>
          <w:tcPr>
            <w:tcW w:w="1772" w:type="dxa"/>
          </w:tcPr>
          <w:p w14:paraId="74A5BEF0" w14:textId="77777777" w:rsidR="00DD077E" w:rsidRPr="00FD7592" w:rsidRDefault="00DD077E" w:rsidP="00356EB3">
            <w:pPr>
              <w:spacing w:line="480" w:lineRule="auto"/>
            </w:pPr>
            <w:r>
              <w:t>Thoroscopy</w:t>
            </w:r>
          </w:p>
        </w:tc>
        <w:tc>
          <w:tcPr>
            <w:tcW w:w="1214" w:type="dxa"/>
          </w:tcPr>
          <w:p w14:paraId="159AE9D6" w14:textId="77777777" w:rsidR="00DD077E" w:rsidRDefault="00DD077E" w:rsidP="00356EB3">
            <w:pPr>
              <w:spacing w:line="480" w:lineRule="auto"/>
            </w:pPr>
            <w:r>
              <w:t xml:space="preserve">42 days with surgery, otherwise 84 days </w:t>
            </w:r>
          </w:p>
        </w:tc>
        <w:tc>
          <w:tcPr>
            <w:tcW w:w="1584" w:type="dxa"/>
          </w:tcPr>
          <w:p w14:paraId="730978E7" w14:textId="77777777" w:rsidR="00DD077E" w:rsidRPr="00FD7592" w:rsidRDefault="00DD077E" w:rsidP="00356EB3">
            <w:pPr>
              <w:spacing w:line="480" w:lineRule="auto"/>
            </w:pPr>
            <w:r>
              <w:t>Paediatric handbook for Malawi</w:t>
            </w:r>
          </w:p>
        </w:tc>
      </w:tr>
      <w:tr w:rsidR="00DD077E" w14:paraId="0B574254" w14:textId="77777777" w:rsidTr="00356EB3">
        <w:tc>
          <w:tcPr>
            <w:tcW w:w="2187" w:type="dxa"/>
          </w:tcPr>
          <w:p w14:paraId="61555D90" w14:textId="77777777" w:rsidR="00DD077E" w:rsidRDefault="00DD077E" w:rsidP="00356EB3">
            <w:pPr>
              <w:spacing w:line="480" w:lineRule="auto"/>
            </w:pPr>
            <w:r>
              <w:t>Chest wall lacerations/avulsions</w:t>
            </w:r>
          </w:p>
        </w:tc>
        <w:tc>
          <w:tcPr>
            <w:tcW w:w="1225" w:type="dxa"/>
          </w:tcPr>
          <w:p w14:paraId="22F3362E" w14:textId="77777777" w:rsidR="00DD077E" w:rsidRDefault="00DD077E" w:rsidP="00356EB3">
            <w:pPr>
              <w:spacing w:line="480" w:lineRule="auto"/>
            </w:pPr>
            <w:r>
              <w:t>1</w:t>
            </w:r>
          </w:p>
        </w:tc>
        <w:tc>
          <w:tcPr>
            <w:tcW w:w="1034" w:type="dxa"/>
          </w:tcPr>
          <w:p w14:paraId="67724685" w14:textId="77777777" w:rsidR="00DD077E" w:rsidRDefault="00DD077E" w:rsidP="00356EB3">
            <w:pPr>
              <w:spacing w:line="480" w:lineRule="auto"/>
            </w:pPr>
            <w:r w:rsidRPr="00FD7592">
              <w:t>0.143</w:t>
            </w:r>
          </w:p>
        </w:tc>
        <w:tc>
          <w:tcPr>
            <w:tcW w:w="1772" w:type="dxa"/>
          </w:tcPr>
          <w:p w14:paraId="260844EB" w14:textId="77777777" w:rsidR="00DD077E" w:rsidRPr="00FD7592" w:rsidRDefault="00DD077E" w:rsidP="00356EB3">
            <w:pPr>
              <w:spacing w:line="480" w:lineRule="auto"/>
            </w:pPr>
            <w:r>
              <w:t>Thoroscopy</w:t>
            </w:r>
          </w:p>
        </w:tc>
        <w:tc>
          <w:tcPr>
            <w:tcW w:w="1214" w:type="dxa"/>
          </w:tcPr>
          <w:p w14:paraId="2648B4BA" w14:textId="77777777" w:rsidR="00DD077E" w:rsidRDefault="00DD077E" w:rsidP="00356EB3">
            <w:pPr>
              <w:spacing w:line="480" w:lineRule="auto"/>
            </w:pPr>
            <w:r>
              <w:t>14 days</w:t>
            </w:r>
          </w:p>
        </w:tc>
        <w:tc>
          <w:tcPr>
            <w:tcW w:w="1584" w:type="dxa"/>
          </w:tcPr>
          <w:p w14:paraId="4E4A16BD" w14:textId="77777777" w:rsidR="00DD077E" w:rsidRPr="00FD7592" w:rsidRDefault="00DD077E" w:rsidP="00356EB3">
            <w:pPr>
              <w:spacing w:line="480" w:lineRule="auto"/>
            </w:pPr>
            <w:r>
              <w:t>Paediatric handbook for Malawi</w:t>
            </w:r>
          </w:p>
        </w:tc>
      </w:tr>
      <w:tr w:rsidR="00DD077E" w14:paraId="2BACF774" w14:textId="77777777" w:rsidTr="00356EB3">
        <w:tc>
          <w:tcPr>
            <w:tcW w:w="2187" w:type="dxa"/>
          </w:tcPr>
          <w:p w14:paraId="2D98590C" w14:textId="77777777" w:rsidR="00DD077E" w:rsidRDefault="00DD077E" w:rsidP="00356EB3">
            <w:pPr>
              <w:spacing w:line="480" w:lineRule="auto"/>
            </w:pPr>
            <w:r>
              <w:t>Surgical emphysema</w:t>
            </w:r>
          </w:p>
        </w:tc>
        <w:tc>
          <w:tcPr>
            <w:tcW w:w="1225" w:type="dxa"/>
          </w:tcPr>
          <w:p w14:paraId="489CF49B" w14:textId="77777777" w:rsidR="00DD077E" w:rsidRDefault="00DD077E" w:rsidP="00356EB3">
            <w:pPr>
              <w:spacing w:line="480" w:lineRule="auto"/>
            </w:pPr>
            <w:r>
              <w:t>2</w:t>
            </w:r>
          </w:p>
        </w:tc>
        <w:tc>
          <w:tcPr>
            <w:tcW w:w="1034" w:type="dxa"/>
          </w:tcPr>
          <w:p w14:paraId="4860B094" w14:textId="77777777" w:rsidR="00DD077E" w:rsidRDefault="00DD077E" w:rsidP="00356EB3">
            <w:pPr>
              <w:spacing w:line="480" w:lineRule="auto"/>
            </w:pPr>
            <w:r w:rsidRPr="00FD7592">
              <w:t>0.164</w:t>
            </w:r>
          </w:p>
        </w:tc>
        <w:tc>
          <w:tcPr>
            <w:tcW w:w="1772" w:type="dxa"/>
          </w:tcPr>
          <w:p w14:paraId="4063088A" w14:textId="77777777" w:rsidR="00DD077E" w:rsidRPr="00FD7592" w:rsidRDefault="00DD077E" w:rsidP="00356EB3">
            <w:pPr>
              <w:spacing w:line="480" w:lineRule="auto"/>
            </w:pPr>
            <w:r>
              <w:t>Heal with time</w:t>
            </w:r>
          </w:p>
        </w:tc>
        <w:tc>
          <w:tcPr>
            <w:tcW w:w="1214" w:type="dxa"/>
          </w:tcPr>
          <w:p w14:paraId="324B69C1" w14:textId="77777777" w:rsidR="00DD077E" w:rsidRDefault="00DD077E" w:rsidP="00356EB3">
            <w:pPr>
              <w:spacing w:line="480" w:lineRule="auto"/>
            </w:pPr>
            <w:r>
              <w:t>14 days</w:t>
            </w:r>
          </w:p>
        </w:tc>
        <w:tc>
          <w:tcPr>
            <w:tcW w:w="1584" w:type="dxa"/>
          </w:tcPr>
          <w:p w14:paraId="1224DFDE" w14:textId="77777777" w:rsidR="00DD077E" w:rsidRPr="00FD7592" w:rsidRDefault="00DD077E" w:rsidP="00356EB3">
            <w:pPr>
              <w:spacing w:line="480" w:lineRule="auto"/>
            </w:pPr>
            <w:r>
              <w:t>Assumed</w:t>
            </w:r>
          </w:p>
        </w:tc>
      </w:tr>
      <w:tr w:rsidR="00DD077E" w14:paraId="229F8DCD" w14:textId="77777777" w:rsidTr="00356EB3">
        <w:tc>
          <w:tcPr>
            <w:tcW w:w="2187" w:type="dxa"/>
          </w:tcPr>
          <w:p w14:paraId="259DF2A3" w14:textId="77777777" w:rsidR="00DD077E" w:rsidRDefault="00DD077E" w:rsidP="00356EB3">
            <w:pPr>
              <w:spacing w:line="480" w:lineRule="auto"/>
            </w:pPr>
            <w:r>
              <w:t>Closed pneumothorax/ open pneumothorax</w:t>
            </w:r>
          </w:p>
        </w:tc>
        <w:tc>
          <w:tcPr>
            <w:tcW w:w="1225" w:type="dxa"/>
          </w:tcPr>
          <w:p w14:paraId="3772145B" w14:textId="77777777" w:rsidR="00DD077E" w:rsidRDefault="00DD077E" w:rsidP="00356EB3">
            <w:pPr>
              <w:spacing w:line="480" w:lineRule="auto"/>
            </w:pPr>
            <w:r>
              <w:t>3</w:t>
            </w:r>
          </w:p>
        </w:tc>
        <w:tc>
          <w:tcPr>
            <w:tcW w:w="1034" w:type="dxa"/>
          </w:tcPr>
          <w:p w14:paraId="2E83C94A" w14:textId="77777777" w:rsidR="00DD077E" w:rsidRDefault="00DD077E" w:rsidP="00356EB3">
            <w:pPr>
              <w:spacing w:line="480" w:lineRule="auto"/>
            </w:pPr>
            <w:r w:rsidRPr="00FD7592">
              <w:t>0.164</w:t>
            </w:r>
          </w:p>
        </w:tc>
        <w:tc>
          <w:tcPr>
            <w:tcW w:w="1772" w:type="dxa"/>
          </w:tcPr>
          <w:p w14:paraId="10CDFABF" w14:textId="77777777" w:rsidR="00DD077E" w:rsidRPr="00FD7592" w:rsidRDefault="00DD077E" w:rsidP="00356EB3">
            <w:pPr>
              <w:spacing w:line="480" w:lineRule="auto"/>
            </w:pPr>
            <w:r>
              <w:t>Thoroscopy</w:t>
            </w:r>
          </w:p>
        </w:tc>
        <w:tc>
          <w:tcPr>
            <w:tcW w:w="1214" w:type="dxa"/>
          </w:tcPr>
          <w:p w14:paraId="49192337" w14:textId="77777777" w:rsidR="00DD077E" w:rsidRDefault="00DD077E" w:rsidP="00356EB3">
            <w:pPr>
              <w:spacing w:line="480" w:lineRule="auto"/>
            </w:pPr>
            <w:r>
              <w:t>14 days</w:t>
            </w:r>
          </w:p>
        </w:tc>
        <w:tc>
          <w:tcPr>
            <w:tcW w:w="1584" w:type="dxa"/>
          </w:tcPr>
          <w:p w14:paraId="6468C6CD" w14:textId="77777777" w:rsidR="00DD077E" w:rsidRPr="00FD7592" w:rsidRDefault="00DD077E" w:rsidP="00356EB3">
            <w:pPr>
              <w:spacing w:line="480" w:lineRule="auto"/>
            </w:pPr>
            <w:r>
              <w:t>Paediatric handbook for Malawi</w:t>
            </w:r>
          </w:p>
        </w:tc>
      </w:tr>
      <w:tr w:rsidR="00DD077E" w14:paraId="16ED43F7" w14:textId="77777777" w:rsidTr="00356EB3">
        <w:tc>
          <w:tcPr>
            <w:tcW w:w="2187" w:type="dxa"/>
          </w:tcPr>
          <w:p w14:paraId="5E0FB774" w14:textId="77777777" w:rsidR="00DD077E" w:rsidRDefault="00DD077E" w:rsidP="00356EB3">
            <w:pPr>
              <w:spacing w:line="480" w:lineRule="auto"/>
            </w:pPr>
            <w:r>
              <w:t>Laceration to the thorax</w:t>
            </w:r>
          </w:p>
        </w:tc>
        <w:tc>
          <w:tcPr>
            <w:tcW w:w="1225" w:type="dxa"/>
          </w:tcPr>
          <w:p w14:paraId="1BFDD002" w14:textId="77777777" w:rsidR="00DD077E" w:rsidRDefault="00DD077E" w:rsidP="00356EB3">
            <w:pPr>
              <w:spacing w:line="480" w:lineRule="auto"/>
            </w:pPr>
            <w:r>
              <w:t>1</w:t>
            </w:r>
          </w:p>
        </w:tc>
        <w:tc>
          <w:tcPr>
            <w:tcW w:w="1034" w:type="dxa"/>
          </w:tcPr>
          <w:p w14:paraId="7321A1A8" w14:textId="77777777" w:rsidR="00DD077E" w:rsidRDefault="00DD077E" w:rsidP="00356EB3">
            <w:pPr>
              <w:spacing w:line="480" w:lineRule="auto"/>
            </w:pPr>
            <w:r w:rsidRPr="0051285B">
              <w:t>0.1</w:t>
            </w:r>
          </w:p>
        </w:tc>
        <w:tc>
          <w:tcPr>
            <w:tcW w:w="1772" w:type="dxa"/>
          </w:tcPr>
          <w:p w14:paraId="6C43AE6D" w14:textId="77777777" w:rsidR="00DD077E" w:rsidRPr="0051285B" w:rsidRDefault="00DD077E" w:rsidP="00356EB3">
            <w:pPr>
              <w:spacing w:line="480" w:lineRule="auto"/>
            </w:pPr>
            <w:r>
              <w:t xml:space="preserve">Suture kit, tetanus vaccine </w:t>
            </w:r>
          </w:p>
        </w:tc>
        <w:tc>
          <w:tcPr>
            <w:tcW w:w="1214" w:type="dxa"/>
          </w:tcPr>
          <w:p w14:paraId="7B878A4C" w14:textId="77777777" w:rsidR="00DD077E" w:rsidRDefault="00DD077E" w:rsidP="00356EB3">
            <w:pPr>
              <w:spacing w:line="480" w:lineRule="auto"/>
            </w:pPr>
            <w:r>
              <w:t>7 days</w:t>
            </w:r>
          </w:p>
        </w:tc>
        <w:tc>
          <w:tcPr>
            <w:tcW w:w="1584" w:type="dxa"/>
          </w:tcPr>
          <w:p w14:paraId="19D18BCF" w14:textId="77777777" w:rsidR="00DD077E" w:rsidRPr="0051285B" w:rsidRDefault="00DD077E" w:rsidP="00356EB3">
            <w:pPr>
              <w:spacing w:line="480" w:lineRule="auto"/>
            </w:pPr>
            <w:r>
              <w:t>Malawian treatment guidelines</w:t>
            </w:r>
          </w:p>
        </w:tc>
      </w:tr>
      <w:tr w:rsidR="00DD077E" w14:paraId="111EE910" w14:textId="77777777" w:rsidTr="00356EB3">
        <w:tc>
          <w:tcPr>
            <w:tcW w:w="2187" w:type="dxa"/>
          </w:tcPr>
          <w:p w14:paraId="27552450" w14:textId="77777777" w:rsidR="00DD077E" w:rsidRDefault="00DD077E" w:rsidP="00356EB3">
            <w:pPr>
              <w:spacing w:line="480" w:lineRule="auto"/>
            </w:pPr>
            <w:r>
              <w:lastRenderedPageBreak/>
              <w:t>Burn to the thorax</w:t>
            </w:r>
          </w:p>
        </w:tc>
        <w:tc>
          <w:tcPr>
            <w:tcW w:w="1225" w:type="dxa"/>
          </w:tcPr>
          <w:p w14:paraId="085ED2C7" w14:textId="77777777" w:rsidR="00DD077E" w:rsidRDefault="00DD077E" w:rsidP="00356EB3">
            <w:pPr>
              <w:spacing w:line="480" w:lineRule="auto"/>
            </w:pPr>
            <w:r>
              <w:t>3</w:t>
            </w:r>
          </w:p>
        </w:tc>
        <w:tc>
          <w:tcPr>
            <w:tcW w:w="1034" w:type="dxa"/>
          </w:tcPr>
          <w:p w14:paraId="38C8DB3C" w14:textId="77777777" w:rsidR="00DD077E" w:rsidRDefault="00DD077E" w:rsidP="00356EB3">
            <w:pPr>
              <w:spacing w:line="480" w:lineRule="auto"/>
            </w:pPr>
            <w:r w:rsidRPr="0051285B">
              <w:t>0.135</w:t>
            </w:r>
          </w:p>
        </w:tc>
        <w:tc>
          <w:tcPr>
            <w:tcW w:w="1772" w:type="dxa"/>
          </w:tcPr>
          <w:p w14:paraId="0C8F5674" w14:textId="77777777" w:rsidR="00DD077E" w:rsidRPr="0051285B" w:rsidRDefault="00DD077E" w:rsidP="00356EB3">
            <w:pPr>
              <w:spacing w:line="480" w:lineRule="auto"/>
            </w:pPr>
            <w:r w:rsidRPr="00837714">
              <w:t>Cetrimide 15% + chlorhexidine 1.5% solution</w:t>
            </w:r>
            <w:r>
              <w:t xml:space="preserve">, Paraffin dressing, </w:t>
            </w:r>
            <w:r w:rsidRPr="00837714">
              <w:t>ringer's lactate (Hartmann's solution)</w:t>
            </w:r>
            <w:r>
              <w:t>, tetanus vaccine</w:t>
            </w:r>
          </w:p>
        </w:tc>
        <w:tc>
          <w:tcPr>
            <w:tcW w:w="1214" w:type="dxa"/>
          </w:tcPr>
          <w:p w14:paraId="71F468D1" w14:textId="77777777" w:rsidR="00DD077E" w:rsidRDefault="00DD077E" w:rsidP="00356EB3">
            <w:pPr>
              <w:spacing w:line="480" w:lineRule="auto"/>
            </w:pPr>
            <w:r>
              <w:t>28 days with treatment otherwise permanent</w:t>
            </w:r>
          </w:p>
        </w:tc>
        <w:tc>
          <w:tcPr>
            <w:tcW w:w="1584" w:type="dxa"/>
          </w:tcPr>
          <w:p w14:paraId="48662179" w14:textId="77777777" w:rsidR="00DD077E" w:rsidRPr="0051285B" w:rsidRDefault="00DD077E" w:rsidP="00356EB3">
            <w:pPr>
              <w:spacing w:line="480" w:lineRule="auto"/>
            </w:pPr>
            <w:r>
              <w:t>Malawian treatment guidelines</w:t>
            </w:r>
          </w:p>
        </w:tc>
      </w:tr>
      <w:tr w:rsidR="00DD077E" w:rsidRPr="00374B11" w14:paraId="27B39E57" w14:textId="77777777" w:rsidTr="00356EB3">
        <w:tc>
          <w:tcPr>
            <w:tcW w:w="2187" w:type="dxa"/>
          </w:tcPr>
          <w:p w14:paraId="69DFD6F0" w14:textId="77777777" w:rsidR="00DD077E" w:rsidRDefault="00DD077E" w:rsidP="00356EB3">
            <w:pPr>
              <w:spacing w:line="480" w:lineRule="auto"/>
            </w:pPr>
            <w:r>
              <w:t>Injury to stomach/</w:t>
            </w:r>
          </w:p>
          <w:p w14:paraId="4B45A402" w14:textId="77777777" w:rsidR="00DD077E" w:rsidRDefault="00DD077E" w:rsidP="00356EB3">
            <w:pPr>
              <w:spacing w:line="480" w:lineRule="auto"/>
            </w:pPr>
            <w:r>
              <w:t>intestines/</w:t>
            </w:r>
          </w:p>
          <w:p w14:paraId="49B1AD01" w14:textId="77777777" w:rsidR="00DD077E" w:rsidRDefault="00DD077E" w:rsidP="00356EB3">
            <w:pPr>
              <w:spacing w:line="480" w:lineRule="auto"/>
            </w:pPr>
            <w:r>
              <w:t>colon</w:t>
            </w:r>
          </w:p>
        </w:tc>
        <w:tc>
          <w:tcPr>
            <w:tcW w:w="1225" w:type="dxa"/>
          </w:tcPr>
          <w:p w14:paraId="4046D5C2" w14:textId="77777777" w:rsidR="00DD077E" w:rsidRDefault="00DD077E" w:rsidP="00356EB3">
            <w:pPr>
              <w:spacing w:line="480" w:lineRule="auto"/>
            </w:pPr>
            <w:r>
              <w:t>2</w:t>
            </w:r>
          </w:p>
        </w:tc>
        <w:tc>
          <w:tcPr>
            <w:tcW w:w="1034" w:type="dxa"/>
          </w:tcPr>
          <w:p w14:paraId="78833782" w14:textId="77777777" w:rsidR="00DD077E" w:rsidRDefault="00DD077E" w:rsidP="00356EB3">
            <w:pPr>
              <w:spacing w:line="480" w:lineRule="auto"/>
            </w:pPr>
            <w:r w:rsidRPr="00FD7592">
              <w:t>0.182</w:t>
            </w:r>
          </w:p>
        </w:tc>
        <w:tc>
          <w:tcPr>
            <w:tcW w:w="1772" w:type="dxa"/>
          </w:tcPr>
          <w:p w14:paraId="5CF573BB" w14:textId="77777777" w:rsidR="00DD077E" w:rsidRPr="00FD7592" w:rsidRDefault="00DD077E" w:rsidP="00356EB3">
            <w:pPr>
              <w:spacing w:line="480" w:lineRule="auto"/>
            </w:pPr>
            <w:r w:rsidRPr="00B36FAD">
              <w:t>Laparotomy</w:t>
            </w:r>
          </w:p>
        </w:tc>
        <w:tc>
          <w:tcPr>
            <w:tcW w:w="1214" w:type="dxa"/>
          </w:tcPr>
          <w:p w14:paraId="4F65B05D" w14:textId="77777777" w:rsidR="00DD077E" w:rsidRDefault="00DD077E" w:rsidP="00356EB3">
            <w:pPr>
              <w:spacing w:line="480" w:lineRule="auto"/>
            </w:pPr>
            <w:r>
              <w:t>90 days</w:t>
            </w:r>
          </w:p>
        </w:tc>
        <w:tc>
          <w:tcPr>
            <w:tcW w:w="1584" w:type="dxa"/>
          </w:tcPr>
          <w:p w14:paraId="0B2BBB0D" w14:textId="77777777" w:rsidR="00DD077E" w:rsidRPr="004137CE" w:rsidRDefault="00DD077E" w:rsidP="00356EB3">
            <w:pPr>
              <w:spacing w:line="480" w:lineRule="auto"/>
            </w:pPr>
            <w:r>
              <w:fldChar w:fldCharType="begin" w:fldLock="1"/>
            </w:r>
            <w:r>
              <w:instrText>ADDIN CSL_CITATION {"citationItems":[{"id":"ITEM-1","itemData":{"DOI":"10.1308/003588407X209329","ISSN":"00358843","abstract":"Malawi is a poor country with few doctors. It has 21 district hospitals all of which have operating theatres but none of which has a permanent surgeon. It also has 4 central hospitals, each with one or more surgeons. Most district hospitals are manned by a single doctor and two or more paramedical clinical officers. All district and central hospitals were visited, and theatre logbooks analysed. All cases performed in 2003 were recorded. In 2003, a total of 48,696 surgical operations were recorded, of which 25,053 were performed in 21 district hospitals and 23,643 in 4 central hospitals. Caesarean section is the commonest major surgical procedure in district hospitals and is performed in approximately 2.8% of all births, compared to 22% in the UK. Very few major general surgical or orthopaedic procedures are carried out in district hospitals. This study underlines Malawi's need for more surgeons to be trained and retained.","author":[{"dropping-particle":"","family":"Lavy","given":"Chris","non-dropping-particle":"","parse-names":false,"suffix":""},{"dropping-particle":"","family":"Tindall","given":"Alistair","non-dropping-particle":"","parse-names":false,"suffix":""},{"dropping-particle":"","family":"Steinlechner","given":"Colin","non-dropping-particle":"","parse-names":false,"suffix":""},{"dropping-particle":"","family":"Mkandawire","given":"Nyengo","non-dropping-particle":"","parse-names":false,"suffix":""},{"dropping-particle":"","family":"Chimangeni","given":"Sandy","non-dropping-particle":"","parse-names":false,"suffix":""}],"container-title":"Annals of the Royal College of Surgeons of England","id":"ITEM-1","issue":"7","issued":{"date-parts":[["2007","10"]]},"page":"722-724","publisher":"Royal College of Surgeons of England","title":"Surgery in Malawi - A national survey of activity in rural and urban hospitals","type":"article-journal","volume":"89"},"uris":["http://www.mendeley.com/documents/?uuid=49b3b33c-3bf8-3a11-abed-da1b3a0d17fc"]},{"id":"ITEM-2","itemData":{"DOI":"10.4314/mmj.v30i2.5","ISSN":"19957270","PMID":"30627333","abstract":"Background Nutritional status in patients undergoing surgery can influence their immune function, tissue repair and, hence, clinical outcomes. This study aimed to assess the perioperative nutrition and postoperative outcome of patients undergoing laparotomy at a tertiary hospital in Malawi. Methods A total of 25 patients were included in this prospective, observational study. The Subjective Global Assessment was used to classify each patient according to nutritional status. Handgrip strength was measured for each patient preoperatively and at day 3 postoperatively. Anthropometric measurements were also done. Protein and energy requirements for each participant were estimated and compared to the quantities provided by the hospital diet. Patients were followed up until discharge and outcome variables which included length of hospital stay and wound dehiscence or infectious complications were recorded. Results Of the study participants, 20% were well-nourished, 52% were moderately malnourished and 28% were severely malnourished. The median handgrip strength decreased at day 3 postoperatively from the preoperative handgrip strength. Well-nourished patients had higher handgrip strength than malnourished patients both preoperatively and postoperatively. Total energy and protein provided by the hospital diet were significantly lower than the estimated requirements for the patients. Severely malnourished patients had increased median length of hospital stay and increased rate of postoperative complications. Preoperative and postoperative day 3 handgrip strength correlated negatively with the number of postoperative complications and length of hospital stay. Conclusion This study showed high rates of malnutrition and inadequate in-hospital nutritional support which were associated with poor clinical outcomes, especially in severely malnourished patients. Proper nutritional assessment and provision of adequate nutritional support should be reinforced in surgical patients to promote favourable clinical outcomes postoperatively. Further studies with larger sample sizes in other patient p</w:instrText>
            </w:r>
            <w:r w:rsidRPr="004137CE">
              <w:instrText>opulations and hospitals in Malawi are required in this area.","author":[{"dropping-particle":"","family":"Katundu","given":"Kondwani G.H.","non-dropping-particle":"","parse-names":false,"suffix":""},{"dropping-particle":"","family":"Mutafya","given":"Timothy W.","non-dropping-particle":"","parse-names":false,"suffix":""},{"dropping-particle":"","family":"Lozani","given":"Noel C.","non-dropping-particle":"","parse-names":false,"suffix":""},{"dropping-particle":"","family":"Nyirongo","given":"Patrick M.","non-dropping-particle":"","parse-names":false,"suffix":""},{"dropping-particle":"","family":"Uebele","given":"Molly E.","non-dropping-particle":"","parse-names":false,"suffix":""}],"container-title":"Malawi Medical Journal","id":"ITEM-2","issue":"2","issued":{"date-parts":[["2018","6","1"]]},"page":"79-85","publisher":"Malawi Medical Journal","title":"An observational study of perioperative nutrition and postoperative outcomes in patients undergoing laparotomy at queen Elizabeth central hospital in Blantyre, Malawi","type":"article-journal","volume":"30"},"uris":["http://www.mendeley.com/documents/?uuid=9995ad97-aad5-3338-b816-3c2ebdc88f75"]}],"mendeley":{"formattedCitation":"(Lavy et al. 2007; Katundu et al. 2018)","plainTextFormattedCitation":"(Lavy et al. 2007; Katundu et al. 2018)","previouslyFormattedCitation":"(Lavy et al. 2007; Katundu et al. 2018)"},"properties":{"noteIndex":0},"schema":"https://github.com/citation-style-language/schema/raw/master/csl-citation.json"}</w:instrText>
            </w:r>
            <w:r>
              <w:fldChar w:fldCharType="separate"/>
            </w:r>
            <w:r w:rsidRPr="004137CE">
              <w:rPr>
                <w:noProof/>
              </w:rPr>
              <w:t>(Lavy et al. 2007; Katundu et al. 2018)</w:t>
            </w:r>
            <w:r>
              <w:fldChar w:fldCharType="end"/>
            </w:r>
          </w:p>
        </w:tc>
      </w:tr>
      <w:tr w:rsidR="00DD077E" w:rsidRPr="00374B11" w14:paraId="4F281D16" w14:textId="77777777" w:rsidTr="00356EB3">
        <w:tc>
          <w:tcPr>
            <w:tcW w:w="2187" w:type="dxa"/>
          </w:tcPr>
          <w:p w14:paraId="30CE476C" w14:textId="77777777" w:rsidR="00DD077E" w:rsidRPr="004137CE" w:rsidRDefault="00DD077E" w:rsidP="00356EB3">
            <w:pPr>
              <w:spacing w:line="480" w:lineRule="auto"/>
            </w:pPr>
            <w:r w:rsidRPr="004137CE">
              <w:t>Injury to spleen/</w:t>
            </w:r>
          </w:p>
          <w:p w14:paraId="7496CF93" w14:textId="77777777" w:rsidR="00DD077E" w:rsidRPr="004137CE" w:rsidRDefault="00DD077E" w:rsidP="00356EB3">
            <w:pPr>
              <w:spacing w:line="480" w:lineRule="auto"/>
            </w:pPr>
            <w:r w:rsidRPr="004137CE">
              <w:t>Urinary bladder/</w:t>
            </w:r>
          </w:p>
          <w:p w14:paraId="58A63655" w14:textId="77777777" w:rsidR="00DD077E" w:rsidRPr="004137CE" w:rsidRDefault="00DD077E" w:rsidP="00356EB3">
            <w:pPr>
              <w:spacing w:line="480" w:lineRule="auto"/>
            </w:pPr>
            <w:r w:rsidRPr="004137CE">
              <w:t>Liver/</w:t>
            </w:r>
          </w:p>
          <w:p w14:paraId="7B7F4580" w14:textId="77777777" w:rsidR="00DD077E" w:rsidRPr="004137CE" w:rsidRDefault="00DD077E" w:rsidP="00356EB3">
            <w:pPr>
              <w:spacing w:line="480" w:lineRule="auto"/>
            </w:pPr>
            <w:r w:rsidRPr="004137CE">
              <w:t>Urethra/</w:t>
            </w:r>
          </w:p>
          <w:p w14:paraId="5C9A2B8C" w14:textId="77777777" w:rsidR="00DD077E" w:rsidRPr="004137CE" w:rsidRDefault="00DD077E" w:rsidP="00356EB3">
            <w:pPr>
              <w:spacing w:line="480" w:lineRule="auto"/>
            </w:pPr>
            <w:r w:rsidRPr="004137CE">
              <w:t xml:space="preserve">Diaphragm </w:t>
            </w:r>
          </w:p>
        </w:tc>
        <w:tc>
          <w:tcPr>
            <w:tcW w:w="1225" w:type="dxa"/>
          </w:tcPr>
          <w:p w14:paraId="21857101" w14:textId="77777777" w:rsidR="00DD077E" w:rsidRPr="004137CE" w:rsidRDefault="00DD077E" w:rsidP="00356EB3">
            <w:pPr>
              <w:spacing w:line="480" w:lineRule="auto"/>
            </w:pPr>
            <w:r w:rsidRPr="004137CE">
              <w:t>3</w:t>
            </w:r>
          </w:p>
        </w:tc>
        <w:tc>
          <w:tcPr>
            <w:tcW w:w="1034" w:type="dxa"/>
          </w:tcPr>
          <w:p w14:paraId="174CF05C" w14:textId="77777777" w:rsidR="00DD077E" w:rsidRPr="004137CE" w:rsidRDefault="00DD077E" w:rsidP="00356EB3">
            <w:pPr>
              <w:spacing w:line="480" w:lineRule="auto"/>
            </w:pPr>
            <w:r w:rsidRPr="004137CE">
              <w:t>0.182</w:t>
            </w:r>
          </w:p>
        </w:tc>
        <w:tc>
          <w:tcPr>
            <w:tcW w:w="1772" w:type="dxa"/>
          </w:tcPr>
          <w:p w14:paraId="7DADA759" w14:textId="77777777" w:rsidR="00DD077E" w:rsidRPr="004137CE" w:rsidRDefault="00DD077E" w:rsidP="00356EB3">
            <w:pPr>
              <w:spacing w:line="480" w:lineRule="auto"/>
            </w:pPr>
            <w:r w:rsidRPr="004137CE">
              <w:t>Laparotomy</w:t>
            </w:r>
          </w:p>
        </w:tc>
        <w:tc>
          <w:tcPr>
            <w:tcW w:w="1214" w:type="dxa"/>
          </w:tcPr>
          <w:p w14:paraId="09FA0ECD" w14:textId="77777777" w:rsidR="00DD077E" w:rsidRDefault="00DD077E" w:rsidP="00356EB3">
            <w:pPr>
              <w:spacing w:line="480" w:lineRule="auto"/>
            </w:pPr>
            <w:r>
              <w:t>90 days</w:t>
            </w:r>
          </w:p>
        </w:tc>
        <w:tc>
          <w:tcPr>
            <w:tcW w:w="1584" w:type="dxa"/>
          </w:tcPr>
          <w:p w14:paraId="59167F8D" w14:textId="77777777" w:rsidR="00DD077E" w:rsidRPr="004137CE" w:rsidRDefault="00DD077E" w:rsidP="00356EB3">
            <w:pPr>
              <w:spacing w:line="480" w:lineRule="auto"/>
            </w:pPr>
            <w:r>
              <w:fldChar w:fldCharType="begin" w:fldLock="1"/>
            </w:r>
            <w:r w:rsidRPr="004137CE">
              <w:instrText>A</w:instrText>
            </w:r>
            <w:r>
              <w:instrText>DDIN CSL_CITATION {"citationItems":[{"id":"ITEM-1","itemData":{"DOI":"10.1308/003588407X209329","ISSN":"00358843","abstract":"Malawi is a poor country with few doctors. It has 21 district hospitals all of which have operating theatres but none of which has a permanent surgeon. It also has 4 central hospitals, each with one or more surgeons. Most district hospitals are manned by a single doctor and two or more paramedical clinical officers. All district and central hospitals were visited, and theatre logbooks analysed. All cases performed in 2003 were recorded. In 2003, a total of 48,696 surgical operations were recorded, of which 25,053 were performed in 21 district hospitals and 23,643 in 4 central hospitals. Caesarean section is the commonest major surgical procedure in district hospitals and is performed in approximately 2.8% of all births, compared to 22% in the UK. Very few major general surgical or orthopaedic procedures are carried out in district hospitals. This study underlines Malawi's need for more surgeons to be trained and retained.","author":[{"dropping-particle":"","family":"Lavy","given":"Chris","non-dropping-particle":"","parse-names":false,"suffix":""},{"dropping-particle":"","family":"Tindall","given":"Alistair","non-dropping-particle":"","parse-names":false,"suffix":""},{"dropping-particle":"","family":"Steinlechner","given":"Colin","non-dropping-particle":"","parse-names":false,"suffix":""},{"dropping-particle":"","family":"Mkandawire","given":"Nyengo","non-dropping-particle":"","parse-names":false,"suffix":""},{"dropping-particle":"","family":"Chimangeni","given":"Sandy","non-dropping-particle":"","parse-names":false,"suffix":""}],"container-title":"Annals of the Royal College of Surgeons of England","id":"ITEM-1","issue":"7","issued":{"date-parts":[["2007","10"]]},"page":"722-724","publisher":"Royal College of Surgeons of England","title":"Surgery in Malawi - A national survey of activity in rural and urban hospitals","type":"article-journal","volume":"89"},"uris":["http://www.mendeley.com/documents/?uuid=49b3b33c-3bf8-3a11-abed-da1b3a0d17fc"]},{"id":"ITEM-2","itemData":{"DOI":"10.4314/mmj.v30i2.5","ISSN":"19957270","PMID":"30627333","abstract":"Background Nutritional status in patients undergoing surgery can influence their immune function, tissue repair and, hence, clinical outcomes. This study aimed to assess the perioperative nutrition and postoperative outcome of patients undergoing laparotomy at a tertiary hospital in Malawi. Methods A total of 25 patients were included in this prospective, observational study. The Subjective Global Assessment was used to classify each patient according to nutritional status. Handgrip strength was measured for each patient preoperatively and at day 3 postoperatively. Anthropometric measurements were also done. Protein and energy requirements for each participant were estimated and compared to the quantities provided by the hospital diet. Patients were followed up until discharge and outcome variables which included length of hospital stay and wound dehiscence or infectious complications were recorded. Results Of the study participants, 20% were well-nourished, 52% were moderately malnourished and 28% were severely malnourished. The median handgrip strength decreased at day 3 postoperatively from the preoperative handgrip strength. Well-nourished patients had higher handgrip strength than malnourished patients both preoperatively and postoperatively. Total energy and protein provided by the hospital diet were significantly lower than the estimated requirements for the patients. Severely malnourished patients had increased median length of hospital stay and increased rate of postoperative complications. Preoperative and postoperative day 3 handgrip strength correlated negatively with the number of postoperative complications and length of hospital stay. Conclusion This study showed high rates of malnutrition and inadequate in-hospital nutritional support which were associated with poor clinical outcomes, especially in severely malnourished patients. Proper nutritional assessment and provision of adequate nutritional support should be reinforced in surgical patients to promote favourable clinical outcomes postoperatively. Further studies with larger sample sizes in other patient p</w:instrText>
            </w:r>
            <w:r w:rsidRPr="004137CE">
              <w:instrText>opulations and hospitals in Malawi are required in this area.","author":[{"dropping-particle":"","family":"Katundu","given":"Kondwani G.H.","non-dropping-particle":"","parse-names":false,"suffix":""},{"dropping-particle":"","family":"Mutafya","given":"Timothy W.","non-dropping-particle":"","parse-names":false,"suffix":""},{"dropping-particle":"","family":"Lozani","given":"Noel C.","non-dropping-particle":"","parse-names":false,"suffix":""},{"dropping-particle":"","family":"Nyirongo","given":"Patrick M.","non-dropping-particle":"","parse-names":false,"suffix":""},{"dropping-particle":"","family":"Uebele","given":"Molly E.","non-dropping-particle":"","parse-names":false,"suffix":""}],"container-title":"Malawi Medical Journal","id":"ITEM-2","issue":"2","issued":{"date-parts":[["2018","6","1"]]},"page":"79-85","publisher":"Malawi Medical Journal","title":"An observational study of perioperative nutrition and postoperative outcomes in patients undergoing laparotomy at queen Elizabeth central hospital in Blantyre, Malawi","type":"article-journal","volume":"30"},"uris":["http://www.mendeley.com/documents/?uuid=9995ad97-aad5-3338-b816-3c2ebdc88f75"]}],"mendeley":{"formattedCitation":"(Lavy et al. 2007; Katundu et al. 2018)","plainTextFormattedCitation":"(Lavy et al. 2007; Katundu et al. 2018)","previouslyFormattedCitation":"(Lavy et al. 2007; Katundu et al. 2018)"},"properties":{"noteIndex":0},"schema":"https://github.com/citation-style-language/schema/raw/master/csl-citation.json"}</w:instrText>
            </w:r>
            <w:r>
              <w:fldChar w:fldCharType="separate"/>
            </w:r>
            <w:r w:rsidRPr="004137CE">
              <w:rPr>
                <w:noProof/>
              </w:rPr>
              <w:t>(Lavy et al. 2007; Katundu et al. 2018)</w:t>
            </w:r>
            <w:r>
              <w:fldChar w:fldCharType="end"/>
            </w:r>
          </w:p>
        </w:tc>
      </w:tr>
      <w:tr w:rsidR="00DD077E" w:rsidRPr="00374B11" w14:paraId="01B5CCB9" w14:textId="77777777" w:rsidTr="00356EB3">
        <w:tc>
          <w:tcPr>
            <w:tcW w:w="2187" w:type="dxa"/>
          </w:tcPr>
          <w:p w14:paraId="50F0BF2A" w14:textId="77777777" w:rsidR="00DD077E" w:rsidRPr="004137CE" w:rsidRDefault="00DD077E" w:rsidP="00356EB3">
            <w:pPr>
              <w:spacing w:line="480" w:lineRule="auto"/>
            </w:pPr>
            <w:r w:rsidRPr="004137CE">
              <w:t>Injury to kidney</w:t>
            </w:r>
          </w:p>
        </w:tc>
        <w:tc>
          <w:tcPr>
            <w:tcW w:w="1225" w:type="dxa"/>
          </w:tcPr>
          <w:p w14:paraId="3EE296DC" w14:textId="77777777" w:rsidR="00DD077E" w:rsidRPr="004137CE" w:rsidRDefault="00DD077E" w:rsidP="00356EB3">
            <w:pPr>
              <w:spacing w:line="480" w:lineRule="auto"/>
            </w:pPr>
            <w:r w:rsidRPr="004137CE">
              <w:t>4</w:t>
            </w:r>
          </w:p>
        </w:tc>
        <w:tc>
          <w:tcPr>
            <w:tcW w:w="1034" w:type="dxa"/>
          </w:tcPr>
          <w:p w14:paraId="15C23F48" w14:textId="77777777" w:rsidR="00DD077E" w:rsidRPr="004137CE" w:rsidRDefault="00DD077E" w:rsidP="00356EB3">
            <w:pPr>
              <w:spacing w:line="480" w:lineRule="auto"/>
            </w:pPr>
            <w:r w:rsidRPr="004137CE">
              <w:t>0.182</w:t>
            </w:r>
          </w:p>
        </w:tc>
        <w:tc>
          <w:tcPr>
            <w:tcW w:w="1772" w:type="dxa"/>
          </w:tcPr>
          <w:p w14:paraId="580259F6" w14:textId="77777777" w:rsidR="00DD077E" w:rsidRPr="004137CE" w:rsidRDefault="00DD077E" w:rsidP="00356EB3">
            <w:pPr>
              <w:spacing w:line="480" w:lineRule="auto"/>
            </w:pPr>
            <w:r w:rsidRPr="004137CE">
              <w:t>Laparotomy</w:t>
            </w:r>
          </w:p>
        </w:tc>
        <w:tc>
          <w:tcPr>
            <w:tcW w:w="1214" w:type="dxa"/>
          </w:tcPr>
          <w:p w14:paraId="6D422408" w14:textId="77777777" w:rsidR="00DD077E" w:rsidRDefault="00DD077E" w:rsidP="00356EB3">
            <w:pPr>
              <w:spacing w:line="480" w:lineRule="auto"/>
            </w:pPr>
            <w:r>
              <w:t>90 days</w:t>
            </w:r>
          </w:p>
        </w:tc>
        <w:tc>
          <w:tcPr>
            <w:tcW w:w="1584" w:type="dxa"/>
          </w:tcPr>
          <w:p w14:paraId="1D6D35CD" w14:textId="77777777" w:rsidR="00DD077E" w:rsidRPr="004137CE" w:rsidRDefault="00DD077E" w:rsidP="00356EB3">
            <w:pPr>
              <w:spacing w:line="480" w:lineRule="auto"/>
            </w:pPr>
            <w:r>
              <w:fldChar w:fldCharType="begin" w:fldLock="1"/>
            </w:r>
            <w:r w:rsidRPr="004137CE">
              <w:instrText>ADDIN CSL_CITATION {"citationItems":[{"id":"IT</w:instrText>
            </w:r>
            <w:r>
              <w:instrText>EM-1","itemData":{"DOI":"10.1308/003588407X209329","ISSN":"00358843","abstract":"Malawi is a poor country with few doctors. It has 21 district hospitals all of which have operating theatres but none of which has a permanent surgeon. It also has 4 central hospitals, each with one or more surgeons. Most district hospitals are manned by a single doctor and two or more paramedical clinical officers. All district and central hospitals were visited, and theatre logbooks analysed. All cases performed in 2003 were recorded. In 2003, a total of 48,696 surgical operations were recorded, of which 25,053 were performed in 21 district hospitals and 23,643 in 4 central hospitals. Caesarean section is the commonest major surgical procedure in district hospitals and is performed in approximately 2.8% of all births, compared to 22% in the UK. Very few major general surgical or orthopaedic procedures are carried out in district hospitals. This study underlines Malawi's need for more surgeons to be trained and retained.","author":[{"dropping-particle":"","family":"Lavy","given":"Chris","non-dropping-particle":"","parse-names":false,"suffix":""},{"dropping-particle":"","family":"Tindall","given":"Alistair","non-dropping-particle":"","parse-names":false,"suffix":""},{"dropping-particle":"","family":"Steinlechner","given":"Colin","non-dropping-particle":"","parse-names":false,"suffix":""},{"dropping-particle":"","family":"Mkandawire","given":"Nyengo","non-dropping-particle":"","parse-names":false,"suffix":""},{"dropping-particle":"","family":"Chimangeni","given":"Sandy","non-dropping-particle":"","parse-names":false,"suffix":""}],"container-title":"Annals of the Royal College of Surgeons of England","id":"ITEM-1","issue":"7","issued":{"date-parts":[["2007","10"]]},"page":"722-724","publisher":"Royal College of Surgeons of England","title":"Surgery in Malawi - A national survey of activity in rural and urban hospitals","type":"article-journal","volume":"89"},"uris":["http://www.mendeley.com/documents/?uuid=49b3b33c-3bf8-3a11-abed-da1b3a0d17fc"]},{"id":"ITEM-2","itemData":{"DOI":"10.4314/mmj.v30i2.5","ISSN":"19957270","PMID":"30627333","abstract":"Background Nutritional status in patients undergoing surgery can influence their immune function, tissue repair and, hence, clinical outcomes. This study aimed to assess the perioperative nutrition and postoperative outcome of patients undergoing laparotomy at a tertiary hospital in Malawi. Methods A total of 25 patients were included in this prospective, observational study. The Subjective Global Assessment was used to classify each patient according to nutritional status. Handgrip strength was measured for each patient preoperatively and at day 3 postoperatively. Anthropometric measurements were also done. Protein and energy requirements for each participant were estimated and compared to the quantities provided by the hospital diet. Patients were followed up until discharge and outcome variables which included length of hospital stay and wound dehiscence or infectious complications were recorded. Results Of the study participants, 20% were well-nourished, 52% were moderately malnourished and 28% were severely malnourished. The median handgrip strength decreased at day 3 postoperatively from the preoperative handgrip strength. Well-nourished patients had higher handgrip strength than malnourished patients both preoperatively and postoperatively. Total energy and protein provided by the hospital diet were significantly lower than the estimated requirements for the patients. Severely malnourished patients had increased median length of hospital stay and increased rate of postoperative complications. Preoperative and postoperative day 3 handgrip strength correlated negatively with the number of postoperative complications and length of hospital stay. Conclusion This study showed high rates of malnutrition and inadequate in-hospital nutritional support which were associated with poor clinical outcomes, especially in severely malnourished patients. Proper nutritional assessment and provision of adequate nutritional support should be reinforced in surgical patients to promote favourable clinical outcomes postoperatively. Further studies with larger sample sizes in other patient p</w:instrText>
            </w:r>
            <w:r w:rsidRPr="004137CE">
              <w:instrText>opulations and hospitals in Malawi are required in this area.","author":[{"dropping-particle":"","family":"Katundu","given":"Kondwani G.H.","non-dropping-particle":"","parse-names":false,"suffix":""},{"dropping-particle":"","family":"Mutafya","given":"Timothy W.","non-dropping-particle":"","parse-names":false,"suffix":""},{"dropping-particle":"","family":"Lozani","given":"Noel C.","non-dropping-particle":"","parse-names":false,"suffix":""},{"dropping-particle":"","family":"Nyirongo","given":"Patrick M.","non-dropping-particle":"","parse-names":false,"suffix":""},{"dropping-particle":"","family":"Uebele","given":"Molly E.","non-dropping-particle":"","parse-names":false,"suffix":""}],"container-title":"Malawi Medical Journal","id":"ITEM-2","issue":"2","issued":{"date-parts":[["2018","6","1"]]},"page":"79-85","publisher":"Malawi Medical Journal","title":"An observational study of perioperative nutrition and postoperative outcomes in patients undergoing laparotomy at queen Elizabeth central hospital in Blantyre, Malawi","type":"article-journal","volume":"30"},"uris":["http://www.mendeley.com/documents/?uuid=9995ad97-aad5-3338-b816-3c2ebdc88f75"]}],"mendeley":{"formattedCitation":"(Lavy et al. 2007; Katundu et al. 2018)","plainTextFormattedCitation":"(Lavy et al. 2007; Katundu et al. 2018)","previouslyFormattedCitation":"(Lavy et al. 2007; Katundu et al. 2018)"},"properties":{"noteIndex":0},"schema":"https://github.com/citation-style-language/schema/raw/master/csl-citation.json"}</w:instrText>
            </w:r>
            <w:r>
              <w:fldChar w:fldCharType="separate"/>
            </w:r>
            <w:r w:rsidRPr="004137CE">
              <w:rPr>
                <w:noProof/>
              </w:rPr>
              <w:t>(Lavy et al. 2007; Katundu et al. 2018)</w:t>
            </w:r>
            <w:r>
              <w:fldChar w:fldCharType="end"/>
            </w:r>
          </w:p>
        </w:tc>
      </w:tr>
      <w:tr w:rsidR="00DD077E" w14:paraId="3791E7E3" w14:textId="77777777" w:rsidTr="00356EB3">
        <w:tc>
          <w:tcPr>
            <w:tcW w:w="2187" w:type="dxa"/>
          </w:tcPr>
          <w:p w14:paraId="367B811E" w14:textId="77777777" w:rsidR="00DD077E" w:rsidRPr="004137CE" w:rsidRDefault="00DD077E" w:rsidP="00356EB3">
            <w:pPr>
              <w:spacing w:line="480" w:lineRule="auto"/>
            </w:pPr>
            <w:r w:rsidRPr="004137CE">
              <w:t>Laceration to the abdomen</w:t>
            </w:r>
          </w:p>
        </w:tc>
        <w:tc>
          <w:tcPr>
            <w:tcW w:w="1225" w:type="dxa"/>
          </w:tcPr>
          <w:p w14:paraId="3B152050" w14:textId="77777777" w:rsidR="00DD077E" w:rsidRPr="004137CE" w:rsidRDefault="00DD077E" w:rsidP="00356EB3">
            <w:pPr>
              <w:spacing w:line="480" w:lineRule="auto"/>
            </w:pPr>
            <w:r w:rsidRPr="004137CE">
              <w:t>1</w:t>
            </w:r>
          </w:p>
        </w:tc>
        <w:tc>
          <w:tcPr>
            <w:tcW w:w="1034" w:type="dxa"/>
          </w:tcPr>
          <w:p w14:paraId="34856153" w14:textId="77777777" w:rsidR="00DD077E" w:rsidRPr="004137CE" w:rsidRDefault="00DD077E" w:rsidP="00356EB3">
            <w:pPr>
              <w:spacing w:line="480" w:lineRule="auto"/>
            </w:pPr>
            <w:r w:rsidRPr="004137CE">
              <w:t>0.1</w:t>
            </w:r>
          </w:p>
        </w:tc>
        <w:tc>
          <w:tcPr>
            <w:tcW w:w="1772" w:type="dxa"/>
          </w:tcPr>
          <w:p w14:paraId="7BF372D5" w14:textId="77777777" w:rsidR="00DD077E" w:rsidRPr="004137CE" w:rsidRDefault="00DD077E" w:rsidP="00356EB3">
            <w:pPr>
              <w:spacing w:line="480" w:lineRule="auto"/>
            </w:pPr>
            <w:r w:rsidRPr="004137CE">
              <w:t xml:space="preserve">Suture kit, tetanus vaccine </w:t>
            </w:r>
          </w:p>
        </w:tc>
        <w:tc>
          <w:tcPr>
            <w:tcW w:w="1214" w:type="dxa"/>
          </w:tcPr>
          <w:p w14:paraId="458952BC" w14:textId="77777777" w:rsidR="00DD077E" w:rsidRPr="004137CE" w:rsidRDefault="00DD077E" w:rsidP="00356EB3">
            <w:pPr>
              <w:spacing w:line="480" w:lineRule="auto"/>
            </w:pPr>
            <w:r>
              <w:t>7 days</w:t>
            </w:r>
          </w:p>
        </w:tc>
        <w:tc>
          <w:tcPr>
            <w:tcW w:w="1584" w:type="dxa"/>
          </w:tcPr>
          <w:p w14:paraId="4037CBCA" w14:textId="77777777" w:rsidR="00DD077E" w:rsidRPr="0051285B" w:rsidRDefault="00DD077E" w:rsidP="00356EB3">
            <w:pPr>
              <w:spacing w:line="480" w:lineRule="auto"/>
            </w:pPr>
            <w:r w:rsidRPr="004137CE">
              <w:t>Malawian treatment gui</w:t>
            </w:r>
            <w:r>
              <w:t>delines</w:t>
            </w:r>
          </w:p>
        </w:tc>
      </w:tr>
      <w:tr w:rsidR="00DD077E" w14:paraId="0A22D0E7" w14:textId="77777777" w:rsidTr="00356EB3">
        <w:tc>
          <w:tcPr>
            <w:tcW w:w="2187" w:type="dxa"/>
          </w:tcPr>
          <w:p w14:paraId="7379D1B1" w14:textId="77777777" w:rsidR="00DD077E" w:rsidRDefault="00DD077E" w:rsidP="00356EB3">
            <w:pPr>
              <w:spacing w:line="480" w:lineRule="auto"/>
            </w:pPr>
            <w:r>
              <w:t>Burn to the abdomen</w:t>
            </w:r>
          </w:p>
        </w:tc>
        <w:tc>
          <w:tcPr>
            <w:tcW w:w="1225" w:type="dxa"/>
          </w:tcPr>
          <w:p w14:paraId="236E7886" w14:textId="77777777" w:rsidR="00DD077E" w:rsidRDefault="00DD077E" w:rsidP="00356EB3">
            <w:pPr>
              <w:spacing w:line="480" w:lineRule="auto"/>
            </w:pPr>
            <w:r>
              <w:t>3</w:t>
            </w:r>
          </w:p>
        </w:tc>
        <w:tc>
          <w:tcPr>
            <w:tcW w:w="1034" w:type="dxa"/>
          </w:tcPr>
          <w:p w14:paraId="60128505" w14:textId="77777777" w:rsidR="00DD077E" w:rsidRDefault="00DD077E" w:rsidP="00356EB3">
            <w:pPr>
              <w:spacing w:line="480" w:lineRule="auto"/>
            </w:pPr>
            <w:r w:rsidRPr="0051285B">
              <w:t>0.135</w:t>
            </w:r>
          </w:p>
        </w:tc>
        <w:tc>
          <w:tcPr>
            <w:tcW w:w="1772" w:type="dxa"/>
          </w:tcPr>
          <w:p w14:paraId="4185F093" w14:textId="77777777" w:rsidR="00DD077E" w:rsidRPr="0051285B" w:rsidRDefault="00DD077E" w:rsidP="00356EB3">
            <w:pPr>
              <w:spacing w:line="480" w:lineRule="auto"/>
            </w:pPr>
            <w:r w:rsidRPr="00837714">
              <w:t>Cetrimide 15% + chlorhexidine 1.5% solution</w:t>
            </w:r>
            <w:r>
              <w:t xml:space="preserve">, </w:t>
            </w:r>
            <w:r>
              <w:lastRenderedPageBreak/>
              <w:t xml:space="preserve">Paraffin dressing, </w:t>
            </w:r>
            <w:r w:rsidRPr="00837714">
              <w:t>ringer's lactate (Hartmann's solution)</w:t>
            </w:r>
            <w:r>
              <w:t>, tetanus vaccine</w:t>
            </w:r>
          </w:p>
        </w:tc>
        <w:tc>
          <w:tcPr>
            <w:tcW w:w="1214" w:type="dxa"/>
          </w:tcPr>
          <w:p w14:paraId="4A6B167C" w14:textId="77777777" w:rsidR="00DD077E" w:rsidRDefault="00DD077E" w:rsidP="00356EB3">
            <w:pPr>
              <w:spacing w:line="480" w:lineRule="auto"/>
            </w:pPr>
            <w:r>
              <w:lastRenderedPageBreak/>
              <w:t xml:space="preserve">28 days with treatment </w:t>
            </w:r>
            <w:r>
              <w:lastRenderedPageBreak/>
              <w:t>otherwise permanent</w:t>
            </w:r>
          </w:p>
        </w:tc>
        <w:tc>
          <w:tcPr>
            <w:tcW w:w="1584" w:type="dxa"/>
          </w:tcPr>
          <w:p w14:paraId="094A8025" w14:textId="77777777" w:rsidR="00DD077E" w:rsidRPr="0051285B" w:rsidRDefault="00DD077E" w:rsidP="00356EB3">
            <w:pPr>
              <w:spacing w:line="480" w:lineRule="auto"/>
            </w:pPr>
            <w:r>
              <w:lastRenderedPageBreak/>
              <w:t>Malawian treatment guidelines</w:t>
            </w:r>
          </w:p>
        </w:tc>
      </w:tr>
      <w:tr w:rsidR="00DD077E" w14:paraId="658A3078" w14:textId="77777777" w:rsidTr="00356EB3">
        <w:tc>
          <w:tcPr>
            <w:tcW w:w="2187" w:type="dxa"/>
          </w:tcPr>
          <w:p w14:paraId="74B4F000" w14:textId="77777777" w:rsidR="00DD077E" w:rsidRDefault="00DD077E" w:rsidP="00356EB3">
            <w:pPr>
              <w:spacing w:line="480" w:lineRule="auto"/>
            </w:pPr>
            <w:r>
              <w:t>Fracture vertebrae</w:t>
            </w:r>
          </w:p>
        </w:tc>
        <w:tc>
          <w:tcPr>
            <w:tcW w:w="1225" w:type="dxa"/>
          </w:tcPr>
          <w:p w14:paraId="5C683825" w14:textId="77777777" w:rsidR="00DD077E" w:rsidRDefault="00DD077E" w:rsidP="00356EB3">
            <w:pPr>
              <w:spacing w:line="480" w:lineRule="auto"/>
            </w:pPr>
            <w:r>
              <w:t>2</w:t>
            </w:r>
          </w:p>
        </w:tc>
        <w:tc>
          <w:tcPr>
            <w:tcW w:w="1034" w:type="dxa"/>
          </w:tcPr>
          <w:p w14:paraId="253EBEEE" w14:textId="77777777" w:rsidR="00DD077E" w:rsidRDefault="00DD077E" w:rsidP="00356EB3">
            <w:pPr>
              <w:spacing w:line="480" w:lineRule="auto"/>
            </w:pPr>
            <w:r w:rsidRPr="000126C8">
              <w:t>0.111</w:t>
            </w:r>
          </w:p>
        </w:tc>
        <w:tc>
          <w:tcPr>
            <w:tcW w:w="1772" w:type="dxa"/>
          </w:tcPr>
          <w:p w14:paraId="732F81FB" w14:textId="77777777" w:rsidR="00DD077E" w:rsidRPr="000126C8" w:rsidRDefault="00DD077E" w:rsidP="00356EB3">
            <w:pPr>
              <w:spacing w:line="480" w:lineRule="auto"/>
            </w:pPr>
            <w:r>
              <w:t>Heal with time</w:t>
            </w:r>
          </w:p>
        </w:tc>
        <w:tc>
          <w:tcPr>
            <w:tcW w:w="1214" w:type="dxa"/>
          </w:tcPr>
          <w:p w14:paraId="009A6C01" w14:textId="77777777" w:rsidR="00DD077E" w:rsidRDefault="00DD077E" w:rsidP="00356EB3">
            <w:pPr>
              <w:spacing w:line="480" w:lineRule="auto"/>
            </w:pPr>
            <w:r>
              <w:t>63 days</w:t>
            </w:r>
          </w:p>
        </w:tc>
        <w:tc>
          <w:tcPr>
            <w:tcW w:w="1584" w:type="dxa"/>
          </w:tcPr>
          <w:p w14:paraId="3F2E128B" w14:textId="77777777" w:rsidR="00DD077E" w:rsidRPr="000126C8" w:rsidRDefault="00DD077E" w:rsidP="00356EB3">
            <w:pPr>
              <w:spacing w:line="480" w:lineRule="auto"/>
            </w:pPr>
            <w:r>
              <w:t>Assumed</w:t>
            </w:r>
          </w:p>
        </w:tc>
      </w:tr>
      <w:tr w:rsidR="00DD077E" w14:paraId="7E078D3C" w14:textId="77777777" w:rsidTr="00356EB3">
        <w:tc>
          <w:tcPr>
            <w:tcW w:w="2187" w:type="dxa"/>
          </w:tcPr>
          <w:p w14:paraId="017245F6" w14:textId="77777777" w:rsidR="00DD077E" w:rsidRDefault="00DD077E" w:rsidP="00356EB3">
            <w:pPr>
              <w:spacing w:line="480" w:lineRule="auto"/>
            </w:pPr>
            <w:r>
              <w:t xml:space="preserve">Spinal cord injury at neck level </w:t>
            </w:r>
            <w:r w:rsidRPr="000126C8">
              <w:t>with</w:t>
            </w:r>
            <w:r>
              <w:t>out</w:t>
            </w:r>
            <w:r w:rsidRPr="000126C8">
              <w:t xml:space="preserve"> treatment</w:t>
            </w:r>
          </w:p>
        </w:tc>
        <w:tc>
          <w:tcPr>
            <w:tcW w:w="1225" w:type="dxa"/>
          </w:tcPr>
          <w:p w14:paraId="17F2A418" w14:textId="77777777" w:rsidR="00DD077E" w:rsidRDefault="00DD077E" w:rsidP="00356EB3">
            <w:pPr>
              <w:spacing w:line="480" w:lineRule="auto"/>
            </w:pPr>
            <w:r>
              <w:t>3, 4, 5, 6</w:t>
            </w:r>
          </w:p>
        </w:tc>
        <w:tc>
          <w:tcPr>
            <w:tcW w:w="1034" w:type="dxa"/>
          </w:tcPr>
          <w:p w14:paraId="528DE943" w14:textId="77777777" w:rsidR="00DD077E" w:rsidRPr="00FD7592" w:rsidRDefault="00DD077E" w:rsidP="00356EB3">
            <w:pPr>
              <w:spacing w:line="480" w:lineRule="auto"/>
            </w:pPr>
            <w:r>
              <w:t>0</w:t>
            </w:r>
            <w:r w:rsidRPr="000126C8">
              <w:t>.748</w:t>
            </w:r>
          </w:p>
        </w:tc>
        <w:tc>
          <w:tcPr>
            <w:tcW w:w="1772" w:type="dxa"/>
          </w:tcPr>
          <w:p w14:paraId="293A8BB1" w14:textId="77777777" w:rsidR="00DD077E" w:rsidRDefault="00DD077E" w:rsidP="00356EB3">
            <w:pPr>
              <w:spacing w:line="480" w:lineRule="auto"/>
            </w:pPr>
            <w:r>
              <w:t>No treatment provided</w:t>
            </w:r>
          </w:p>
        </w:tc>
        <w:tc>
          <w:tcPr>
            <w:tcW w:w="1214" w:type="dxa"/>
          </w:tcPr>
          <w:p w14:paraId="460DC716" w14:textId="77777777" w:rsidR="00DD077E" w:rsidRDefault="00DD077E" w:rsidP="00356EB3">
            <w:pPr>
              <w:spacing w:line="480" w:lineRule="auto"/>
            </w:pPr>
            <w:r>
              <w:t>Permanent</w:t>
            </w:r>
          </w:p>
        </w:tc>
        <w:tc>
          <w:tcPr>
            <w:tcW w:w="1584" w:type="dxa"/>
          </w:tcPr>
          <w:p w14:paraId="199B8344" w14:textId="77777777" w:rsidR="00DD077E" w:rsidRDefault="00DD077E" w:rsidP="00356EB3">
            <w:pPr>
              <w:spacing w:line="480" w:lineRule="auto"/>
            </w:pPr>
            <w:r>
              <w:fldChar w:fldCharType="begin" w:fldLock="1"/>
            </w:r>
            <w:r>
              <w:instrText>ADDIN CSL_CITATION {"citationItems":[{"id":"ITEM-1","itemData":{"DOI":"10.1177/0049475518808969","ISBN":"0049-4755","abstract":"Spinal cord injury (SCI) is relatively rare and affects an estimated 15-40 per 1 million people globally. All patients admitted from October 2016 to June 2017 at Kamuzu Central Hospital, Malawi with a spinal column injury were retrospectively studied. Out of 1442 patients, 46 had vertebral column injury, and half of these had neurological deficit. The most common mechanism of injury was road traffic crash (45.7%), and cervical SCIs were the most common (41.3%). The overall mortality was 15.2%, thus demonstrating devastating morbidity and mortality. Owing to the latter, and the relative lack of operative facilities, primary prevention remains the most effective way to attenuate the tragedy of SCIs.","author":[{"dropping-particle":"","family":"Eaton","given":"Jessica","non-dropping-particle":"","parse-names":false,"suffix":""},{"dropping-particle":"","family":"Mukuzunga","given":"Cornelius","non-dropping-particle":"","parse-names":false,"suffix":""},{"dropping-particle":"","family":"Grudziak","given":"Joanna","non-dropping-particle":"","parse-names":false,"suffix":""},{"dropping-particle":"","family":"Charles","given":"Anthony","non-dropping-particle":"","parse-names":false,"suffix":""}],"container-title":"Tropical Doctor","id":"ITEM-1","issue":"1","issued":{"date-parts":[["2019"]]},"page":"62-64","title":"Characteristics and outcomes of traumatic spinal cord injury in a low-resource setting","type":"article-journal","volume":"49"},"uris":["http://www.mendeley.com/documents/?uuid=63c96e65-6384-4e4f-aec4-70d5b37c49d2"]}],"mendeley":{"formattedCitation":"(Eaton et al. 2019)","plainTextFormattedCitation":"(Eaton et al. 2019)","previouslyFormattedCitation":"(Eaton et al. 2019)"},"properties":{"noteIndex":0},"schema":"https://github.com/citation-style-language/schema/raw/master/csl-citation.json"}</w:instrText>
            </w:r>
            <w:r>
              <w:fldChar w:fldCharType="separate"/>
            </w:r>
            <w:r w:rsidRPr="00BE2991">
              <w:rPr>
                <w:noProof/>
              </w:rPr>
              <w:t>(Eaton et al. 2019)</w:t>
            </w:r>
            <w:r>
              <w:fldChar w:fldCharType="end"/>
            </w:r>
          </w:p>
        </w:tc>
      </w:tr>
      <w:tr w:rsidR="00DD077E" w14:paraId="4CD24FC4" w14:textId="77777777" w:rsidTr="00356EB3">
        <w:tc>
          <w:tcPr>
            <w:tcW w:w="2187" w:type="dxa"/>
          </w:tcPr>
          <w:p w14:paraId="02C22638" w14:textId="77777777" w:rsidR="00DD077E" w:rsidRDefault="00DD077E" w:rsidP="00356EB3">
            <w:pPr>
              <w:spacing w:line="480" w:lineRule="auto"/>
            </w:pPr>
            <w:r>
              <w:t>Spinal cord injury below neck level without treatment</w:t>
            </w:r>
          </w:p>
        </w:tc>
        <w:tc>
          <w:tcPr>
            <w:tcW w:w="1225" w:type="dxa"/>
          </w:tcPr>
          <w:p w14:paraId="6D40E9B7" w14:textId="77777777" w:rsidR="00DD077E" w:rsidRDefault="00DD077E" w:rsidP="00356EB3">
            <w:pPr>
              <w:spacing w:line="480" w:lineRule="auto"/>
            </w:pPr>
            <w:r>
              <w:t>3, 4, 5</w:t>
            </w:r>
          </w:p>
        </w:tc>
        <w:tc>
          <w:tcPr>
            <w:tcW w:w="1034" w:type="dxa"/>
          </w:tcPr>
          <w:p w14:paraId="6E52F43C" w14:textId="77777777" w:rsidR="00DD077E" w:rsidRPr="000126C8" w:rsidRDefault="00DD077E" w:rsidP="00356EB3">
            <w:pPr>
              <w:spacing w:line="480" w:lineRule="auto"/>
            </w:pPr>
            <w:r w:rsidRPr="000126C8">
              <w:t>0.623</w:t>
            </w:r>
          </w:p>
        </w:tc>
        <w:tc>
          <w:tcPr>
            <w:tcW w:w="1772" w:type="dxa"/>
          </w:tcPr>
          <w:p w14:paraId="7F70A225" w14:textId="77777777" w:rsidR="00DD077E" w:rsidRPr="000126C8" w:rsidRDefault="00DD077E" w:rsidP="00356EB3">
            <w:pPr>
              <w:spacing w:line="480" w:lineRule="auto"/>
            </w:pPr>
            <w:r>
              <w:t>No treatment provided</w:t>
            </w:r>
          </w:p>
        </w:tc>
        <w:tc>
          <w:tcPr>
            <w:tcW w:w="1214" w:type="dxa"/>
          </w:tcPr>
          <w:p w14:paraId="1F096B7E" w14:textId="77777777" w:rsidR="00DD077E" w:rsidRDefault="00DD077E" w:rsidP="00356EB3">
            <w:pPr>
              <w:spacing w:line="480" w:lineRule="auto"/>
            </w:pPr>
            <w:r>
              <w:t>Permanent</w:t>
            </w:r>
          </w:p>
        </w:tc>
        <w:tc>
          <w:tcPr>
            <w:tcW w:w="1584" w:type="dxa"/>
          </w:tcPr>
          <w:p w14:paraId="476D729A" w14:textId="77777777" w:rsidR="00DD077E" w:rsidRPr="000126C8" w:rsidRDefault="00DD077E" w:rsidP="00356EB3">
            <w:pPr>
              <w:spacing w:line="480" w:lineRule="auto"/>
            </w:pPr>
            <w:r>
              <w:fldChar w:fldCharType="begin" w:fldLock="1"/>
            </w:r>
            <w:r>
              <w:instrText>ADDIN CSL_CITATION {"citationItems":[{"id":"ITEM-1","itemData":{"DOI":"10.1177/0049475518808969","ISBN":"0049-4755","abstract":"Spinal cord injury (SCI) is relatively rare and affects an estimated 15-40 per 1 million people globally. All patients admitted from October 2016 to June 2017 at Kamuzu Central Hospital, Malawi with a spinal column injury were retrospectively studied. Out of 1442 patients, 46 had vertebral column injury, and half of these had neurological deficit. The most common mechanism of injury was road traffic crash (45.7%), and cervical SCIs were the most common (41.3%). The overall mortality was 15.2%, thus demonstrating devastating morbidity and mortality. Owing to the latter, and the relative lack of operative facilities, primary prevention remains the most effective way to attenuate the tragedy of SCIs.","author":[{"dropping-particle":"","family":"Eaton","given":"Jessica","non-dropping-particle":"","parse-names":false,"suffix":""},{"dropping-particle":"","family":"Mukuzunga","given":"Cornelius","non-dropping-particle":"","parse-names":false,"suffix":""},{"dropping-particle":"","family":"Grudziak","given":"Joanna","non-dropping-particle":"","parse-names":false,"suffix":""},{"dropping-particle":"","family":"Charles","given":"Anthony","non-dropping-particle":"","parse-names":false,"suffix":""}],"container-title":"Tropical Doctor","id":"ITEM-1","issue":"1","issued":{"date-parts":[["2019"]]},"page":"62-64","title":"Characteristics and outcomes of traumatic spinal cord injury in a low-resource setting","type":"article-journal","volume":"49"},"uris":["http://www.mendeley.com/documents/?uuid=63c96e65-6384-4e4f-aec4-70d5b37c49d2"]}],"mendeley":{"formattedCitation":"(Eaton et al. 2019)","plainTextFormattedCitation":"(Eaton et al. 2019)","previouslyFormattedCitation":"(Eaton et al. 2019)"},"properties":{"noteIndex":0},"schema":"https://github.com/citation-style-language/schema/raw/master/csl-citation.json"}</w:instrText>
            </w:r>
            <w:r>
              <w:fldChar w:fldCharType="separate"/>
            </w:r>
            <w:r w:rsidRPr="00BE2991">
              <w:rPr>
                <w:noProof/>
              </w:rPr>
              <w:t>(Eaton et al. 2019)</w:t>
            </w:r>
            <w:r>
              <w:fldChar w:fldCharType="end"/>
            </w:r>
          </w:p>
        </w:tc>
      </w:tr>
      <w:tr w:rsidR="00DD077E" w14:paraId="65728577" w14:textId="77777777" w:rsidTr="00356EB3">
        <w:tc>
          <w:tcPr>
            <w:tcW w:w="2187" w:type="dxa"/>
          </w:tcPr>
          <w:p w14:paraId="3B4AF988" w14:textId="77777777" w:rsidR="00DD077E" w:rsidRDefault="00DD077E" w:rsidP="00356EB3">
            <w:pPr>
              <w:spacing w:line="480" w:lineRule="auto"/>
            </w:pPr>
            <w:r>
              <w:t>Fracture to Clavicle, scapula, humerus</w:t>
            </w:r>
          </w:p>
          <w:p w14:paraId="46539C64" w14:textId="77777777" w:rsidR="00DD077E" w:rsidRDefault="00DD077E" w:rsidP="00356EB3">
            <w:pPr>
              <w:spacing w:line="480" w:lineRule="auto"/>
            </w:pPr>
          </w:p>
        </w:tc>
        <w:tc>
          <w:tcPr>
            <w:tcW w:w="1225" w:type="dxa"/>
          </w:tcPr>
          <w:p w14:paraId="10A374D5" w14:textId="77777777" w:rsidR="00DD077E" w:rsidRDefault="00DD077E" w:rsidP="00356EB3">
            <w:pPr>
              <w:spacing w:line="480" w:lineRule="auto"/>
            </w:pPr>
            <w:r>
              <w:t>2</w:t>
            </w:r>
          </w:p>
        </w:tc>
        <w:tc>
          <w:tcPr>
            <w:tcW w:w="1034" w:type="dxa"/>
          </w:tcPr>
          <w:p w14:paraId="69C5D450" w14:textId="77777777" w:rsidR="00DD077E" w:rsidRDefault="00DD077E" w:rsidP="00356EB3">
            <w:pPr>
              <w:spacing w:line="480" w:lineRule="auto"/>
            </w:pPr>
            <w:r w:rsidRPr="000126C8">
              <w:t>0.035</w:t>
            </w:r>
          </w:p>
        </w:tc>
        <w:tc>
          <w:tcPr>
            <w:tcW w:w="1772" w:type="dxa"/>
          </w:tcPr>
          <w:p w14:paraId="656EDF18" w14:textId="77777777" w:rsidR="00DD077E" w:rsidRPr="000126C8" w:rsidRDefault="00DD077E" w:rsidP="00356EB3">
            <w:pPr>
              <w:spacing w:line="480" w:lineRule="auto"/>
            </w:pPr>
            <w:r>
              <w:t>Fracture casting</w:t>
            </w:r>
          </w:p>
        </w:tc>
        <w:tc>
          <w:tcPr>
            <w:tcW w:w="1214" w:type="dxa"/>
          </w:tcPr>
          <w:p w14:paraId="69719A58" w14:textId="77777777" w:rsidR="00DD077E" w:rsidRDefault="00DD077E" w:rsidP="00356EB3">
            <w:pPr>
              <w:spacing w:line="480" w:lineRule="auto"/>
            </w:pPr>
            <w:r>
              <w:t>49 days with treatment, 70 without</w:t>
            </w:r>
          </w:p>
        </w:tc>
        <w:tc>
          <w:tcPr>
            <w:tcW w:w="1584" w:type="dxa"/>
          </w:tcPr>
          <w:p w14:paraId="463B211F" w14:textId="77777777" w:rsidR="00DD077E" w:rsidRPr="000126C8" w:rsidRDefault="00DD077E" w:rsidP="00356EB3">
            <w:pPr>
              <w:spacing w:line="480" w:lineRule="auto"/>
            </w:pPr>
            <w:r>
              <w:fldChar w:fldCharType="begin" w:fldLock="1"/>
            </w:r>
            <w:r>
              <w:instrText>ADDIN CSL_CITATION {"citationItems":[{"id":"ITEM-1","itemData":{"DOI":"10.1371/journal.pone.0255052","ISBN":"1111111111","abstract":"Importance Injuries cause 30% more deaths than HIV, TB and malaria combined, and a prospective fracture care registry was established to investigate the fracture burden and treatment in Malawi to inform evidence-based improvements. Objective To use the analysis of prospectively-collected fracture data to develop evidence-based strategies to improve fracture care in Malawi and other similar settings.","author":[{"dropping-particle":"","family":"Thomas","given":"Alexander","non-dropping-particle":"","parse-names":false,"suffix":""},{"dropping-particle":"","family":"Id","given":"Schade","non-dropping-particle":"","parse-names":false,"suffix":""},{"dropping-particle":"","family":"Mbowuwa","given":"Foster","non-dropping-particle":"","parse-names":false,"suffix":""},{"dropping-particle":"","family":"Chidothi","given":"Paul","non-dropping-particle":"","parse-names":false,"suffix":""},{"dropping-particle":"","family":"Macpherson Id","given":"Peter","non-dropping-particle":"","parse-names":false,"suffix":""},{"dropping-particle":"","family":"Graham","given":"Simon Matthew","non-dropping-particle":"","parse-names":false,"suffix":""},{"dropping-particle":"","family":"Martin","given":"Claude","non-dropping-particle":"","parse-names":false,"suffix":""},{"dropping-particle":"","family":"Harrison","given":"William James","non-dropping-particle":"","parse-names":false,"suffix":""},{"dropping-particle":"","family":"Chokotho","given":"Linda","non-dropping-particle":"","parse-names":false,"suffix":""}],"id":"ITEM-1","issued":{"date-parts":[["2021"]]},"title":"Epidemiology of fractures and their treatment in Malawi: Results of a multicentre prospective registry study to guide orthopaedic care planning","type":"article-journal"},"uris":["http://www.mendeley.com/documents/?uuid=905950c9-0b5e-3a08-89f2-ce05b7df1b86"]}],"mendeley":{"formattedCitation":"(Thomas et al. 2021)","plainTextFormattedCitation":"(Thomas et al. 2021)","previouslyFormattedCitation":"(Thomas et al. 2021)"},"properties":{"noteIndex":0},"schema":"https://github.com/citation-style-language/schema/raw/master/csl-citation.json"}</w:instrText>
            </w:r>
            <w:r>
              <w:fldChar w:fldCharType="separate"/>
            </w:r>
            <w:r w:rsidRPr="007F64F1">
              <w:rPr>
                <w:noProof/>
              </w:rPr>
              <w:t>(Thomas et al. 2021)</w:t>
            </w:r>
            <w:r>
              <w:fldChar w:fldCharType="end"/>
            </w:r>
          </w:p>
        </w:tc>
      </w:tr>
      <w:tr w:rsidR="00DD077E" w14:paraId="6ED5CFDD" w14:textId="77777777" w:rsidTr="00356EB3">
        <w:tc>
          <w:tcPr>
            <w:tcW w:w="2187" w:type="dxa"/>
          </w:tcPr>
          <w:p w14:paraId="757712F3" w14:textId="77777777" w:rsidR="00DD077E" w:rsidRDefault="00DD077E" w:rsidP="00356EB3">
            <w:pPr>
              <w:spacing w:line="480" w:lineRule="auto"/>
            </w:pPr>
            <w:r>
              <w:t>Fracture to Hand/wrist short term with or without treatment</w:t>
            </w:r>
          </w:p>
        </w:tc>
        <w:tc>
          <w:tcPr>
            <w:tcW w:w="1225" w:type="dxa"/>
          </w:tcPr>
          <w:p w14:paraId="741EE39E" w14:textId="77777777" w:rsidR="00DD077E" w:rsidRDefault="00DD077E" w:rsidP="00356EB3">
            <w:pPr>
              <w:spacing w:line="480" w:lineRule="auto"/>
            </w:pPr>
            <w:r>
              <w:t>2</w:t>
            </w:r>
          </w:p>
        </w:tc>
        <w:tc>
          <w:tcPr>
            <w:tcW w:w="1034" w:type="dxa"/>
          </w:tcPr>
          <w:p w14:paraId="600F219A" w14:textId="77777777" w:rsidR="00DD077E" w:rsidRDefault="00DD077E" w:rsidP="00356EB3">
            <w:pPr>
              <w:spacing w:line="480" w:lineRule="auto"/>
            </w:pPr>
            <w:r w:rsidRPr="000126C8">
              <w:t>0.01</w:t>
            </w:r>
          </w:p>
        </w:tc>
        <w:tc>
          <w:tcPr>
            <w:tcW w:w="1772" w:type="dxa"/>
          </w:tcPr>
          <w:p w14:paraId="3F88FEDE" w14:textId="77777777" w:rsidR="00DD077E" w:rsidRPr="000126C8" w:rsidRDefault="00DD077E" w:rsidP="00356EB3">
            <w:pPr>
              <w:spacing w:line="480" w:lineRule="auto"/>
            </w:pPr>
            <w:r>
              <w:t>Fracture casting</w:t>
            </w:r>
          </w:p>
        </w:tc>
        <w:tc>
          <w:tcPr>
            <w:tcW w:w="1214" w:type="dxa"/>
          </w:tcPr>
          <w:p w14:paraId="05A65009" w14:textId="77777777" w:rsidR="00DD077E" w:rsidRDefault="00DD077E" w:rsidP="00356EB3">
            <w:pPr>
              <w:spacing w:line="480" w:lineRule="auto"/>
            </w:pPr>
            <w:r>
              <w:t>49 days with treatment, 70 without</w:t>
            </w:r>
          </w:p>
        </w:tc>
        <w:tc>
          <w:tcPr>
            <w:tcW w:w="1584" w:type="dxa"/>
          </w:tcPr>
          <w:p w14:paraId="58592463" w14:textId="77777777" w:rsidR="00DD077E" w:rsidRPr="000126C8" w:rsidRDefault="00DD077E" w:rsidP="00356EB3">
            <w:pPr>
              <w:spacing w:line="480" w:lineRule="auto"/>
            </w:pPr>
            <w:r>
              <w:fldChar w:fldCharType="begin" w:fldLock="1"/>
            </w:r>
            <w:r>
              <w:instrText>ADDIN CSL_CITATION {"citationItems":[{"id":"ITEM-1","itemData":{"DOI":"10.1371/journal.pone.0255052","ISBN":"1111111111","abstract":"Importance Injuries cause 30% more deaths than HIV, TB and malaria combined, and a prospective fracture care registry was established to investigate the fracture burden and treatment in Malawi to inform evidence-based improvements. Objective To use the analysis of prospectively-collected fracture data to develop evidence-based strategies to improve fracture care in Malawi and other similar settings.","author":[{"dropping-particle":"","family":"Thomas","given":"Alexander","non-dropping-particle":"","parse-names":false,"suffix":""},{"dropping-particle":"","family":"Id","given":"Schade","non-dropping-particle":"","parse-names":false,"suffix":""},{"dropping-particle":"","family":"Mbowuwa","given":"Foster","non-dropping-particle":"","parse-names":false,"suffix":""},{"dropping-particle":"","family":"Chidothi","given":"Paul","non-dropping-particle":"","parse-names":false,"suffix":""},{"dropping-particle":"","family":"Macpherson Id","given":"Peter","non-dropping-particle":"","parse-names":false,"suffix":""},{"dropping-particle":"","family":"Graham","given":"Simon Matthew","non-dropping-particle":"","parse-names":false,"suffix":""},{"dropping-particle":"","family":"Martin","given":"Claude","non-dropping-particle":"","parse-names":false,"suffix":""},{"dropping-particle":"","family":"Harrison","given":"William James","non-dropping-particle":"","parse-names":false,"suffix":""},{"dropping-particle":"","family":"Chokotho","given":"Linda","non-dropping-particle":"","parse-names":false,"suffix":""}],"id":"ITEM-1","issued":{"date-parts":[["2021"]]},"title":"Epidemiology of fractures and their treatment in Malawi: Results of a multicentre prospective registry study to guide orthopaedic care planning","type":"article-journal"},"uris":["http://www.mendeley.com/documents/?uuid=905950c9-0b5e-3a08-89f2-ce05b7df1b86"]}],"mendeley":{"formattedCitation":"(Thomas et al. 2021)","plainTextFormattedCitation":"(Thomas et al. 2021)","previouslyFormattedCitation":"(Thomas et al. 2021)"},"properties":{"noteIndex":0},"schema":"https://github.com/citation-style-language/schema/raw/master/csl-citation.json"}</w:instrText>
            </w:r>
            <w:r>
              <w:fldChar w:fldCharType="separate"/>
            </w:r>
            <w:r w:rsidRPr="007F64F1">
              <w:rPr>
                <w:noProof/>
              </w:rPr>
              <w:t>(Thomas et al. 2021)</w:t>
            </w:r>
            <w:r>
              <w:fldChar w:fldCharType="end"/>
            </w:r>
          </w:p>
        </w:tc>
      </w:tr>
      <w:tr w:rsidR="00DD077E" w14:paraId="4B27D2D4" w14:textId="77777777" w:rsidTr="00356EB3">
        <w:tc>
          <w:tcPr>
            <w:tcW w:w="2187" w:type="dxa"/>
          </w:tcPr>
          <w:p w14:paraId="1B9452B0" w14:textId="77777777" w:rsidR="00DD077E" w:rsidRDefault="00DD077E" w:rsidP="00356EB3">
            <w:pPr>
              <w:spacing w:line="480" w:lineRule="auto"/>
            </w:pPr>
            <w:r>
              <w:t>Fracture to Hand/wrist long term without treatment</w:t>
            </w:r>
          </w:p>
        </w:tc>
        <w:tc>
          <w:tcPr>
            <w:tcW w:w="1225" w:type="dxa"/>
          </w:tcPr>
          <w:p w14:paraId="2434F817" w14:textId="77777777" w:rsidR="00DD077E" w:rsidRDefault="00DD077E" w:rsidP="00356EB3">
            <w:pPr>
              <w:spacing w:line="480" w:lineRule="auto"/>
            </w:pPr>
            <w:r>
              <w:t>2</w:t>
            </w:r>
          </w:p>
        </w:tc>
        <w:tc>
          <w:tcPr>
            <w:tcW w:w="1034" w:type="dxa"/>
          </w:tcPr>
          <w:p w14:paraId="1F1E4F24" w14:textId="77777777" w:rsidR="00DD077E" w:rsidRPr="000126C8" w:rsidRDefault="00DD077E" w:rsidP="00356EB3">
            <w:pPr>
              <w:spacing w:line="480" w:lineRule="auto"/>
            </w:pPr>
            <w:r w:rsidRPr="000126C8">
              <w:t>0.014</w:t>
            </w:r>
          </w:p>
        </w:tc>
        <w:tc>
          <w:tcPr>
            <w:tcW w:w="1772" w:type="dxa"/>
          </w:tcPr>
          <w:p w14:paraId="68CEE82D" w14:textId="77777777" w:rsidR="00DD077E" w:rsidRPr="000126C8" w:rsidRDefault="00DD077E" w:rsidP="00356EB3">
            <w:pPr>
              <w:spacing w:line="480" w:lineRule="auto"/>
            </w:pPr>
            <w:r>
              <w:t>Fracture casting</w:t>
            </w:r>
          </w:p>
        </w:tc>
        <w:tc>
          <w:tcPr>
            <w:tcW w:w="1214" w:type="dxa"/>
          </w:tcPr>
          <w:p w14:paraId="64ADE6DA" w14:textId="77777777" w:rsidR="00DD077E" w:rsidRDefault="00DD077E" w:rsidP="00356EB3">
            <w:pPr>
              <w:spacing w:line="480" w:lineRule="auto"/>
            </w:pPr>
            <w:r>
              <w:t>49 days with treatment, 70 without</w:t>
            </w:r>
          </w:p>
        </w:tc>
        <w:tc>
          <w:tcPr>
            <w:tcW w:w="1584" w:type="dxa"/>
          </w:tcPr>
          <w:p w14:paraId="7E7E3799" w14:textId="77777777" w:rsidR="00DD077E" w:rsidRPr="000126C8" w:rsidRDefault="00DD077E" w:rsidP="00356EB3">
            <w:pPr>
              <w:spacing w:line="480" w:lineRule="auto"/>
            </w:pPr>
            <w:r>
              <w:fldChar w:fldCharType="begin" w:fldLock="1"/>
            </w:r>
            <w:r>
              <w:instrText>ADDIN CSL_CITATION {"citationItems":[{"id":"ITEM-1","itemData":{"DOI":"10.1371/journal.pone.0255052","ISBN":"1111111111","abstract":"Importance Injuries cause 30% more deaths than HIV, TB and malaria combined, and a prospective fracture care registry was established to investigate the fracture burden and treatment in Malawi to inform evidence-based improvements. Objective To use the analysis of prospectively-collected fracture data to develop evidence-based strategies to improve fracture care in Malawi and other similar settings.","author":[{"dropping-particle":"","family":"Thomas","given":"Alexander","non-dropping-particle":"","parse-names":false,"suffix":""},{"dropping-particle":"","family":"Id","given":"Schade","non-dropping-particle":"","parse-names":false,"suffix":""},{"dropping-particle":"","family":"Mbowuwa","given":"Foster","non-dropping-particle":"","parse-names":false,"suffix":""},{"dropping-particle":"","family":"Chidothi","given":"Paul","non-dropping-particle":"","parse-names":false,"suffix":""},{"dropping-particle":"","family":"Macpherson Id","given":"Peter","non-dropping-particle":"","parse-names":false,"suffix":""},{"dropping-particle":"","family":"Graham","given":"Simon Matthew","non-dropping-particle":"","parse-names":false,"suffix":""},{"dropping-particle":"","family":"Martin","given":"Claude","non-dropping-particle":"","parse-names":false,"suffix":""},{"dropping-particle":"","family":"Harrison","given":"William James","non-dropping-particle":"","parse-names":false,"suffix":""},{"dropping-particle":"","family":"Chokotho","given":"Linda","non-dropping-particle":"","parse-names":false,"suffix":""}],"id":"ITEM-1","issued":{"date-parts":[["2021"]]},"title":"Epidemiology of fractures and their treatment in Malawi: Results of a multicentre prospective registry study to guide orthopaedic care planning","type":"article-journal"},"uris":["http://www.mendeley.com/documents/?uuid=905950c9-0b5e-3a08-89f2-ce05b7df1b86"]}],"mendeley":{"formattedCitation":"(Thomas et al. 2021)","plainTextFormattedCitation":"(Thomas et al. 2021)","previouslyFormattedCitation":"(Thomas et al. 2021)"},"properties":{"noteIndex":0},"schema":"https://github.com/citation-style-language/schema/raw/master/csl-citation.json"}</w:instrText>
            </w:r>
            <w:r>
              <w:fldChar w:fldCharType="separate"/>
            </w:r>
            <w:r w:rsidRPr="007F64F1">
              <w:rPr>
                <w:noProof/>
              </w:rPr>
              <w:t>(Thomas et al. 2021)</w:t>
            </w:r>
            <w:r>
              <w:fldChar w:fldCharType="end"/>
            </w:r>
          </w:p>
        </w:tc>
      </w:tr>
      <w:tr w:rsidR="00DD077E" w14:paraId="77C4E2BB" w14:textId="77777777" w:rsidTr="00356EB3">
        <w:tc>
          <w:tcPr>
            <w:tcW w:w="2187" w:type="dxa"/>
          </w:tcPr>
          <w:p w14:paraId="51CFFEBC" w14:textId="77777777" w:rsidR="00DD077E" w:rsidRDefault="00DD077E" w:rsidP="00356EB3">
            <w:pPr>
              <w:spacing w:line="480" w:lineRule="auto"/>
            </w:pPr>
            <w:r>
              <w:lastRenderedPageBreak/>
              <w:t>Fracture to Radius/ulna short term with or without treatment</w:t>
            </w:r>
          </w:p>
        </w:tc>
        <w:tc>
          <w:tcPr>
            <w:tcW w:w="1225" w:type="dxa"/>
          </w:tcPr>
          <w:p w14:paraId="336C4578" w14:textId="77777777" w:rsidR="00DD077E" w:rsidRDefault="00DD077E" w:rsidP="00356EB3">
            <w:pPr>
              <w:spacing w:line="480" w:lineRule="auto"/>
            </w:pPr>
            <w:r>
              <w:t>2</w:t>
            </w:r>
          </w:p>
        </w:tc>
        <w:tc>
          <w:tcPr>
            <w:tcW w:w="1034" w:type="dxa"/>
          </w:tcPr>
          <w:p w14:paraId="5BB1D7E5" w14:textId="77777777" w:rsidR="00DD077E" w:rsidRDefault="00DD077E" w:rsidP="00356EB3">
            <w:pPr>
              <w:spacing w:line="480" w:lineRule="auto"/>
            </w:pPr>
            <w:r w:rsidRPr="000126C8">
              <w:t>0.028</w:t>
            </w:r>
          </w:p>
        </w:tc>
        <w:tc>
          <w:tcPr>
            <w:tcW w:w="1772" w:type="dxa"/>
          </w:tcPr>
          <w:p w14:paraId="50B45B16" w14:textId="77777777" w:rsidR="00DD077E" w:rsidRPr="000126C8" w:rsidRDefault="00DD077E" w:rsidP="00356EB3">
            <w:pPr>
              <w:spacing w:line="480" w:lineRule="auto"/>
            </w:pPr>
            <w:r>
              <w:t>Fracture casting</w:t>
            </w:r>
          </w:p>
        </w:tc>
        <w:tc>
          <w:tcPr>
            <w:tcW w:w="1214" w:type="dxa"/>
          </w:tcPr>
          <w:p w14:paraId="32172E3D" w14:textId="77777777" w:rsidR="00DD077E" w:rsidRDefault="00DD077E" w:rsidP="00356EB3">
            <w:pPr>
              <w:spacing w:line="480" w:lineRule="auto"/>
            </w:pPr>
            <w:r>
              <w:t>49 days with treatment, 70 without</w:t>
            </w:r>
          </w:p>
        </w:tc>
        <w:tc>
          <w:tcPr>
            <w:tcW w:w="1584" w:type="dxa"/>
          </w:tcPr>
          <w:p w14:paraId="3E55AC6F" w14:textId="77777777" w:rsidR="00DD077E" w:rsidRPr="000126C8" w:rsidRDefault="00DD077E" w:rsidP="00356EB3">
            <w:pPr>
              <w:spacing w:line="480" w:lineRule="auto"/>
            </w:pPr>
            <w:r>
              <w:fldChar w:fldCharType="begin" w:fldLock="1"/>
            </w:r>
            <w:r>
              <w:instrText>ADDIN CSL_CITATION {"citationItems":[{"id":"ITEM-1","itemData":{"DOI":"10.1371/journal.pone.0255052","ISBN":"1111111111","abstract":"Importance Injuries cause 30% more deaths than HIV, TB and malaria combined, and a prospective fracture care registry was established to investigate the fracture burden and treatment in Malawi to inform evidence-based improvements. Objective To use the analysis of prospectively-collected fracture data to develop evidence-based strategies to improve fracture care in Malawi and other similar settings.","author":[{"dropping-particle":"","family":"Thomas","given":"Alexander","non-dropping-particle":"","parse-names":false,"suffix":""},{"dropping-particle":"","family":"Id","given":"Schade","non-dropping-particle":"","parse-names":false,"suffix":""},{"dropping-particle":"","family":"Mbowuwa","given":"Foster","non-dropping-particle":"","parse-names":false,"suffix":""},{"dropping-particle":"","family":"Chidothi","given":"Paul","non-dropping-particle":"","parse-names":false,"suffix":""},{"dropping-particle":"","family":"Macpherson Id","given":"Peter","non-dropping-particle":"","parse-names":false,"suffix":""},{"dropping-particle":"","family":"Graham","given":"Simon Matthew","non-dropping-particle":"","parse-names":false,"suffix":""},{"dropping-particle":"","family":"Martin","given":"Claude","non-dropping-particle":"","parse-names":false,"suffix":""},{"dropping-particle":"","family":"Harrison","given":"William James","non-dropping-particle":"","parse-names":false,"suffix":""},{"dropping-particle":"","family":"Chokotho","given":"Linda","non-dropping-particle":"","parse-names":false,"suffix":""}],"id":"ITEM-1","issued":{"date-parts":[["2021"]]},"title":"Epidemiology of fractures and their treatment in Malawi: Results of a multicentre prospective registry study to guide orthopaedic care planning","type":"article-journal"},"uris":["http://www.mendeley.com/documents/?uuid=905950c9-0b5e-3a08-89f2-ce05b7df1b86"]}],"mendeley":{"formattedCitation":"(Thomas et al. 2021)","plainTextFormattedCitation":"(Thomas et al. 2021)","previouslyFormattedCitation":"(Thomas et al. 2021)"},"properties":{"noteIndex":0},"schema":"https://github.com/citation-style-language/schema/raw/master/csl-citation.json"}</w:instrText>
            </w:r>
            <w:r>
              <w:fldChar w:fldCharType="separate"/>
            </w:r>
            <w:r w:rsidRPr="007F64F1">
              <w:rPr>
                <w:noProof/>
              </w:rPr>
              <w:t>(Thomas et al. 2021)</w:t>
            </w:r>
            <w:r>
              <w:fldChar w:fldCharType="end"/>
            </w:r>
          </w:p>
        </w:tc>
      </w:tr>
      <w:tr w:rsidR="00DD077E" w14:paraId="692A4ED7" w14:textId="77777777" w:rsidTr="00356EB3">
        <w:tc>
          <w:tcPr>
            <w:tcW w:w="2187" w:type="dxa"/>
          </w:tcPr>
          <w:p w14:paraId="573B19EA" w14:textId="77777777" w:rsidR="00DD077E" w:rsidRDefault="00DD077E" w:rsidP="00356EB3">
            <w:pPr>
              <w:spacing w:line="480" w:lineRule="auto"/>
            </w:pPr>
            <w:r>
              <w:t>Fracture to Radius/ulna long term without treatment</w:t>
            </w:r>
          </w:p>
        </w:tc>
        <w:tc>
          <w:tcPr>
            <w:tcW w:w="1225" w:type="dxa"/>
          </w:tcPr>
          <w:p w14:paraId="115E1B20" w14:textId="77777777" w:rsidR="00DD077E" w:rsidRDefault="00DD077E" w:rsidP="00356EB3">
            <w:pPr>
              <w:spacing w:line="480" w:lineRule="auto"/>
            </w:pPr>
            <w:r>
              <w:t>2</w:t>
            </w:r>
          </w:p>
        </w:tc>
        <w:tc>
          <w:tcPr>
            <w:tcW w:w="1034" w:type="dxa"/>
          </w:tcPr>
          <w:p w14:paraId="62434A6D" w14:textId="77777777" w:rsidR="00DD077E" w:rsidRPr="000126C8" w:rsidRDefault="00DD077E" w:rsidP="00356EB3">
            <w:pPr>
              <w:spacing w:line="480" w:lineRule="auto"/>
            </w:pPr>
            <w:r w:rsidRPr="000126C8">
              <w:t>0.043</w:t>
            </w:r>
          </w:p>
        </w:tc>
        <w:tc>
          <w:tcPr>
            <w:tcW w:w="1772" w:type="dxa"/>
          </w:tcPr>
          <w:p w14:paraId="4A8B3374" w14:textId="77777777" w:rsidR="00DD077E" w:rsidRPr="000126C8" w:rsidRDefault="00DD077E" w:rsidP="00356EB3">
            <w:pPr>
              <w:spacing w:line="480" w:lineRule="auto"/>
            </w:pPr>
            <w:r>
              <w:t>Fracture casting</w:t>
            </w:r>
          </w:p>
        </w:tc>
        <w:tc>
          <w:tcPr>
            <w:tcW w:w="1214" w:type="dxa"/>
          </w:tcPr>
          <w:p w14:paraId="5941CCA5" w14:textId="77777777" w:rsidR="00DD077E" w:rsidRDefault="00DD077E" w:rsidP="00356EB3">
            <w:pPr>
              <w:spacing w:line="480" w:lineRule="auto"/>
            </w:pPr>
            <w:r>
              <w:t>49 days with treatment, 70 without</w:t>
            </w:r>
          </w:p>
        </w:tc>
        <w:tc>
          <w:tcPr>
            <w:tcW w:w="1584" w:type="dxa"/>
          </w:tcPr>
          <w:p w14:paraId="4C54B82C" w14:textId="77777777" w:rsidR="00DD077E" w:rsidRPr="000126C8" w:rsidRDefault="00DD077E" w:rsidP="00356EB3">
            <w:pPr>
              <w:spacing w:line="480" w:lineRule="auto"/>
            </w:pPr>
            <w:r>
              <w:fldChar w:fldCharType="begin" w:fldLock="1"/>
            </w:r>
            <w:r>
              <w:instrText>ADDIN CSL_CITATION {"citationItems":[{"id":"ITEM-1","itemData":{"DOI":"10.1371/journal.pone.0255052","ISBN":"1111111111","abstract":"Importance Injuries cause 30% more deaths than HIV, TB and malaria combined, and a prospective fracture care registry was established to investigate the fracture burden and treatment in Malawi to inform evidence-based improvements. Objective To use the analysis of prospectively-collected fracture data to develop evidence-based strategies to improve fracture care in Malawi and other similar settings.","author":[{"dropping-particle":"","family":"Thomas","given":"Alexander","non-dropping-particle":"","parse-names":false,"suffix":""},{"dropping-particle":"","family":"Id","given":"Schade","non-dropping-particle":"","parse-names":false,"suffix":""},{"dropping-particle":"","family":"Mbowuwa","given":"Foster","non-dropping-particle":"","parse-names":false,"suffix":""},{"dropping-particle":"","family":"Chidothi","given":"Paul","non-dropping-particle":"","parse-names":false,"suffix":""},{"dropping-particle":"","family":"Macpherson Id","given":"Peter","non-dropping-particle":"","parse-names":false,"suffix":""},{"dropping-particle":"","family":"Graham","given":"Simon Matthew","non-dropping-particle":"","parse-names":false,"suffix":""},{"dropping-particle":"","family":"Martin","given":"Claude","non-dropping-particle":"","parse-names":false,"suffix":""},{"dropping-particle":"","family":"Harrison","given":"William James","non-dropping-particle":"","parse-names":false,"suffix":""},{"dropping-particle":"","family":"Chokotho","given":"Linda","non-dropping-particle":"","parse-names":false,"suffix":""}],"id":"ITEM-1","issued":{"date-parts":[["2021"]]},"title":"Epidemiology of fractures and their treatment in Malawi: Results of a multicentre prospective registry study to guide orthopaedic care planning","type":"article-journal"},"uris":["http://www.mendeley.com/documents/?uuid=905950c9-0b5e-3a08-89f2-ce05b7df1b86"]}],"mendeley":{"formattedCitation":"(Thomas et al. 2021)","plainTextFormattedCitation":"(Thomas et al. 2021)","previouslyFormattedCitation":"(Thomas et al. 2021)"},"properties":{"noteIndex":0},"schema":"https://github.com/citation-style-language/schema/raw/master/csl-citation.json"}</w:instrText>
            </w:r>
            <w:r>
              <w:fldChar w:fldCharType="separate"/>
            </w:r>
            <w:r w:rsidRPr="007F64F1">
              <w:rPr>
                <w:noProof/>
              </w:rPr>
              <w:t>(Thomas et al. 2021)</w:t>
            </w:r>
            <w:r>
              <w:fldChar w:fldCharType="end"/>
            </w:r>
          </w:p>
        </w:tc>
      </w:tr>
      <w:tr w:rsidR="00DD077E" w14:paraId="60CA9A90" w14:textId="77777777" w:rsidTr="00356EB3">
        <w:tc>
          <w:tcPr>
            <w:tcW w:w="2187" w:type="dxa"/>
          </w:tcPr>
          <w:p w14:paraId="171F8CAA" w14:textId="77777777" w:rsidR="00DD077E" w:rsidRDefault="00DD077E" w:rsidP="00356EB3">
            <w:pPr>
              <w:spacing w:line="480" w:lineRule="auto"/>
            </w:pPr>
            <w:r>
              <w:t>Shoulder dislocation</w:t>
            </w:r>
          </w:p>
        </w:tc>
        <w:tc>
          <w:tcPr>
            <w:tcW w:w="1225" w:type="dxa"/>
          </w:tcPr>
          <w:p w14:paraId="30640138" w14:textId="77777777" w:rsidR="00DD077E" w:rsidRDefault="00DD077E" w:rsidP="00356EB3">
            <w:pPr>
              <w:spacing w:line="480" w:lineRule="auto"/>
            </w:pPr>
            <w:r>
              <w:t>2</w:t>
            </w:r>
          </w:p>
        </w:tc>
        <w:tc>
          <w:tcPr>
            <w:tcW w:w="1034" w:type="dxa"/>
          </w:tcPr>
          <w:p w14:paraId="078F824F" w14:textId="77777777" w:rsidR="00DD077E" w:rsidRDefault="00DD077E" w:rsidP="00356EB3">
            <w:pPr>
              <w:spacing w:line="480" w:lineRule="auto"/>
            </w:pPr>
            <w:r w:rsidRPr="000126C8">
              <w:t>0.062</w:t>
            </w:r>
          </w:p>
        </w:tc>
        <w:tc>
          <w:tcPr>
            <w:tcW w:w="1772" w:type="dxa"/>
          </w:tcPr>
          <w:p w14:paraId="2786D6AF" w14:textId="77777777" w:rsidR="00DD077E" w:rsidRPr="000126C8" w:rsidRDefault="00DD077E" w:rsidP="00356EB3">
            <w:pPr>
              <w:spacing w:line="480" w:lineRule="auto"/>
            </w:pPr>
            <w:r>
              <w:t>Minor surgery or given sling</w:t>
            </w:r>
          </w:p>
        </w:tc>
        <w:tc>
          <w:tcPr>
            <w:tcW w:w="1214" w:type="dxa"/>
          </w:tcPr>
          <w:p w14:paraId="7AE6C413" w14:textId="77777777" w:rsidR="00DD077E" w:rsidRDefault="00DD077E" w:rsidP="00356EB3">
            <w:pPr>
              <w:spacing w:line="480" w:lineRule="auto"/>
            </w:pPr>
            <w:r>
              <w:t>84 days</w:t>
            </w:r>
          </w:p>
        </w:tc>
        <w:tc>
          <w:tcPr>
            <w:tcW w:w="1584" w:type="dxa"/>
          </w:tcPr>
          <w:p w14:paraId="01FCF834" w14:textId="77777777" w:rsidR="00DD077E" w:rsidRPr="000126C8" w:rsidRDefault="00DD077E" w:rsidP="00356EB3">
            <w:pPr>
              <w:spacing w:line="480" w:lineRule="auto"/>
            </w:pPr>
            <w:r>
              <w:fldChar w:fldCharType="begin" w:fldLock="1"/>
            </w:r>
            <w:r>
              <w:instrText>ADDIN CSL_CITATION {"citationItems":[{"id":"ITEM-1","itemData":{"DOI":"10.1371/journal.pone.0255052","ISBN":"1111111111","abstract":"Importance Injuries cause 30% more deaths than HIV, TB and malaria combined, and a prospective fracture care registry was established to investigate the fracture burden and treatment in Malawi to inform evidence-based improvements. Objective To use the analysis of prospectively-collected fracture data to develop evidence-based strategies to improve fracture care in Malawi and other similar settings.","author":[{"dropping-particle":"","family":"Thomas","given":"Alexander","non-dropping-particle":"","parse-names":false,"suffix":""},{"dropping-particle":"","family":"Id","given":"Schade","non-dropping-particle":"","parse-names":false,"suffix":""},{"dropping-particle":"","family":"Mbowuwa","given":"Foster","non-dropping-particle":"","parse-names":false,"suffix":""},{"dropping-particle":"","family":"Chidothi","given":"Paul","non-dropping-particle":"","parse-names":false,"suffix":""},{"dropping-particle":"","family":"Macpherson Id","given":"Peter","non-dropping-particle":"","parse-names":false,"suffix":""},{"dropping-particle":"","family":"Graham","given":"Simon Matthew","non-dropping-particle":"","parse-names":false,"suffix":""},{"dropping-particle":"","family":"Martin","given":"Claude","non-dropping-particle":"","parse-names":false,"suffix":""},{"dropping-particle":"","family":"Harrison","given":"William James","non-dropping-particle":"","parse-names":false,"suffix":""},{"dropping-particle":"","family":"Chokotho","given":"Linda","non-dropping-particle":"","parse-names":false,"suffix":""}],"id":"ITEM-1","issued":{"date-parts":[["2021"]]},"title":"Epidemiology of fractures and their treatment in Malawi: Results of a multicentre prospective registry study to guide orthopaedic care planning","type":"article-journal"},"uris":["http://www.mendeley.com/documents/?uuid=905950c9-0b5e-3a08-89f2-ce05b7df1b86"]}],"mendeley":{"formattedCitation":"(Thomas et al. 2021)","plainTextFormattedCitation":"(Thomas et al. 2021)","previouslyFormattedCitation":"(Thomas et al. 2021)"},"properties":{"noteIndex":0},"schema":"https://github.com/citation-style-language/schema/raw/master/csl-citation.json"}</w:instrText>
            </w:r>
            <w:r>
              <w:fldChar w:fldCharType="separate"/>
            </w:r>
            <w:r w:rsidRPr="007F64F1">
              <w:rPr>
                <w:noProof/>
              </w:rPr>
              <w:t>(Thomas et al. 2021)</w:t>
            </w:r>
            <w:r>
              <w:fldChar w:fldCharType="end"/>
            </w:r>
          </w:p>
        </w:tc>
      </w:tr>
      <w:tr w:rsidR="00DD077E" w:rsidRPr="00374B11" w14:paraId="4A059516" w14:textId="77777777" w:rsidTr="00356EB3">
        <w:tc>
          <w:tcPr>
            <w:tcW w:w="2187" w:type="dxa"/>
          </w:tcPr>
          <w:p w14:paraId="57985E94" w14:textId="77777777" w:rsidR="00DD077E" w:rsidRDefault="00DD077E" w:rsidP="00356EB3">
            <w:pPr>
              <w:spacing w:line="480" w:lineRule="auto"/>
            </w:pPr>
            <w:r>
              <w:t>Amputated finger</w:t>
            </w:r>
          </w:p>
        </w:tc>
        <w:tc>
          <w:tcPr>
            <w:tcW w:w="1225" w:type="dxa"/>
          </w:tcPr>
          <w:p w14:paraId="0B714390" w14:textId="77777777" w:rsidR="00DD077E" w:rsidRDefault="00DD077E" w:rsidP="00356EB3">
            <w:pPr>
              <w:spacing w:line="480" w:lineRule="auto"/>
            </w:pPr>
            <w:r>
              <w:t>2</w:t>
            </w:r>
          </w:p>
        </w:tc>
        <w:tc>
          <w:tcPr>
            <w:tcW w:w="1034" w:type="dxa"/>
          </w:tcPr>
          <w:p w14:paraId="13399F17" w14:textId="77777777" w:rsidR="00DD077E" w:rsidRDefault="00DD077E" w:rsidP="00356EB3">
            <w:pPr>
              <w:spacing w:line="480" w:lineRule="auto"/>
            </w:pPr>
            <w:r w:rsidRPr="000126C8">
              <w:t>0.005</w:t>
            </w:r>
          </w:p>
        </w:tc>
        <w:tc>
          <w:tcPr>
            <w:tcW w:w="1772" w:type="dxa"/>
          </w:tcPr>
          <w:p w14:paraId="2498FC8A" w14:textId="77777777" w:rsidR="00DD077E" w:rsidRPr="000126C8" w:rsidRDefault="00DD077E" w:rsidP="00356EB3">
            <w:pPr>
              <w:spacing w:line="480" w:lineRule="auto"/>
            </w:pPr>
            <w:r>
              <w:t>Major surgery</w:t>
            </w:r>
          </w:p>
        </w:tc>
        <w:tc>
          <w:tcPr>
            <w:tcW w:w="1214" w:type="dxa"/>
          </w:tcPr>
          <w:p w14:paraId="1C1D030A" w14:textId="77777777" w:rsidR="00DD077E" w:rsidRDefault="00DD077E" w:rsidP="00356EB3">
            <w:pPr>
              <w:spacing w:line="480" w:lineRule="auto"/>
            </w:pPr>
            <w:r>
              <w:t>Permanent</w:t>
            </w:r>
          </w:p>
        </w:tc>
        <w:tc>
          <w:tcPr>
            <w:tcW w:w="1584" w:type="dxa"/>
          </w:tcPr>
          <w:p w14:paraId="200A665C" w14:textId="77777777" w:rsidR="00DD077E" w:rsidRPr="004137CE" w:rsidRDefault="00DD077E" w:rsidP="00356EB3">
            <w:pPr>
              <w:spacing w:line="480" w:lineRule="auto"/>
            </w:pPr>
            <w:r>
              <w:fldChar w:fldCharType="begin" w:fldLock="1"/>
            </w:r>
            <w:r>
              <w:instrText>ADDIN CSL_CITATION {"citationItems":[{"id":"ITEM-1","itemData":{"DOI":"10.4314/mmj.v31i4.5","ISSN":"19957270","PMID":"32128034","abstract":"Introduction Amputations in low-and middle-income countries (LMICs) represent an important cause of disability and economic hardship. LMIC patients are young and suffer from preventable causes, such as trauma and trauma-related infections. We herein studied the etiology in amputations in a Malawian tertiary care hospital over a 9-year period. Methods Operative and anaesthesia logs at Kamuzu Central Hospital (KCH) in Lilongwe, Malawi, were reviewed for 2008–2016. Baseline demographic and clinical variables and type of amputation performed were collected. Only major limb amputations, defined as above or below the knee, above or below the elbow, and above the wrist, were included in this study. Results A total of 610 patients underwent 630 major amputations during the study period. Of these, 170 (27%) patients were female, and the median age of the cohort was 39 (interquartile range [IQR] 25–55). Of these patients, 345 (54.8%) had infection or gangrene recorded among the indications for amputation, 203 (32.2%) had trauma, 94 (14.9%) had cancer and 67 (10.6%) had documented diabetes. Women underwent diabetes-related amputations more often than men (37 out of 67, or 56.1%), and were significantly younger when their amputations were due to diabetes (median age 48 vs 53 years old, P=0.004) or trauma (median age 21 vs 30 years old, P=0.02). The commonest operative procedures were below the knee amputations, at 271 (43%), and above the knee amputations, at 213 (33.8%). Conclusion Amputations in Malawi affect primarily the young, in the most economically productive time of their lives, in contrast to amputees in high-income countries. Preventable causes, such as infection and trauma, lead to the majority of amputations. These etiologies represent an important primary prevention target for public health efforts in LMICs.","author":</w:instrText>
            </w:r>
            <w:r w:rsidRPr="004137CE">
              <w:instrText>[{"dropping-particle":"","family":"Grudziak","given":"Joanna","non-dropping-particle":"","parse-names":false,"suffix":""},{"dropping-particle":"","family":"Mukuzunga","given":"Cornelius","non-dropping-particle":"","parse-names":false,"suffix":""},{"dropping-particle":"","family":"Melhado","given":"Caroline","non-dropping-particle":"","parse-names":false,"suffix":""},{"dropping-particle":"","family":"Young","given":"Sven","non-dropping-particle":"","parse-names":false,"suffix":""},{"dropping-particle":"","family":"Banza","given":"Leonard","non-dropping-particle":"","parse-names":false,"suffix":""},{"dropping-particle":"","family":"Cairns","given":"Bruce","non-dropping-particle":"","parse-names":false,"suffix":""},{"dropping-particle":"","family":"Charles","given":"Anthony","non-dropping-particle":"","parse-names":false,"suffix":""}],"container-title":"Malawi Medical Journal","id":"ITEM-1","issue":"4","issued":{"date-parts":[["2019"]]},"page":"244-248","publisher":"Malawi Medical Journal","title":"Etiology of major limb amputations at a tertiary care centre in Malawi","type":"article-journal","volume":"31"},"uris":["http://www.mendeley.com/documents/?uuid=f0ac1e9f-0185-459f-b3f6-d0a1ea1ad02a"]}],"mendeley":{"formattedCitation":"(Grudziak et al. 2019)","plainTextFormattedCitation":"(Grudziak et al. 2019)","previouslyFormattedCitation":"(Grudziak et al. 2019)"},"properties":{"noteIndex":0},"schema":"https://github.com/citation-style-language/schema/raw/master/csl-citation.json"}</w:instrText>
            </w:r>
            <w:r>
              <w:fldChar w:fldCharType="separate"/>
            </w:r>
            <w:r w:rsidRPr="004137CE">
              <w:rPr>
                <w:noProof/>
              </w:rPr>
              <w:t>(Grudziak et al. 2019)</w:t>
            </w:r>
            <w:r>
              <w:fldChar w:fldCharType="end"/>
            </w:r>
          </w:p>
        </w:tc>
      </w:tr>
      <w:tr w:rsidR="00DD077E" w:rsidRPr="00374B11" w14:paraId="4B9569D1" w14:textId="77777777" w:rsidTr="00356EB3">
        <w:tc>
          <w:tcPr>
            <w:tcW w:w="2187" w:type="dxa"/>
          </w:tcPr>
          <w:p w14:paraId="533559A3" w14:textId="77777777" w:rsidR="00DD077E" w:rsidRPr="004137CE" w:rsidRDefault="00DD077E" w:rsidP="00356EB3">
            <w:pPr>
              <w:spacing w:line="480" w:lineRule="auto"/>
            </w:pPr>
            <w:r w:rsidRPr="004137CE">
              <w:t>Unilateral arm amputation with treatment</w:t>
            </w:r>
          </w:p>
        </w:tc>
        <w:tc>
          <w:tcPr>
            <w:tcW w:w="1225" w:type="dxa"/>
          </w:tcPr>
          <w:p w14:paraId="40BCAA97" w14:textId="77777777" w:rsidR="00DD077E" w:rsidRPr="004137CE" w:rsidRDefault="00DD077E" w:rsidP="00356EB3">
            <w:pPr>
              <w:spacing w:line="480" w:lineRule="auto"/>
            </w:pPr>
            <w:r w:rsidRPr="004137CE">
              <w:t>2</w:t>
            </w:r>
          </w:p>
        </w:tc>
        <w:tc>
          <w:tcPr>
            <w:tcW w:w="1034" w:type="dxa"/>
          </w:tcPr>
          <w:p w14:paraId="20E93DAC" w14:textId="77777777" w:rsidR="00DD077E" w:rsidRPr="004137CE" w:rsidRDefault="00DD077E" w:rsidP="00356EB3">
            <w:pPr>
              <w:spacing w:line="480" w:lineRule="auto"/>
            </w:pPr>
            <w:r w:rsidRPr="004137CE">
              <w:t>0.039</w:t>
            </w:r>
          </w:p>
        </w:tc>
        <w:tc>
          <w:tcPr>
            <w:tcW w:w="1772" w:type="dxa"/>
          </w:tcPr>
          <w:p w14:paraId="2EEFA8A8" w14:textId="77777777" w:rsidR="00DD077E" w:rsidRPr="004137CE" w:rsidRDefault="00DD077E" w:rsidP="00356EB3">
            <w:pPr>
              <w:spacing w:line="480" w:lineRule="auto"/>
            </w:pPr>
            <w:r w:rsidRPr="004137CE">
              <w:t>Major surgery</w:t>
            </w:r>
          </w:p>
        </w:tc>
        <w:tc>
          <w:tcPr>
            <w:tcW w:w="1214" w:type="dxa"/>
          </w:tcPr>
          <w:p w14:paraId="3B25FF36" w14:textId="77777777" w:rsidR="00DD077E" w:rsidRDefault="00DD077E" w:rsidP="00356EB3">
            <w:pPr>
              <w:spacing w:line="480" w:lineRule="auto"/>
            </w:pPr>
            <w:r>
              <w:t>Permanent</w:t>
            </w:r>
          </w:p>
        </w:tc>
        <w:tc>
          <w:tcPr>
            <w:tcW w:w="1584" w:type="dxa"/>
          </w:tcPr>
          <w:p w14:paraId="3BBC8DB7" w14:textId="77777777" w:rsidR="00DD077E" w:rsidRPr="004137CE" w:rsidRDefault="00DD077E" w:rsidP="00356EB3">
            <w:pPr>
              <w:spacing w:line="480" w:lineRule="auto"/>
            </w:pPr>
            <w:r>
              <w:fldChar w:fldCharType="begin" w:fldLock="1"/>
            </w:r>
            <w:r w:rsidRPr="004137CE">
              <w:instrText>ADDIN CSL_CITATION {"citationItems":</w:instrText>
            </w:r>
            <w:r>
              <w:instrText>[{"id":"ITEM-1","itemData":{"DOI":"10.4314/mmj.v31i4.5","ISSN":"19957270","PMID":"32128034","abstract":"Introduction Amputations in low-and middle-income countries (LMICs) represent an important cause of disability and economic hardship. LMIC patients are young and suffer from preventable causes, such as trauma and trauma-related infections. We herein studied the etiology in amputations in a Malawian tertiary care hospital over a 9-year period. Methods Operative and anaesthesia logs at Kamuzu Central Hospital (KCH) in Lilongwe, Malawi, were reviewed for 2008–2016. Baseline demographic and clinical variables and type of amputation performed were collected. Only major limb amputations, defined as above or below the knee, above or below the elbow, and above the wrist, were included in this study. Results A total of 610 patients underwent 630 major amputations during the study period. Of these, 170 (27%) patients were female, and the median age of the cohort was 39 (interquartile range [IQR] 25–55). Of these patients, 345 (54.8%) had infection or gangrene recorded among the indications for amputation, 203 (32.2%) had trauma, 94 (14.9%) had cancer and 67 (10.6%) had documented diabetes. Women underwent diabetes-related amputations more often than men (37 out of 67, or 56.1%), and were significantly younger when their amputations were due to diabetes (median age 48 vs 53 years old, P=0.004) or trauma (median age 21 vs 30 years old, P=0.02). The commonest operative procedures were below the knee amputations, at 271 (43%), and above the knee amputations, at 213 (33.8%). Conclusion Amputations in Malawi affect primarily the young, in the most economically productive time of their lives, in contrast to amputees in high-income countries. Preventable causes, such as infection and trauma, lead to the majority of amputations. These etiologies represent an important primary prevention target for public health efforts in LMICs.","author":</w:instrText>
            </w:r>
            <w:r w:rsidRPr="004137CE">
              <w:instrText>[{"dropping-particle":"","family":"Grudziak","given":"Joanna","non-dropping-particle":"","parse-names":false,"suffix":""},{"dropping-particle":"","family":"Mukuzunga","given":"Cornelius","non-dropping-particle":"","parse-names":false,"suffix":""},{"dropping-particle":"","family":"Melhado","given":"Caroline","non-dropping-particle":"","parse-names":false,"suffix":""},{"dropping-particle":"","family":"Young","given":"Sven","non-dropping-particle":"","parse-names":false,"suffix":""},{"dropping-particle":"","family":"Banza","given":"Leonard","non-dropping-particle":"","parse-names":false,"suffix":""},{"dropping-particle":"","family":"Cairns","given":"Bruce","non-dropping-particle":"","parse-names":false,"suffix":""},{"dropping-particle":"","family":"Charles","given":"Anthony","non-dropping-particle":"","parse-names":false,"suffix":""}],"container-title":"Malawi Medical Journal","id":"ITEM-1","issue":"4","issued":{"date-parts":[["2019"]]},"page":"244-248","publisher":"Malawi Medical Journal","title":"Etiology of major limb amputations at a tertiary care centre in Malawi","type":"article-journal","volume":"31"},"uris":["http://www.mendeley.com/documents/?uuid=f0ac1e9f-0185-459f-b3f6-d0a1ea1ad02a"]}],"mendeley":{"formattedCitation":"(Grudziak et al. 2019)","plainTextFormattedCitation":"(Grudziak et al. 2019)","previouslyFormattedCitation":"(Grudziak et al. 2019)"},"properties":{"noteIndex":0},"schema":"https://github.com/citation-style-language/schema/raw/master/csl-citation.json"}</w:instrText>
            </w:r>
            <w:r>
              <w:fldChar w:fldCharType="separate"/>
            </w:r>
            <w:r w:rsidRPr="004137CE">
              <w:rPr>
                <w:noProof/>
              </w:rPr>
              <w:t>(Grudziak et al. 2019)</w:t>
            </w:r>
            <w:r>
              <w:fldChar w:fldCharType="end"/>
            </w:r>
          </w:p>
        </w:tc>
      </w:tr>
      <w:tr w:rsidR="00DD077E" w14:paraId="53EB1033" w14:textId="77777777" w:rsidTr="00356EB3">
        <w:tc>
          <w:tcPr>
            <w:tcW w:w="2187" w:type="dxa"/>
          </w:tcPr>
          <w:p w14:paraId="3E094394" w14:textId="77777777" w:rsidR="00DD077E" w:rsidRPr="004137CE" w:rsidRDefault="00DD077E" w:rsidP="00356EB3">
            <w:pPr>
              <w:spacing w:line="480" w:lineRule="auto"/>
            </w:pPr>
            <w:r w:rsidRPr="004137CE">
              <w:t>Unilateral arm amputation without treatment</w:t>
            </w:r>
          </w:p>
        </w:tc>
        <w:tc>
          <w:tcPr>
            <w:tcW w:w="1225" w:type="dxa"/>
          </w:tcPr>
          <w:p w14:paraId="047257A4" w14:textId="77777777" w:rsidR="00DD077E" w:rsidRPr="004137CE" w:rsidRDefault="00DD077E" w:rsidP="00356EB3">
            <w:pPr>
              <w:spacing w:line="480" w:lineRule="auto"/>
            </w:pPr>
            <w:r w:rsidRPr="004137CE">
              <w:t>2</w:t>
            </w:r>
          </w:p>
        </w:tc>
        <w:tc>
          <w:tcPr>
            <w:tcW w:w="1034" w:type="dxa"/>
          </w:tcPr>
          <w:p w14:paraId="3198DE02" w14:textId="77777777" w:rsidR="00DD077E" w:rsidRPr="004137CE" w:rsidRDefault="00DD077E" w:rsidP="00356EB3">
            <w:pPr>
              <w:spacing w:line="480" w:lineRule="auto"/>
            </w:pPr>
            <w:r w:rsidRPr="004137CE">
              <w:t>0.118</w:t>
            </w:r>
          </w:p>
        </w:tc>
        <w:tc>
          <w:tcPr>
            <w:tcW w:w="1772" w:type="dxa"/>
          </w:tcPr>
          <w:p w14:paraId="5089CBBE" w14:textId="77777777" w:rsidR="00DD077E" w:rsidRPr="004137CE" w:rsidRDefault="00DD077E" w:rsidP="00356EB3">
            <w:pPr>
              <w:spacing w:line="480" w:lineRule="auto"/>
            </w:pPr>
            <w:r w:rsidRPr="004137CE">
              <w:t>Major surgery</w:t>
            </w:r>
          </w:p>
        </w:tc>
        <w:tc>
          <w:tcPr>
            <w:tcW w:w="1214" w:type="dxa"/>
          </w:tcPr>
          <w:p w14:paraId="515A09C5" w14:textId="77777777" w:rsidR="00DD077E" w:rsidRDefault="00DD077E" w:rsidP="00356EB3">
            <w:pPr>
              <w:spacing w:line="480" w:lineRule="auto"/>
            </w:pPr>
            <w:r>
              <w:t>Permanent</w:t>
            </w:r>
          </w:p>
        </w:tc>
        <w:tc>
          <w:tcPr>
            <w:tcW w:w="1584" w:type="dxa"/>
          </w:tcPr>
          <w:p w14:paraId="0635AAEE" w14:textId="77777777" w:rsidR="00DD077E" w:rsidRPr="000126C8" w:rsidRDefault="00DD077E" w:rsidP="00356EB3">
            <w:pPr>
              <w:spacing w:line="480" w:lineRule="auto"/>
            </w:pPr>
            <w:r>
              <w:fldChar w:fldCharType="begin" w:fldLock="1"/>
            </w:r>
            <w:r w:rsidRPr="004137CE">
              <w:instrText>ADDIN CSL_CITATION {"citationItem</w:instrText>
            </w:r>
            <w:r>
              <w:instrText>s":[{"id":"ITEM-1","itemData":{"DOI":"10.4314/mmj.v31i4.5","ISSN":"19957270","PMID":"32128034","abstract":"Introduction Amputations in low-and middle-income countries (LMICs) represent an important cause of disability and economic hardship. LMIC patients are young and suffer from preventable causes, such as trauma and trauma-related infections. We herein studied the etiology in amputations in a Malawian tertiary care hospital over a 9-year period. Methods Operative and anaesthesia logs at Kamuzu Central Hospital (KCH) in Lilongwe, Malawi, were reviewed for 2008–2016. Baseline demographic and clinical variables and type of amputation performed were collected. Only major limb amputations, defined as above or below the knee, above or below the elbow, and above the wrist, were included in this study. Results A total of 610 patients underwent 630 major amputations during the study period. Of these, 170 (27%) patients were female, and the median age of the cohort was 39 (interquartile range [IQR] 25–55). Of these patients, 345 (54.8%) had infection or gangrene recorded among the indications for amputation, 203 (32.2%) had trauma, 94 (14.9%) had cancer and 67 (10.6%) had documented diabetes. Women underwent diabetes-related amputations more often than men (37 out of 67, or 56.1%), and were significantly younger when their amputations were due to diabetes (median age 48 vs 53 years old, P=0.004) or trauma (median age 21 vs 30 years old, P=0.02). The commonest operative procedures were below the knee amputations, at 271 (43%), and above the knee amputations, at 213 (33.8%). Conclusion Amputations in Malawi affect primarily the young, in the most economically productive time of their lives, in contrast to amputees in high-income countries. Preventable causes, such as infection and trauma, lead to the majority of amputations. These etiologies represent an important primary prevention target for public health efforts in LMICs.","author":[{"dropping-particle":"","family":"Grudziak","given":"Joanna","non-dropping-particle":"","parse-names":false,"suffix":""},{"dropping-particle":"","family":"Mukuzunga","given":"Cornelius","non-dropping-particle":"","parse-names":false,"suffix":""},{"dropping-particle":"","family":"Melhado","given":"Caroline","non-dropping-particle":"","parse-names":false,"suffix":""},{"dropping-particle":"","family":"Young","given":"Sven","non-dropping-particle":"","parse-names":false,"suffix":""},{"dropping-particle":"","family":"Banza","given":"Leonard","non-dropping-particle":"","parse-names":false,"suffix":""},{"dropping-particle":"","family":"Cairns","given":"Bruce","non-dropping-particle":"","parse-names":false,"suffix":""},{"dropping-particle":"","family":"Charles","given":"Anthony","non-dropping-particle":"","parse-names":false,"suffix":""}],"container-title":"Malawi Medical Journal","id":"ITEM-1","issue":"4","issued":{"date-parts":[["2019"]]},"page":"244-248","publisher":"Malawi Medical Journal","title":"Etiology of major limb amputations at a tertiary care centre in Malawi","type":"article-journal","volume":"31"},"uris":["http://www.mendeley.com/documents/?uuid=f0ac1e9f-0185-459f-b3f6-d0a1ea1ad02a"]}],"mendeley":{"formattedCitation":"(Grudziak et al. 2019)","plainTextFormattedCitation":"(Grudziak et al. 2019)","previouslyFormattedCitation":"(Grudziak et al. 2019)"},"properties":{"noteIndex":0},"schema":"https://github.com/citation-style-language/schema/raw/master/csl-citation.json"}</w:instrText>
            </w:r>
            <w:r>
              <w:fldChar w:fldCharType="separate"/>
            </w:r>
            <w:r w:rsidRPr="00BE2991">
              <w:rPr>
                <w:noProof/>
              </w:rPr>
              <w:t>(Grudziak et al. 2019)</w:t>
            </w:r>
            <w:r>
              <w:fldChar w:fldCharType="end"/>
            </w:r>
          </w:p>
        </w:tc>
      </w:tr>
      <w:tr w:rsidR="00DD077E" w:rsidRPr="00374B11" w14:paraId="26D9D99D" w14:textId="77777777" w:rsidTr="00356EB3">
        <w:tc>
          <w:tcPr>
            <w:tcW w:w="2187" w:type="dxa"/>
          </w:tcPr>
          <w:p w14:paraId="7BD96704" w14:textId="77777777" w:rsidR="00DD077E" w:rsidRDefault="00DD077E" w:rsidP="00356EB3">
            <w:pPr>
              <w:spacing w:line="480" w:lineRule="auto"/>
            </w:pPr>
            <w:r>
              <w:t>Thumb amputation</w:t>
            </w:r>
          </w:p>
        </w:tc>
        <w:tc>
          <w:tcPr>
            <w:tcW w:w="1225" w:type="dxa"/>
          </w:tcPr>
          <w:p w14:paraId="5E51F345" w14:textId="77777777" w:rsidR="00DD077E" w:rsidRDefault="00DD077E" w:rsidP="00356EB3">
            <w:pPr>
              <w:spacing w:line="480" w:lineRule="auto"/>
            </w:pPr>
            <w:r>
              <w:t>2</w:t>
            </w:r>
          </w:p>
        </w:tc>
        <w:tc>
          <w:tcPr>
            <w:tcW w:w="1034" w:type="dxa"/>
          </w:tcPr>
          <w:p w14:paraId="08EE90C9" w14:textId="77777777" w:rsidR="00DD077E" w:rsidRDefault="00DD077E" w:rsidP="00356EB3">
            <w:pPr>
              <w:spacing w:line="480" w:lineRule="auto"/>
            </w:pPr>
            <w:r w:rsidRPr="000126C8">
              <w:t>0.011</w:t>
            </w:r>
          </w:p>
        </w:tc>
        <w:tc>
          <w:tcPr>
            <w:tcW w:w="1772" w:type="dxa"/>
          </w:tcPr>
          <w:p w14:paraId="43352604" w14:textId="77777777" w:rsidR="00DD077E" w:rsidRPr="000126C8" w:rsidRDefault="00DD077E" w:rsidP="00356EB3">
            <w:pPr>
              <w:spacing w:line="480" w:lineRule="auto"/>
            </w:pPr>
            <w:r>
              <w:t>Major surgery</w:t>
            </w:r>
          </w:p>
        </w:tc>
        <w:tc>
          <w:tcPr>
            <w:tcW w:w="1214" w:type="dxa"/>
          </w:tcPr>
          <w:p w14:paraId="69004DBA" w14:textId="77777777" w:rsidR="00DD077E" w:rsidRDefault="00DD077E" w:rsidP="00356EB3">
            <w:pPr>
              <w:spacing w:line="480" w:lineRule="auto"/>
            </w:pPr>
            <w:r>
              <w:t>Permanent</w:t>
            </w:r>
          </w:p>
        </w:tc>
        <w:tc>
          <w:tcPr>
            <w:tcW w:w="1584" w:type="dxa"/>
          </w:tcPr>
          <w:p w14:paraId="4BB2D673" w14:textId="77777777" w:rsidR="00DD077E" w:rsidRPr="004137CE" w:rsidRDefault="00DD077E" w:rsidP="00356EB3">
            <w:pPr>
              <w:spacing w:line="480" w:lineRule="auto"/>
            </w:pPr>
            <w:r>
              <w:fldChar w:fldCharType="begin" w:fldLock="1"/>
            </w:r>
            <w:r>
              <w:instrText>ADDIN CSL_CITATION {"citationItems":[{"id":"ITEM-1","itemData":{"DOI":"10.4314/mmj.v31i4.5","ISSN":"19957270","PMID":"32128034","abstract":"Introduction Amputations in low-and middle-income countries (LMICs) represent an important cause of disability and economic hardship. LMIC patients are young and suffer from preventable causes, such as trauma and trauma-related infections. We herein studied the etiology in amputations in a Malawian tertiary care hospital over a 9-year period. Methods Operative and anaesthesia logs at Kamuzu Central Hospital (KCH) in Lilongwe, Malawi, were reviewed for 2008–2016. Baseline demographic and clinical variables and type of amputation performed were collected. Only major limb amputations, defined as above or below the knee, above or below the elbow, and above the wrist, were included in this study. Results A total of 610 patients underwent 630 major amputations during the study period. Of these, 170 (27%) patients were female, and the median age of the cohort was 39 (interquartile range [IQR] 25–55). Of these patients, 345 (54.8%) had infection or gangrene recorded among the indications for amputation, 203 (32.2%) had trauma, 94 (14.9%) had cancer and 67 (10.6%) had documented diabetes. Women underwent diabetes-related amputations more often than men (37 out of 67, or 56.1%), and were significantly younger when their amputations were due to diabetes (median age 48 vs 53 years old, P=0.004) or trauma (median age 21 vs 30 years old, P=0.02). The commonest operative procedures were below the knee amputations, at 271 (43%), and above the knee amputations, at 213 (33.8%). Conclusion Amputations in Malawi affect primarily the young, in the most economically productive time of their lives, in contrast to amputees in high-income countries. Preventable causes, such as infection and trauma, lead to the majority of amputations. These etiologies represent an important primary prevention target for public health efforts in LMICs.","author":</w:instrText>
            </w:r>
            <w:r w:rsidRPr="004137CE">
              <w:instrText>[{"dropping-particle":"","family":"Grudziak","given":"Joanna","non-dropping-particle":"","parse-names":false,"suffix":""},{"dropping-particle":"","family":"Mukuzunga","given":"Cornelius","non-dropping-particle":"","parse-names":false,"suffix":""},{"dropping-particle":"","family":"Melhado","given":"Caroline","non-dropping-particle":"","parse-names":false,"suffix":""},{"dropping-particle":"","family":"Young","given":"Sven","non-dropping-particle":"","parse-names":false,"suffix":""},{"dropping-particle":"","family":"Banza","given":"Leonard","non-dropping-particle":"","parse-names":false,"suffix":""},{"dropping-particle":"","family":"Cairns","given":"Bruce","non-dropping-particle":"","parse-names":false,"suffix":""},{"dropping-particle":"","family":"Charles","given":"Anthony","non-dropping-particle":"","parse-names":false,"suffix":""}],"container-title":"Malawi Medical Journal","id":"ITEM-1","issue":"4","issued":{"date-parts":[["2019"]]},"page":"244-248","publisher":"Malawi Medical Journal","title":"Etiology of major limb amputations at a tertiary care centre in Malawi","type":"article-journal","volume":"31"},"uris":["http://www.mendeley.com/documents/?uuid=f0ac1e9f-0185-459f-b3f6-d0a1ea1ad02a"]}],"mendeley":{"formattedCitation":"(Grudziak et al. 2019)","plainTextFormattedCitation":"(Grudziak et al. 2019)","previouslyFormattedCitation":"(Grudziak et al. 2019)"},"properties":{"noteIndex":0},"schema":"https://github.com/citation-style-language/schema/raw/master/csl-citation.json"}</w:instrText>
            </w:r>
            <w:r>
              <w:fldChar w:fldCharType="separate"/>
            </w:r>
            <w:r w:rsidRPr="004137CE">
              <w:rPr>
                <w:noProof/>
              </w:rPr>
              <w:t>(Grudziak et al. 2019)</w:t>
            </w:r>
            <w:r>
              <w:fldChar w:fldCharType="end"/>
            </w:r>
          </w:p>
        </w:tc>
      </w:tr>
      <w:tr w:rsidR="00DD077E" w:rsidRPr="00374B11" w14:paraId="54025537" w14:textId="77777777" w:rsidTr="00356EB3">
        <w:tc>
          <w:tcPr>
            <w:tcW w:w="2187" w:type="dxa"/>
          </w:tcPr>
          <w:p w14:paraId="0E7E1BBA" w14:textId="77777777" w:rsidR="00DD077E" w:rsidRPr="004137CE" w:rsidRDefault="00DD077E" w:rsidP="00356EB3">
            <w:pPr>
              <w:spacing w:line="480" w:lineRule="auto"/>
            </w:pPr>
            <w:r w:rsidRPr="004137CE">
              <w:t>Bilateral arm amputation with treatment</w:t>
            </w:r>
          </w:p>
        </w:tc>
        <w:tc>
          <w:tcPr>
            <w:tcW w:w="1225" w:type="dxa"/>
          </w:tcPr>
          <w:p w14:paraId="16FA712F" w14:textId="77777777" w:rsidR="00DD077E" w:rsidRPr="004137CE" w:rsidRDefault="00DD077E" w:rsidP="00356EB3">
            <w:pPr>
              <w:spacing w:line="480" w:lineRule="auto"/>
            </w:pPr>
            <w:r w:rsidRPr="004137CE">
              <w:t>3</w:t>
            </w:r>
          </w:p>
        </w:tc>
        <w:tc>
          <w:tcPr>
            <w:tcW w:w="1034" w:type="dxa"/>
          </w:tcPr>
          <w:p w14:paraId="20D4DDE9" w14:textId="77777777" w:rsidR="00DD077E" w:rsidRPr="004137CE" w:rsidRDefault="00DD077E" w:rsidP="00356EB3">
            <w:pPr>
              <w:spacing w:line="480" w:lineRule="auto"/>
            </w:pPr>
            <w:r w:rsidRPr="004137CE">
              <w:t>0.123</w:t>
            </w:r>
          </w:p>
        </w:tc>
        <w:tc>
          <w:tcPr>
            <w:tcW w:w="1772" w:type="dxa"/>
          </w:tcPr>
          <w:p w14:paraId="2151F236" w14:textId="77777777" w:rsidR="00DD077E" w:rsidRPr="004137CE" w:rsidRDefault="00DD077E" w:rsidP="00356EB3">
            <w:pPr>
              <w:spacing w:line="480" w:lineRule="auto"/>
            </w:pPr>
            <w:r w:rsidRPr="004137CE">
              <w:t>Major surgery</w:t>
            </w:r>
          </w:p>
        </w:tc>
        <w:tc>
          <w:tcPr>
            <w:tcW w:w="1214" w:type="dxa"/>
          </w:tcPr>
          <w:p w14:paraId="5FC5CECB" w14:textId="77777777" w:rsidR="00DD077E" w:rsidRDefault="00DD077E" w:rsidP="00356EB3">
            <w:pPr>
              <w:spacing w:line="480" w:lineRule="auto"/>
            </w:pPr>
            <w:r>
              <w:t>Permanent</w:t>
            </w:r>
          </w:p>
        </w:tc>
        <w:tc>
          <w:tcPr>
            <w:tcW w:w="1584" w:type="dxa"/>
          </w:tcPr>
          <w:p w14:paraId="429B1F08" w14:textId="77777777" w:rsidR="00DD077E" w:rsidRPr="004137CE" w:rsidRDefault="00DD077E" w:rsidP="00356EB3">
            <w:pPr>
              <w:spacing w:line="480" w:lineRule="auto"/>
            </w:pPr>
            <w:r>
              <w:fldChar w:fldCharType="begin" w:fldLock="1"/>
            </w:r>
            <w:r w:rsidRPr="004137CE">
              <w:instrText>ADDIN CSL_CITATION {"citationItems":[</w:instrText>
            </w:r>
            <w:r>
              <w:instrText>{"id":"ITEM-1","itemData":{"DOI":"10.4314/mmj.v31i4.5","ISSN":"19957270","PMID":"32128034","abstract":"Introduction Amputations in low-and middle-income countries (LMICs) represent an important cause of disability and economic hardship. LMIC patients are young and suffer from preventable causes, such as trauma and trauma-related infections. We herein studied the etiology in amputations in a Malawian tertiary care hospital over a 9-year period. Methods Operative and anaesthesia logs at Kamuzu Central Hospital (KCH) in Lilongwe, Malawi, were reviewed for 2008–2016. Baseline demographic and clinical variables and type of amputation performed were collected. Only major limb amputations, defined as above or below the knee, above or below the elbow, and above the wrist, were included in this study. Results A total of 610 patients underwent 630 major amputations during the study period. Of these, 170 (27%) patients were female, and the median age of the cohort was 39 (interquartile range [IQR] 25–55). Of these patients, 345 (54.8%) had infection or gangrene recorded among the indications for amputation, 203 (32.2%) had trauma, 94 (14.9%) had cancer and 67 (10.6%) had documented diabetes. Women underwent diabetes-related amputations more often than men (37 out of 67, or 56.1%), and were significantly younger when their amputations were due to diabetes (median age 48 vs 53 years old, P=0.004) or trauma (median age 21 vs 30 years old, P=0.02). The commonest operative procedures were below the knee amputations, at 271 (43%), and above the knee amputations, at 213 (33.8%). Conclusion Amputations in Malawi affect primarily the young, in the most economically productive time of their lives, in contrast to amputees in high-income countries. Preventable causes, such as infection and trauma, lead to the majority of amputations. These etiologies represent an important primary prevention target for public health efforts in LMICs.","author":</w:instrText>
            </w:r>
            <w:r w:rsidRPr="004137CE">
              <w:instrText>[{"dropping-particle":"","family":"Grudziak","given":"Joanna","non-dropping-particle":"","parse-names":false,"suffix":""},{"dropping-particle":"","family":"Mukuzunga","given":"Cornelius","non-dropping-particle":"","parse-names":false,"suffix":""},{"dropping-particle":"","family":"Melhado","given":"Caroline","non-dropping-particle":"","parse-names":false,"suffix":""},{"dropping-particle":"","family":"Young","given":"Sven","non-dropping-particle":"","parse-names":false,"suffix":""},{"dropping-particle":"","family":"Banza","given":"Leonard","non-dropping-particle":"","parse-names":false,"suffix":""},{"dropping-particle":"","family":"Cairns","given":"Bruce","non-dropping-particle":"","parse-names":false,"suffix":""},{"dropping-particle":"","family":"Charles","given":"Anthony","non-dropping-particle":"","parse-names":false,"suffix":""}],"container-title":"Malawi Medical Journal","id":"ITEM-1","issue":"4","issued":{"date-parts":[["2019"]]},"page":"244-248","publisher":"Malawi Medical Journal","title":"Etiology of major limb amputations at a tertiary care centre in Malawi","type":"article-journal","volume":"31"},"uris":["http://www.mendeley.com/documents/?uuid=f0ac1e9f-0185-459f-b3f6-d0a1ea1ad02a"]}],"mendeley":{"formattedCitation":"(Grudziak et al. 2019)","plainTextFormattedCitation":"(Grudziak et al. 2019)","previouslyFormattedCitation":"(Grudziak et al. 2019)"},"properties":{"noteIndex":0},"schema":"https://github.com/citation-style-language/schema/raw/master/csl-citation.json"}</w:instrText>
            </w:r>
            <w:r>
              <w:fldChar w:fldCharType="separate"/>
            </w:r>
            <w:r w:rsidRPr="004137CE">
              <w:rPr>
                <w:noProof/>
              </w:rPr>
              <w:t>(Grudziak et al. 2019)</w:t>
            </w:r>
            <w:r>
              <w:fldChar w:fldCharType="end"/>
            </w:r>
          </w:p>
        </w:tc>
      </w:tr>
      <w:tr w:rsidR="00DD077E" w:rsidRPr="00374B11" w14:paraId="5FF6A732" w14:textId="77777777" w:rsidTr="00356EB3">
        <w:tc>
          <w:tcPr>
            <w:tcW w:w="2187" w:type="dxa"/>
          </w:tcPr>
          <w:p w14:paraId="788BFA9D" w14:textId="77777777" w:rsidR="00DD077E" w:rsidRPr="004137CE" w:rsidRDefault="00DD077E" w:rsidP="00356EB3">
            <w:pPr>
              <w:spacing w:line="480" w:lineRule="auto"/>
            </w:pPr>
            <w:r w:rsidRPr="004137CE">
              <w:lastRenderedPageBreak/>
              <w:t>Bilateral arm amputation without treatment</w:t>
            </w:r>
          </w:p>
        </w:tc>
        <w:tc>
          <w:tcPr>
            <w:tcW w:w="1225" w:type="dxa"/>
          </w:tcPr>
          <w:p w14:paraId="2D1A5EDC" w14:textId="77777777" w:rsidR="00DD077E" w:rsidRPr="004137CE" w:rsidRDefault="00DD077E" w:rsidP="00356EB3">
            <w:pPr>
              <w:spacing w:line="480" w:lineRule="auto"/>
            </w:pPr>
            <w:r w:rsidRPr="004137CE">
              <w:t>3</w:t>
            </w:r>
          </w:p>
        </w:tc>
        <w:tc>
          <w:tcPr>
            <w:tcW w:w="1034" w:type="dxa"/>
          </w:tcPr>
          <w:p w14:paraId="67B5E148" w14:textId="77777777" w:rsidR="00DD077E" w:rsidRPr="004137CE" w:rsidRDefault="00DD077E" w:rsidP="00356EB3">
            <w:pPr>
              <w:spacing w:line="480" w:lineRule="auto"/>
            </w:pPr>
            <w:r w:rsidRPr="004137CE">
              <w:t>0.383</w:t>
            </w:r>
          </w:p>
        </w:tc>
        <w:tc>
          <w:tcPr>
            <w:tcW w:w="1772" w:type="dxa"/>
          </w:tcPr>
          <w:p w14:paraId="47906C4F" w14:textId="77777777" w:rsidR="00DD077E" w:rsidRPr="004137CE" w:rsidRDefault="00DD077E" w:rsidP="00356EB3">
            <w:pPr>
              <w:spacing w:line="480" w:lineRule="auto"/>
            </w:pPr>
            <w:r w:rsidRPr="004137CE">
              <w:t>Major surgery</w:t>
            </w:r>
          </w:p>
        </w:tc>
        <w:tc>
          <w:tcPr>
            <w:tcW w:w="1214" w:type="dxa"/>
          </w:tcPr>
          <w:p w14:paraId="0A97F4C9" w14:textId="77777777" w:rsidR="00DD077E" w:rsidRDefault="00DD077E" w:rsidP="00356EB3">
            <w:pPr>
              <w:spacing w:line="480" w:lineRule="auto"/>
            </w:pPr>
            <w:r>
              <w:t>Permanent</w:t>
            </w:r>
          </w:p>
        </w:tc>
        <w:tc>
          <w:tcPr>
            <w:tcW w:w="1584" w:type="dxa"/>
          </w:tcPr>
          <w:p w14:paraId="02966D95" w14:textId="77777777" w:rsidR="00DD077E" w:rsidRPr="004137CE" w:rsidRDefault="00DD077E" w:rsidP="00356EB3">
            <w:pPr>
              <w:spacing w:line="480" w:lineRule="auto"/>
            </w:pPr>
            <w:r>
              <w:fldChar w:fldCharType="begin" w:fldLock="1"/>
            </w:r>
            <w:r w:rsidRPr="004137CE">
              <w:instrText>ADDIN CSL_CITATION {"citationItems</w:instrText>
            </w:r>
            <w:r>
              <w:instrText>":[{"id":"ITEM-1","itemData":{"DOI":"10.4314/mmj.v31i4.5","ISSN":"19957270","PMID":"32128034","abstract":"Introduction Amputations in low-and middle-income countries (LMICs) represent an important cause of disability and economic hardship. LMIC patients are young and suffer from preventable causes, such as trauma and trauma-related infections. We herein studied the etiology in amputations in a Malawian tertiary care hospital over a 9-year period. Methods Operative and anaesthesia logs at Kamuzu Central Hospital (KCH) in Lilongwe, Malawi, were reviewed for 2008–2016. Baseline demographic and clinical variables and type of amputation performed were collected. Only major limb amputations, defined as above or below the knee, above or below the elbow, and above the wrist, were included in this study. Results A total of 610 patients underwent 630 major amputations during the study period. Of these, 170 (27%) patients were female, and the median age of the cohort was 39 (interquartile range [IQR] 25–55). Of these patients, 345 (54.8%) had infection or gangrene recorded among the indications for amputation, 203 (32.2%) had trauma, 94 (14.9%) had cancer and 67 (10.6%) had documented diabetes. Women underwent diabetes-related amputations more often than men (37 out of 67, or 56.1%), and were significantly younger when their amputations were due to diabetes (median age 48 vs 53 years old, P=0.004) or trauma (median age 21 vs 30 years old, P=0.02). The commonest operative procedures were below the knee amputations, at 271 (43%), and above the knee amputations, at 213 (33.8%). Conclusion Amputations in Malawi affect primarily the young, in the most economically productive time of their lives, in contrast to amputees in high-income countries. Preventable causes, such as infection and trauma, lead to the majority of amputations. These etiologies represent an important primary prevention target for public health efforts in LMICs.","author":</w:instrText>
            </w:r>
            <w:r w:rsidRPr="004137CE">
              <w:instrText>[{"dropping-particle":"","family":"Grudziak","given":"Joanna","non-dropping-particle":"","parse-names":false,"suffix":""},{"dropping-particle":"","family":"Mukuzunga","given":"Cornelius","non-dropping-particle":"","parse-names":false,"suffix":""},{"dropping-particle":"","family":"Melhado","given":"Caroline","non-dropping-particle":"","parse-names":false,"suffix":""},{"dropping-particle":"","family":"Young","given":"Sven","non-dropping-particle":"","parse-names":false,"suffix":""},{"dropping-particle":"","family":"Banza","given":"Leonard","non-dropping-particle":"","parse-names":false,"suffix":""},{"dropping-particle":"","family":"Cairns","given":"Bruce","non-dropping-particle":"","parse-names":false,"suffix":""},{"dropping-particle":"","family":"Charles","given":"Anthony","non-dropping-particle":"","parse-names":false,"suffix":""}],"container-title":"Malawi Medical Journal","id":"ITEM-1","issue":"4","issued":{"date-parts":[["2019"]]},"page":"244-248","publisher":"Malawi Medical Journal","title":"Etiology of major limb amputations at a tertiary care centre in Malawi","type":"article-journal","volume":"31"},"uris":["http://www.mendeley.com/documents/?uuid=f0ac1e9f-0185-459f-b3f6-d0a1ea1ad02a"]}],"mendeley":{"formattedCitation":"(Grudziak et al. 2019)","plainTextFormattedCitation":"(Grudziak et al. 2019)","previouslyFormattedCitation":"(Grudziak et al. 2019)"},"properties":{"noteIndex":0},"schema":"https://github.com/citation-style-language/schema/raw/master/csl-citation.json"}</w:instrText>
            </w:r>
            <w:r>
              <w:fldChar w:fldCharType="separate"/>
            </w:r>
            <w:r w:rsidRPr="004137CE">
              <w:rPr>
                <w:noProof/>
              </w:rPr>
              <w:t>(Grudziak et al. 2019)</w:t>
            </w:r>
            <w:r>
              <w:fldChar w:fldCharType="end"/>
            </w:r>
          </w:p>
        </w:tc>
      </w:tr>
      <w:tr w:rsidR="00DD077E" w:rsidRPr="00374B11" w14:paraId="1540DCA2" w14:textId="77777777" w:rsidTr="00356EB3">
        <w:tc>
          <w:tcPr>
            <w:tcW w:w="2187" w:type="dxa"/>
          </w:tcPr>
          <w:p w14:paraId="1479209B" w14:textId="77777777" w:rsidR="00DD077E" w:rsidRPr="004137CE" w:rsidRDefault="00DD077E" w:rsidP="00356EB3">
            <w:pPr>
              <w:spacing w:line="480" w:lineRule="auto"/>
            </w:pPr>
            <w:r w:rsidRPr="004137CE">
              <w:t>Laceration to the upper extremity</w:t>
            </w:r>
          </w:p>
        </w:tc>
        <w:tc>
          <w:tcPr>
            <w:tcW w:w="1225" w:type="dxa"/>
          </w:tcPr>
          <w:p w14:paraId="05E492F5" w14:textId="77777777" w:rsidR="00DD077E" w:rsidRPr="004137CE" w:rsidRDefault="00DD077E" w:rsidP="00356EB3">
            <w:pPr>
              <w:spacing w:line="480" w:lineRule="auto"/>
            </w:pPr>
            <w:r w:rsidRPr="004137CE">
              <w:t>1</w:t>
            </w:r>
          </w:p>
        </w:tc>
        <w:tc>
          <w:tcPr>
            <w:tcW w:w="1034" w:type="dxa"/>
          </w:tcPr>
          <w:p w14:paraId="2CE680C5" w14:textId="77777777" w:rsidR="00DD077E" w:rsidRPr="004137CE" w:rsidRDefault="00DD077E" w:rsidP="00356EB3">
            <w:pPr>
              <w:spacing w:line="480" w:lineRule="auto"/>
            </w:pPr>
            <w:r w:rsidRPr="004137CE">
              <w:t>0.1</w:t>
            </w:r>
          </w:p>
        </w:tc>
        <w:tc>
          <w:tcPr>
            <w:tcW w:w="1772" w:type="dxa"/>
          </w:tcPr>
          <w:p w14:paraId="21E6CF26" w14:textId="77777777" w:rsidR="00DD077E" w:rsidRPr="004137CE" w:rsidRDefault="00DD077E" w:rsidP="00356EB3">
            <w:pPr>
              <w:spacing w:line="480" w:lineRule="auto"/>
            </w:pPr>
            <w:r w:rsidRPr="004137CE">
              <w:t xml:space="preserve">Suture kit, tetanus vaccine </w:t>
            </w:r>
          </w:p>
        </w:tc>
        <w:tc>
          <w:tcPr>
            <w:tcW w:w="1214" w:type="dxa"/>
          </w:tcPr>
          <w:p w14:paraId="2EA5A685" w14:textId="77777777" w:rsidR="00DD077E" w:rsidRPr="004137CE" w:rsidRDefault="00DD077E" w:rsidP="00356EB3">
            <w:pPr>
              <w:spacing w:line="480" w:lineRule="auto"/>
            </w:pPr>
            <w:r>
              <w:t>7 days</w:t>
            </w:r>
          </w:p>
        </w:tc>
        <w:tc>
          <w:tcPr>
            <w:tcW w:w="1584" w:type="dxa"/>
          </w:tcPr>
          <w:p w14:paraId="23F1FB42" w14:textId="77777777" w:rsidR="00DD077E" w:rsidRPr="004137CE" w:rsidRDefault="00DD077E" w:rsidP="00356EB3">
            <w:pPr>
              <w:spacing w:line="480" w:lineRule="auto"/>
            </w:pPr>
            <w:r w:rsidRPr="004137CE">
              <w:t>Malawian treatment guidelines</w:t>
            </w:r>
          </w:p>
        </w:tc>
      </w:tr>
      <w:tr w:rsidR="00DD077E" w14:paraId="343F0988" w14:textId="77777777" w:rsidTr="00356EB3">
        <w:tc>
          <w:tcPr>
            <w:tcW w:w="2187" w:type="dxa"/>
          </w:tcPr>
          <w:p w14:paraId="745CFB87" w14:textId="77777777" w:rsidR="00DD077E" w:rsidRDefault="00DD077E" w:rsidP="00356EB3">
            <w:pPr>
              <w:spacing w:line="480" w:lineRule="auto"/>
            </w:pPr>
            <w:r>
              <w:t>Burn to the upper extremity</w:t>
            </w:r>
          </w:p>
        </w:tc>
        <w:tc>
          <w:tcPr>
            <w:tcW w:w="1225" w:type="dxa"/>
          </w:tcPr>
          <w:p w14:paraId="2E2A7197" w14:textId="77777777" w:rsidR="00DD077E" w:rsidRDefault="00DD077E" w:rsidP="00356EB3">
            <w:pPr>
              <w:spacing w:line="480" w:lineRule="auto"/>
            </w:pPr>
            <w:r>
              <w:t>3</w:t>
            </w:r>
          </w:p>
        </w:tc>
        <w:tc>
          <w:tcPr>
            <w:tcW w:w="1034" w:type="dxa"/>
          </w:tcPr>
          <w:p w14:paraId="2D5477F6" w14:textId="77777777" w:rsidR="00DD077E" w:rsidRDefault="00DD077E" w:rsidP="00356EB3">
            <w:pPr>
              <w:spacing w:line="480" w:lineRule="auto"/>
            </w:pPr>
            <w:r w:rsidRPr="0051285B">
              <w:t>0.135</w:t>
            </w:r>
          </w:p>
        </w:tc>
        <w:tc>
          <w:tcPr>
            <w:tcW w:w="1772" w:type="dxa"/>
          </w:tcPr>
          <w:p w14:paraId="1C8AE47F" w14:textId="77777777" w:rsidR="00DD077E" w:rsidRPr="0051285B" w:rsidRDefault="00DD077E" w:rsidP="00356EB3">
            <w:pPr>
              <w:spacing w:line="480" w:lineRule="auto"/>
            </w:pPr>
            <w:r w:rsidRPr="00837714">
              <w:t>Cetrimide 15% + chlorhexidine 1.5% solution</w:t>
            </w:r>
            <w:r>
              <w:t xml:space="preserve">, Paraffin dressing, </w:t>
            </w:r>
            <w:r w:rsidRPr="00837714">
              <w:t>ringer's lactate (Hartmann's solution)</w:t>
            </w:r>
            <w:r>
              <w:t>, tetanus vaccine</w:t>
            </w:r>
          </w:p>
        </w:tc>
        <w:tc>
          <w:tcPr>
            <w:tcW w:w="1214" w:type="dxa"/>
          </w:tcPr>
          <w:p w14:paraId="176CA498" w14:textId="77777777" w:rsidR="00DD077E" w:rsidRDefault="00DD077E" w:rsidP="00356EB3">
            <w:pPr>
              <w:spacing w:line="480" w:lineRule="auto"/>
            </w:pPr>
            <w:r>
              <w:t>28 days with treatment otherwise permanent</w:t>
            </w:r>
          </w:p>
        </w:tc>
        <w:tc>
          <w:tcPr>
            <w:tcW w:w="1584" w:type="dxa"/>
          </w:tcPr>
          <w:p w14:paraId="3DF3277F" w14:textId="77777777" w:rsidR="00DD077E" w:rsidRPr="0051285B" w:rsidRDefault="00DD077E" w:rsidP="00356EB3">
            <w:pPr>
              <w:spacing w:line="480" w:lineRule="auto"/>
            </w:pPr>
            <w:r>
              <w:t>Malawian treatment guidelines</w:t>
            </w:r>
          </w:p>
        </w:tc>
      </w:tr>
      <w:tr w:rsidR="00DD077E" w14:paraId="057A0812" w14:textId="77777777" w:rsidTr="00356EB3">
        <w:tc>
          <w:tcPr>
            <w:tcW w:w="2187" w:type="dxa"/>
          </w:tcPr>
          <w:p w14:paraId="715D6A70" w14:textId="77777777" w:rsidR="00DD077E" w:rsidRDefault="00DD077E" w:rsidP="00356EB3">
            <w:pPr>
              <w:spacing w:line="480" w:lineRule="auto"/>
            </w:pPr>
            <w:r>
              <w:t>Foot fracture short term with or without treatment</w:t>
            </w:r>
          </w:p>
        </w:tc>
        <w:tc>
          <w:tcPr>
            <w:tcW w:w="1225" w:type="dxa"/>
          </w:tcPr>
          <w:p w14:paraId="27C94832" w14:textId="77777777" w:rsidR="00DD077E" w:rsidRDefault="00DD077E" w:rsidP="00356EB3">
            <w:pPr>
              <w:spacing w:line="480" w:lineRule="auto"/>
            </w:pPr>
            <w:r>
              <w:t>1</w:t>
            </w:r>
          </w:p>
        </w:tc>
        <w:tc>
          <w:tcPr>
            <w:tcW w:w="1034" w:type="dxa"/>
          </w:tcPr>
          <w:p w14:paraId="6FE3633A" w14:textId="77777777" w:rsidR="00DD077E" w:rsidRDefault="00DD077E" w:rsidP="00356EB3">
            <w:pPr>
              <w:spacing w:line="480" w:lineRule="auto"/>
            </w:pPr>
            <w:r w:rsidRPr="004A7FC9">
              <w:t>0.026</w:t>
            </w:r>
          </w:p>
        </w:tc>
        <w:tc>
          <w:tcPr>
            <w:tcW w:w="1772" w:type="dxa"/>
          </w:tcPr>
          <w:p w14:paraId="0162A9B3" w14:textId="77777777" w:rsidR="00DD077E" w:rsidRPr="004A7FC9" w:rsidRDefault="00DD077E" w:rsidP="00356EB3">
            <w:pPr>
              <w:spacing w:line="480" w:lineRule="auto"/>
            </w:pPr>
            <w:r>
              <w:t>Heal with time, open reduction, external fixation, internal fixation</w:t>
            </w:r>
          </w:p>
        </w:tc>
        <w:tc>
          <w:tcPr>
            <w:tcW w:w="1214" w:type="dxa"/>
          </w:tcPr>
          <w:p w14:paraId="4114F4CB" w14:textId="77777777" w:rsidR="00DD077E" w:rsidRDefault="00DD077E" w:rsidP="00356EB3">
            <w:pPr>
              <w:spacing w:line="480" w:lineRule="auto"/>
            </w:pPr>
            <w:r>
              <w:t>63 days with treatment</w:t>
            </w:r>
          </w:p>
        </w:tc>
        <w:tc>
          <w:tcPr>
            <w:tcW w:w="1584" w:type="dxa"/>
          </w:tcPr>
          <w:p w14:paraId="5BFFF580" w14:textId="77777777" w:rsidR="00DD077E" w:rsidRPr="004A7FC9" w:rsidRDefault="00DD077E" w:rsidP="00356EB3">
            <w:pPr>
              <w:spacing w:line="480" w:lineRule="auto"/>
            </w:pPr>
            <w:r>
              <w:fldChar w:fldCharType="begin" w:fldLock="1"/>
            </w:r>
            <w:r>
              <w:instrText>ADDIN CSL_CITATION {"citationItems":[{"id":"ITEM-1","itemData":{"DOI":"10.1016/j.ijsu.2017.01.047","ISSN":"17439159","PMID":"28110030","abstract":"Introduction A lower extremity injury can be a devastating event in low-income countries due to limited access to surgical care. Its incidence, treatment patterns, and outcomes, however, have not been well-described. Methods We prospectively enrolled all patients admitted with lower extremity trauma to a tertiary hospital in Lilongwe, Malawi between October 2010 and September 2011. Patients with a lower extremity injury but primarily admitted for unrelated reasons were excluded. The outcomes were deaths, complications, and length of hospital stay. Results Of the 905 patients eligible for analysis, 696 (77%) were males. Most patients had femur fractures (46%), and most were treated non-operatively (70%). Overall mortality rate was 3.9%. For adult patients with femur fractures, mortality was higher in patients treated with traction (9.0%) than for those treated with surgery (1.3%). The total complication rate was 15%, with adjusted odds of developing a complication higher in patients with concurrent head injury (OR = 2.8; 95% CI: 1.3–6.0), and patients who had an operative treatment (OR = 2; 95% CI: 1.2–1.9). The median length of stay was 16 days (IQR: 6–27) and was greatest among patients with femur fractures. Conclusion Lower extremity injuries resulted in substantial mortality and morbidity in this low-income country. Mortality was particularly high among patients with femur fractures who did not have surgery. Modern orthopedic trauma surgery is greatly needed in low-income countries.","author":[{"dropping-particle":"","family":"Chagomerana","given":"Maganizo B.","non-dropping-particle":"","parse-names":false,"suffix":""},{"dropping-particle":"","family":"Tomlinson","given":"Jared","non-dropping-particle":"","parse-names":false,"suffix":""},{"dropping-particle":"","family":"Young","given":"Sven","non-dropping-particle":"","parse-names":false,"suffix":""},{"dropping-particle":"","family":"Hosseinipour","given":"Mina C.","non-dropping-particle":"","parse-names":false,"suffix":""},{"dropping-particle":"","family":"Banza","given":"Leonard","non-dropping-particle":"","parse-names":false,"suffix":""},{"dropping-particle":"","family":"Lee","given":"Clara N.","non-dropping-particle":"","parse-names":false,"suffix":""}],"container-title":"International Journal of Surgery","id":"ITEM-1","issued":{"date-parts":[["2017","3","1"]]},"page":"23-29","publisher":"Elsevier Ltd","title":"High morbidity and mortality after lower extremity injuries in Malawi: A prospective cohort study of 905 patients","type":"article-journal","volume":"39"},"uris":["http://www.mendeley.com/documents/?uuid=55d3c196-2dcc-3c44-a62b-cde7c636f1e1"]}],"mendeley":{"formattedCitation":"(Chagomerana et al. 2017)","plainTextFormattedCitation":"(Chagomerana et al. 2017)","previouslyFormattedCitation":"(Chagomerana et al. 2017)"},"properties":{"noteIndex":0},"schema":"https://github.com/citation-style-language/schema/raw/master/csl-citation.json"}</w:instrText>
            </w:r>
            <w:r>
              <w:fldChar w:fldCharType="separate"/>
            </w:r>
            <w:r w:rsidRPr="00BE2991">
              <w:rPr>
                <w:noProof/>
              </w:rPr>
              <w:t>(Chagomerana et al. 2017)</w:t>
            </w:r>
            <w:r>
              <w:fldChar w:fldCharType="end"/>
            </w:r>
          </w:p>
        </w:tc>
      </w:tr>
      <w:tr w:rsidR="00DD077E" w14:paraId="144A4EDA" w14:textId="77777777" w:rsidTr="00356EB3">
        <w:tc>
          <w:tcPr>
            <w:tcW w:w="2187" w:type="dxa"/>
          </w:tcPr>
          <w:p w14:paraId="3594427A" w14:textId="77777777" w:rsidR="00DD077E" w:rsidRDefault="00DD077E" w:rsidP="00356EB3">
            <w:pPr>
              <w:spacing w:line="480" w:lineRule="auto"/>
            </w:pPr>
            <w:r>
              <w:t>Foot fracture long term without treatment</w:t>
            </w:r>
          </w:p>
        </w:tc>
        <w:tc>
          <w:tcPr>
            <w:tcW w:w="1225" w:type="dxa"/>
          </w:tcPr>
          <w:p w14:paraId="13C7150B" w14:textId="77777777" w:rsidR="00DD077E" w:rsidRDefault="00DD077E" w:rsidP="00356EB3">
            <w:pPr>
              <w:spacing w:line="480" w:lineRule="auto"/>
            </w:pPr>
            <w:r>
              <w:t>1</w:t>
            </w:r>
          </w:p>
        </w:tc>
        <w:tc>
          <w:tcPr>
            <w:tcW w:w="1034" w:type="dxa"/>
          </w:tcPr>
          <w:p w14:paraId="577F0EDA" w14:textId="77777777" w:rsidR="00DD077E" w:rsidRPr="004A7FC9" w:rsidRDefault="00DD077E" w:rsidP="00356EB3">
            <w:pPr>
              <w:spacing w:line="480" w:lineRule="auto"/>
            </w:pPr>
            <w:r w:rsidRPr="004A7FC9">
              <w:t>0.026</w:t>
            </w:r>
          </w:p>
        </w:tc>
        <w:tc>
          <w:tcPr>
            <w:tcW w:w="1772" w:type="dxa"/>
          </w:tcPr>
          <w:p w14:paraId="4069A274" w14:textId="77777777" w:rsidR="00DD077E" w:rsidRPr="004A7FC9" w:rsidRDefault="00DD077E" w:rsidP="00356EB3">
            <w:pPr>
              <w:spacing w:line="480" w:lineRule="auto"/>
            </w:pPr>
            <w:r>
              <w:t>Heal with time, open reduction, external fixation, internal fixation</w:t>
            </w:r>
          </w:p>
        </w:tc>
        <w:tc>
          <w:tcPr>
            <w:tcW w:w="1214" w:type="dxa"/>
          </w:tcPr>
          <w:p w14:paraId="2F8A0D24" w14:textId="77777777" w:rsidR="00DD077E" w:rsidRDefault="00DD077E" w:rsidP="00356EB3">
            <w:pPr>
              <w:spacing w:line="480" w:lineRule="auto"/>
            </w:pPr>
            <w:r>
              <w:t>Permanent</w:t>
            </w:r>
          </w:p>
        </w:tc>
        <w:tc>
          <w:tcPr>
            <w:tcW w:w="1584" w:type="dxa"/>
          </w:tcPr>
          <w:p w14:paraId="5E26DF1D" w14:textId="77777777" w:rsidR="00DD077E" w:rsidRPr="004A7FC9" w:rsidRDefault="00DD077E" w:rsidP="00356EB3">
            <w:pPr>
              <w:spacing w:line="480" w:lineRule="auto"/>
            </w:pPr>
            <w:r>
              <w:fldChar w:fldCharType="begin" w:fldLock="1"/>
            </w:r>
            <w:r>
              <w:instrText>ADDIN CSL_CITATION {"citationItems":[{"id":"ITEM-1","itemData":{"DOI":"10.1016/j.ijsu.2017.01.047","ISSN":"17439159","PMID":"28110030","abstract":"Introduction A lower extremity injury can be a devastating event in low-income countries due to limited access to surgical care. Its incidence, treatment patterns, and outcomes, however, have not been well-described. Methods We prospectively enrolled all patients admitted with lower extremity trauma to a tertiary hospital in Lilongwe, Malawi between October 2010 and September 2011. Patients with a lower extremity injury but primarily admitted for unrelated reasons were excluded. The outcomes were deaths, complications, and length of hospital stay. Results Of the 905 patients eligible for analysis, 696 (77%) were males. Most patients had femur fractures (46%), and most were treated non-operatively (70%). Overall mortality rate was 3.9%. For adult patients with femur fractures, mortality was higher in patients treated with traction (9.0%) than for those treated with surgery (1.3%). The total complication rate was 15%, with adjusted odds of developing a complication higher in patients with concurrent head injury (OR = 2.8; 95% CI: 1.3–6.0), and patients who had an operative treatment (OR = 2; 95% CI: 1.2–1.9). The median length of stay was 16 days (IQR: 6–27) and was greatest among patients with femur fractures. Conclusion Lower extremity injuries resulted in substantial mortality and morbidity in this low-income country. Mortality was particularly high among patients with femur fractures who did not have surgery. Modern orthopedic trauma surgery is greatly needed in low-income countries.","author":[{"dropping-particle":"","family":"Chagomerana","given":"Maganizo B.","non-dropping-particle":"","parse-names":false,"suffix":""},{"dropping-particle":"","family":"Tomlinson","given":"Jared","non-dropping-particle":"","parse-names":false,"suffix":""},{"dropping-particle":"","family":"Young","given":"Sven","non-dropping-particle":"","parse-names":false,"suffix":""},{"dropping-particle":"","family":"Hosseinipour","given":"Mina C.","non-dropping-particle":"","parse-names":false,"suffix":""},{"dropping-particle":"","family":"Banza","given":"Leonard","non-dropping-particle":"","parse-names":false,"suffix":""},{"dropping-particle":"","family":"Lee","given":"Clara N.","non-dropping-particle":"","parse-names":false,"suffix":""}],"container-title":"International Journal of Surgery","id":"ITEM-1","issued":{"date-parts":[["2017","3","1"]]},"page":"23-29","publisher":"Elsevier Ltd","title":"High morbidity and mortality after lower extremity injuries in Malawi: A prospective cohort study of 905 patients","type":"article-journal","volume":"39"},"uris":["http://www.mendeley.com/documents/?uuid=55d3c196-2dcc-3c44-a62b-cde7c636f1e1"]}],"mendeley":{"formattedCitation":"(Chagomerana et al. 2017)","plainTextFormattedCitation":"(Chagomerana et al. 2017)","previouslyFormattedCitation":"(Chagomerana et al. 2017)"},"properties":{"noteIndex":0},"schema":"https://github.com/citation-style-language/schema/raw/master/csl-citation.json"}</w:instrText>
            </w:r>
            <w:r>
              <w:fldChar w:fldCharType="separate"/>
            </w:r>
            <w:r w:rsidRPr="00BE2991">
              <w:rPr>
                <w:noProof/>
              </w:rPr>
              <w:t>(Chagomerana et al. 2017)</w:t>
            </w:r>
            <w:r>
              <w:fldChar w:fldCharType="end"/>
            </w:r>
          </w:p>
        </w:tc>
      </w:tr>
      <w:tr w:rsidR="00DD077E" w14:paraId="03A6097E" w14:textId="77777777" w:rsidTr="00356EB3">
        <w:tc>
          <w:tcPr>
            <w:tcW w:w="2187" w:type="dxa"/>
          </w:tcPr>
          <w:p w14:paraId="01BFC995" w14:textId="77777777" w:rsidR="00DD077E" w:rsidRDefault="00DD077E" w:rsidP="00356EB3">
            <w:pPr>
              <w:spacing w:line="480" w:lineRule="auto"/>
            </w:pPr>
            <w:r>
              <w:t>Open fracture of the foot</w:t>
            </w:r>
          </w:p>
        </w:tc>
        <w:tc>
          <w:tcPr>
            <w:tcW w:w="1225" w:type="dxa"/>
          </w:tcPr>
          <w:p w14:paraId="35A4F813" w14:textId="77777777" w:rsidR="00DD077E" w:rsidRDefault="00DD077E" w:rsidP="00356EB3">
            <w:pPr>
              <w:spacing w:line="480" w:lineRule="auto"/>
            </w:pPr>
            <w:r>
              <w:t>3</w:t>
            </w:r>
          </w:p>
        </w:tc>
        <w:tc>
          <w:tcPr>
            <w:tcW w:w="1034" w:type="dxa"/>
          </w:tcPr>
          <w:p w14:paraId="14CDCB6C" w14:textId="77777777" w:rsidR="00DD077E" w:rsidRPr="004A7FC9" w:rsidRDefault="00DD077E" w:rsidP="00356EB3">
            <w:pPr>
              <w:spacing w:line="480" w:lineRule="auto"/>
            </w:pPr>
            <w:r>
              <w:t>0.126</w:t>
            </w:r>
          </w:p>
        </w:tc>
        <w:tc>
          <w:tcPr>
            <w:tcW w:w="1772" w:type="dxa"/>
          </w:tcPr>
          <w:p w14:paraId="3601A289" w14:textId="77777777" w:rsidR="00DD077E" w:rsidRPr="004137CE" w:rsidRDefault="00DD077E" w:rsidP="00356EB3">
            <w:pPr>
              <w:spacing w:line="480" w:lineRule="auto"/>
            </w:pPr>
            <w:r w:rsidRPr="004137CE">
              <w:t xml:space="preserve">Ceftriaxon, Cetrimide 15% + </w:t>
            </w:r>
            <w:r w:rsidRPr="004137CE">
              <w:lastRenderedPageBreak/>
              <w:t>chlorhexidine 1.5% solution,</w:t>
            </w:r>
          </w:p>
          <w:p w14:paraId="77C5335D" w14:textId="77777777" w:rsidR="00DD077E" w:rsidRPr="004137CE" w:rsidRDefault="00DD077E" w:rsidP="00356EB3">
            <w:pPr>
              <w:spacing w:line="480" w:lineRule="auto"/>
            </w:pPr>
            <w:r w:rsidRPr="004137CE">
              <w:t xml:space="preserve">paraffin gauze, </w:t>
            </w:r>
          </w:p>
          <w:p w14:paraId="63506F91" w14:textId="77777777" w:rsidR="00DD077E" w:rsidRDefault="00DD077E" w:rsidP="00356EB3">
            <w:pPr>
              <w:spacing w:line="480" w:lineRule="auto"/>
            </w:pPr>
            <w:r>
              <w:t>suture kit,</w:t>
            </w:r>
          </w:p>
          <w:p w14:paraId="1FD50663" w14:textId="77777777" w:rsidR="00DD077E" w:rsidRDefault="00DD077E" w:rsidP="00356EB3">
            <w:pPr>
              <w:spacing w:line="480" w:lineRule="auto"/>
            </w:pPr>
            <w:r w:rsidRPr="00C1166C">
              <w:t>Metronidazole</w:t>
            </w:r>
          </w:p>
        </w:tc>
        <w:tc>
          <w:tcPr>
            <w:tcW w:w="1214" w:type="dxa"/>
          </w:tcPr>
          <w:p w14:paraId="4A62CF58" w14:textId="77777777" w:rsidR="00DD077E" w:rsidRDefault="00DD077E" w:rsidP="00356EB3">
            <w:pPr>
              <w:spacing w:line="480" w:lineRule="auto"/>
            </w:pPr>
            <w:r>
              <w:lastRenderedPageBreak/>
              <w:t>213 days with treatment,</w:t>
            </w:r>
          </w:p>
          <w:p w14:paraId="4BB93278" w14:textId="77777777" w:rsidR="00DD077E" w:rsidRDefault="00DD077E" w:rsidP="00356EB3">
            <w:pPr>
              <w:spacing w:line="480" w:lineRule="auto"/>
            </w:pPr>
            <w:r>
              <w:lastRenderedPageBreak/>
              <w:t>240 days without</w:t>
            </w:r>
          </w:p>
        </w:tc>
        <w:tc>
          <w:tcPr>
            <w:tcW w:w="1584" w:type="dxa"/>
          </w:tcPr>
          <w:p w14:paraId="1AD1F4B8" w14:textId="77777777" w:rsidR="00DD077E" w:rsidRDefault="00DD077E" w:rsidP="00356EB3">
            <w:pPr>
              <w:spacing w:line="480" w:lineRule="auto"/>
            </w:pPr>
            <w:r>
              <w:lastRenderedPageBreak/>
              <w:fldChar w:fldCharType="begin" w:fldLock="1"/>
            </w:r>
            <w:r>
              <w:instrText>ADDIN CSL_CITATION {"citationItems":[{"id":"ITEM-1","itemData":{"DOI":"10.4314/mmj.v32i3.2","ISSN":"19957270","PMID":"33488981","abstract":"Background Open fractures are common injuries in Malawi that pose a large burden on the healthcare system and result in long-term disability. Aim Establishing a multiprofessional agreement on the management of open fractures in Malawi from a consensus meeting. Methods AO Alliance convened a consensus meeting to build an agreement on the management of open fractures in Malawi. Eighteen members from different professions and various regions of Malawi participated in a 1-day consensus meeting on 7 September 2019. Prior to the meeting the British Orthopaedic Audit Standards for Trauma (BOAST) for open fractures, as well as relevant systematic reviews and seminal literature were circulated. Panel members gave presentations on open fracture management, followed by an open discussion meeting. At the 1-day consensus meeting panel members developed statements for each standard and guideline. Panel members then voted to accept or reject the statements. Results Substantial agreement (no rejections) was reached for all 17 guidelines and the associated terminology was agreed on. These guidelines were then presented to the members of the Malawi Orthopaedic Association (MOA) at their annual general meeting on 28 September 2019 and all participants agreed to adopt them. Conclusions These MOA/AO Alliance guidelines aim to set a standard for open fracture management that can be regularly measured and audited in Malawi to improve care for these patients.","author":[{"dropping-particle":"","family":"Schade","given":"Alexander Thomas","non-dropping-particle":"","parse-names":false,"suffix":""},{"dropping-particle":"","family":"Yesaya","given":"Master","non-dropping-particle":"","parse-names":false,"suffix":""},{"dropping-particle":"","family":"Bates","given":"Jeremy","non-dropping-particle":"","parse-names":false,"suffix":""},{"dropping-particle":"","family":"Martin","given":"Claude","non-dropping-particle":"","parse-names":false,"suffix":""},{"dropping-particle":"","family":"Harrison","given":"William James","non-dropping-particle":"","parse-names":false,"suffix":""}],"container-title":"Malawi Medical Journal","id":"ITEM-1","issue":"3","issued":{"date-parts":[["2020","9","1"]]},"page":"112-119","publisher":"Malawi Medical Journal","title":"The malawi orthopaedic association/ao alliance guidelines and standards for open fracture management in malawi: A national consensus statement","type":"article-journal","volume":"32"},"uris":["http://www.mendeley.com/documents/?uuid=621ef088-d4dd-3221-947d-a38b3d3d8df0"]}],"mendeley":{"formattedCitation":"(Schade et al. 2020)","plainTextFormattedCitation":"(Schade et al. 2020)","previouslyFormattedCitation":"(Schade et al. 2020)"},"properties":{"noteIndex":0},"schema":"https://github.com/citation-style-language/schema/raw/master/csl-citation.json"}</w:instrText>
            </w:r>
            <w:r>
              <w:fldChar w:fldCharType="separate"/>
            </w:r>
            <w:r w:rsidRPr="00C1166C">
              <w:rPr>
                <w:noProof/>
              </w:rPr>
              <w:t>(Schade et al. 2020)</w:t>
            </w:r>
            <w:r>
              <w:fldChar w:fldCharType="end"/>
            </w:r>
          </w:p>
        </w:tc>
      </w:tr>
      <w:tr w:rsidR="00DD077E" w14:paraId="1E54B425" w14:textId="77777777" w:rsidTr="00356EB3">
        <w:tc>
          <w:tcPr>
            <w:tcW w:w="2187" w:type="dxa"/>
          </w:tcPr>
          <w:p w14:paraId="13C6E7AA" w14:textId="77777777" w:rsidR="00DD077E" w:rsidRDefault="00DD077E" w:rsidP="00356EB3">
            <w:pPr>
              <w:spacing w:line="480" w:lineRule="auto"/>
            </w:pPr>
            <w:r>
              <w:t>Fracture to patella, tibia, fibula, ankle, short term without treatment</w:t>
            </w:r>
          </w:p>
        </w:tc>
        <w:tc>
          <w:tcPr>
            <w:tcW w:w="1225" w:type="dxa"/>
          </w:tcPr>
          <w:p w14:paraId="50B223C6" w14:textId="77777777" w:rsidR="00DD077E" w:rsidRDefault="00DD077E" w:rsidP="00356EB3">
            <w:pPr>
              <w:spacing w:line="480" w:lineRule="auto"/>
            </w:pPr>
            <w:r>
              <w:t>2</w:t>
            </w:r>
          </w:p>
        </w:tc>
        <w:tc>
          <w:tcPr>
            <w:tcW w:w="1034" w:type="dxa"/>
          </w:tcPr>
          <w:p w14:paraId="5D13338D" w14:textId="77777777" w:rsidR="00DD077E" w:rsidRDefault="00DD077E" w:rsidP="00356EB3">
            <w:pPr>
              <w:spacing w:line="480" w:lineRule="auto"/>
            </w:pPr>
            <w:r w:rsidRPr="004A7FC9">
              <w:t>0.05</w:t>
            </w:r>
          </w:p>
        </w:tc>
        <w:tc>
          <w:tcPr>
            <w:tcW w:w="1772" w:type="dxa"/>
          </w:tcPr>
          <w:p w14:paraId="44AD9325" w14:textId="77777777" w:rsidR="00DD077E" w:rsidRPr="004A7FC9" w:rsidRDefault="00DD077E" w:rsidP="00356EB3">
            <w:pPr>
              <w:spacing w:line="480" w:lineRule="auto"/>
            </w:pPr>
            <w:r>
              <w:t>Skeletal traction, open reduction, external fixation, internal fixation, fracture casting</w:t>
            </w:r>
          </w:p>
        </w:tc>
        <w:tc>
          <w:tcPr>
            <w:tcW w:w="1214" w:type="dxa"/>
          </w:tcPr>
          <w:p w14:paraId="51F2D3FF" w14:textId="77777777" w:rsidR="00DD077E" w:rsidRDefault="00DD077E" w:rsidP="00356EB3">
            <w:pPr>
              <w:spacing w:line="480" w:lineRule="auto"/>
            </w:pPr>
            <w:r>
              <w:t>63 days with treatment, 70 days without</w:t>
            </w:r>
          </w:p>
        </w:tc>
        <w:tc>
          <w:tcPr>
            <w:tcW w:w="1584" w:type="dxa"/>
          </w:tcPr>
          <w:p w14:paraId="6BBBCA81" w14:textId="77777777" w:rsidR="00DD077E" w:rsidRPr="004A7FC9" w:rsidRDefault="00DD077E" w:rsidP="00356EB3">
            <w:pPr>
              <w:spacing w:line="480" w:lineRule="auto"/>
            </w:pPr>
            <w:r>
              <w:fldChar w:fldCharType="begin" w:fldLock="1"/>
            </w:r>
            <w:r>
              <w:instrText>ADDIN CSL_CITATION {"citationItems":[{"id":"ITEM-1","itemData":{"DOI":"10.1016/j.ijsu.2017.01.047","ISSN":"17439159","PMID":"28110030","abstract":"Introduction A lower extremity injury can be a devastating event in low-income countries due to limited access to surgical care. Its incidence, treatment patterns, and outcomes, however, have not been well-described. Methods We prospectively enrolled all patients admitted with lower extremity trauma to a tertiary hospital in Lilongwe, Malawi between October 2010 and September 2011. Patients with a lower extremity injury but primarily admitted for unrelated reasons were excluded. The outcomes were deaths, complications, and length of hospital stay. Results Of the 905 patients eligible for analysis, 696 (77%) were males. Most patients had femur fractures (46%), and most were treated non-operatively (70%). Overall mortality rate was 3.9%. For adult patients with femur fractures, mortality was higher in patients treated with traction (9.0%) than for those treated with surgery (1.3%). The total complication rate was 15%, with adjusted odds of developing a complication higher in patients with concurrent head injury (OR = 2.8; 95% CI: 1.3–6.0), and patients who had an operative treatment (OR = 2; 95% CI: 1.2–1.9). The median length of stay was 16 days (IQR: 6–27) and was greatest among patients with femur fractures. Conclusion Lower extremity injuries resulted in substantial mortality and morbidity in this low-income country. Mortality was particularly high among patients with femur fractures who did not have surgery. Modern orthopedic trauma surgery is greatly needed in low-income countries.","author":[{"dropping-particle":"","family":"Chagomerana","given":"Maganizo B.","non-dropping-particle":"","parse-names":false,"suffix":""},{"dropping-particle":"","family":"Tomlinson","given":"Jared","non-dropping-particle":"","parse-names":false,"suffix":""},{"dropping-particle":"","family":"Young","given":"Sven","non-dropping-particle":"","parse-names":false,"suffix":""},{"dropping-particle":"","family":"Hosseinipour","given":"Mina C.","non-dropping-particle":"","parse-names":false,"suffix":""},{"dropping-particle":"","family":"Banza","given":"Leonard","non-dropping-particle":"","parse-names":false,"suffix":""},{"dropping-particle":"","family":"Lee","given":"Clara N.","non-dropping-particle":"","parse-names":false,"suffix":""}],"container-title":"International Journal of Surgery","id":"ITEM-1","issued":{"date-parts":[["2017","3","1"]]},"page":"23-29","publisher":"Elsevier Ltd","title":"High morbidity and mortality after lower extremity injuries in Malawi: A prospective cohort study of 905 patients","type":"article-journal","volume":"39"},"uris":["http://www.mendeley.com/documents/?uuid=55d3c196-2dcc-3c44-a62b-cde7c636f1e1"]}],"mendeley":{"formattedCitation":"(Chagomerana et al. 2017)","plainTextFormattedCitation":"(Chagomerana et al. 2017)","previouslyFormattedCitation":"(Chagomerana et al. 2017)"},"properties":{"noteIndex":0},"schema":"https://github.com/citation-style-language/schema/raw/master/csl-citation.json"}</w:instrText>
            </w:r>
            <w:r>
              <w:fldChar w:fldCharType="separate"/>
            </w:r>
            <w:r w:rsidRPr="00BE2991">
              <w:rPr>
                <w:noProof/>
              </w:rPr>
              <w:t>(Chagomerana et al. 2017)</w:t>
            </w:r>
            <w:r>
              <w:fldChar w:fldCharType="end"/>
            </w:r>
          </w:p>
        </w:tc>
      </w:tr>
      <w:tr w:rsidR="00DD077E" w14:paraId="4D80F8AB" w14:textId="77777777" w:rsidTr="00356EB3">
        <w:tc>
          <w:tcPr>
            <w:tcW w:w="2187" w:type="dxa"/>
          </w:tcPr>
          <w:p w14:paraId="328FBDE4" w14:textId="77777777" w:rsidR="00DD077E" w:rsidRDefault="00DD077E" w:rsidP="00356EB3">
            <w:pPr>
              <w:spacing w:line="480" w:lineRule="auto"/>
            </w:pPr>
            <w:r>
              <w:t>Fracture to patella, tibia, fibula, ankle, long term without treatment</w:t>
            </w:r>
          </w:p>
        </w:tc>
        <w:tc>
          <w:tcPr>
            <w:tcW w:w="1225" w:type="dxa"/>
          </w:tcPr>
          <w:p w14:paraId="4F74B47C" w14:textId="77777777" w:rsidR="00DD077E" w:rsidRDefault="00DD077E" w:rsidP="00356EB3">
            <w:pPr>
              <w:spacing w:line="480" w:lineRule="auto"/>
            </w:pPr>
            <w:r>
              <w:t>2</w:t>
            </w:r>
          </w:p>
        </w:tc>
        <w:tc>
          <w:tcPr>
            <w:tcW w:w="1034" w:type="dxa"/>
          </w:tcPr>
          <w:p w14:paraId="4B3CDF06" w14:textId="77777777" w:rsidR="00DD077E" w:rsidRPr="004A7FC9" w:rsidRDefault="00DD077E" w:rsidP="00356EB3">
            <w:pPr>
              <w:spacing w:line="480" w:lineRule="auto"/>
            </w:pPr>
            <w:r w:rsidRPr="004A7FC9">
              <w:t>0.055</w:t>
            </w:r>
          </w:p>
        </w:tc>
        <w:tc>
          <w:tcPr>
            <w:tcW w:w="1772" w:type="dxa"/>
          </w:tcPr>
          <w:p w14:paraId="7944CB2F" w14:textId="77777777" w:rsidR="00DD077E" w:rsidRPr="004A7FC9" w:rsidRDefault="00DD077E" w:rsidP="00356EB3">
            <w:pPr>
              <w:spacing w:line="480" w:lineRule="auto"/>
            </w:pPr>
            <w:r>
              <w:t>Skeletal traction, open reduction, external fixation, internal fixation, fracture casting</w:t>
            </w:r>
          </w:p>
        </w:tc>
        <w:tc>
          <w:tcPr>
            <w:tcW w:w="1214" w:type="dxa"/>
          </w:tcPr>
          <w:p w14:paraId="5F33BA64" w14:textId="77777777" w:rsidR="00DD077E" w:rsidRDefault="00DD077E" w:rsidP="00356EB3">
            <w:pPr>
              <w:spacing w:line="480" w:lineRule="auto"/>
            </w:pPr>
            <w:r>
              <w:t>Permanent</w:t>
            </w:r>
          </w:p>
        </w:tc>
        <w:tc>
          <w:tcPr>
            <w:tcW w:w="1584" w:type="dxa"/>
          </w:tcPr>
          <w:p w14:paraId="5E8272F5" w14:textId="77777777" w:rsidR="00DD077E" w:rsidRPr="004A7FC9" w:rsidRDefault="00DD077E" w:rsidP="00356EB3">
            <w:pPr>
              <w:spacing w:line="480" w:lineRule="auto"/>
            </w:pPr>
            <w:r>
              <w:fldChar w:fldCharType="begin" w:fldLock="1"/>
            </w:r>
            <w:r>
              <w:instrText>ADDIN CSL_CITATION {"citationItems":[{"id":"ITEM-1","itemData":{"DOI":"10.1016/j.ijsu.2017.01.047","ISSN":"17439159","PMID":"28110030","abstract":"Introduction A lower extremity injury can be a devastating event in low-income countries due to limited access to surgical care. Its incidence, treatment patterns, and outcomes, however, have not been well-described. Methods We prospectively enrolled all patients admitted with lower extremity trauma to a tertiary hospital in Lilongwe, Malawi between October 2010 and September 2011. Patients with a lower extremity injury but primarily admitted for unrelated reasons were excluded. The outcomes were deaths, complications, and length of hospital stay. Results Of the 905 patients eligible for analysis, 696 (77%) were males. Most patients had femur fractures (46%), and most were treated non-operatively (70%). Overall mortality rate was 3.9%. For adult patients with femur fractures, mortality was higher in patients treated with traction (9.0%) than for those treated with surgery (1.3%). The total complication rate was 15%, with adjusted odds of developing a complication higher in patients with concurrent head injury (OR = 2.8; 95% CI: 1.3–6.0), and patients who had an operative treatment (OR = 2; 95% CI: 1.2–1.9). The median length of stay was 16 days (IQR: 6–27) and was greatest among patients with femur fractures. Conclusion Lower extremity injuries resulted in substantial mortality and morbidity in this low-income country. Mortality was particularly high among patients with femur fractures who did not have surgery. Modern orthopedic trauma surgery is greatly needed in low-income countries.","author":[{"dropping-particle":"","family":"Chagomerana","given":"Maganizo B.","non-dropping-particle":"","parse-names":false,"suffix":""},{"dropping-particle":"","family":"Tomlinson","given":"Jared","non-dropping-particle":"","parse-names":false,"suffix":""},{"dropping-particle":"","family":"Young","given":"Sven","non-dropping-particle":"","parse-names":false,"suffix":""},{"dropping-particle":"","family":"Hosseinipour","given":"Mina C.","non-dropping-particle":"","parse-names":false,"suffix":""},{"dropping-particle":"","family":"Banza","given":"Leonard","non-dropping-particle":"","parse-names":false,"suffix":""},{"dropping-particle":"","family":"Lee","given":"Clara N.","non-dropping-particle":"","parse-names":false,"suffix":""}],"container-title":"International Journal of Surgery","id":"ITEM-1","issued":{"date-parts":[["2017","3","1"]]},"page":"23-29","publisher":"Elsevier Ltd","title":"High morbidity and mortality after lower extremity injuries in Malawi: A prospective cohort study of 905 patients","type":"article-journal","volume":"39"},"uris":["http://www.mendeley.com/documents/?uuid=55d3c196-2dcc-3c44-a62b-cde7c636f1e1"]}],"mendeley":{"formattedCitation":"(Chagomerana et al. 2017)","plainTextFormattedCitation":"(Chagomerana et al. 2017)","previouslyFormattedCitation":"(Chagomerana et al. 2017)"},"properties":{"noteIndex":0},"schema":"https://github.com/citation-style-language/schema/raw/master/csl-citation.json"}</w:instrText>
            </w:r>
            <w:r>
              <w:fldChar w:fldCharType="separate"/>
            </w:r>
            <w:r w:rsidRPr="00BE2991">
              <w:rPr>
                <w:noProof/>
              </w:rPr>
              <w:t>(Chagomerana et al. 2017)</w:t>
            </w:r>
            <w:r>
              <w:fldChar w:fldCharType="end"/>
            </w:r>
          </w:p>
        </w:tc>
      </w:tr>
      <w:tr w:rsidR="00DD077E" w14:paraId="7C142040" w14:textId="77777777" w:rsidTr="00356EB3">
        <w:tc>
          <w:tcPr>
            <w:tcW w:w="2187" w:type="dxa"/>
          </w:tcPr>
          <w:p w14:paraId="67D0A5E4" w14:textId="77777777" w:rsidR="00DD077E" w:rsidRDefault="00DD077E" w:rsidP="00356EB3">
            <w:pPr>
              <w:spacing w:line="480" w:lineRule="auto"/>
            </w:pPr>
            <w:r>
              <w:t>Open fracture of the patella, tibia, fibula, ankle</w:t>
            </w:r>
          </w:p>
        </w:tc>
        <w:tc>
          <w:tcPr>
            <w:tcW w:w="1225" w:type="dxa"/>
          </w:tcPr>
          <w:p w14:paraId="4A78F9A3" w14:textId="77777777" w:rsidR="00DD077E" w:rsidRDefault="00DD077E" w:rsidP="00356EB3">
            <w:pPr>
              <w:spacing w:line="480" w:lineRule="auto"/>
            </w:pPr>
            <w:r>
              <w:t>3</w:t>
            </w:r>
          </w:p>
        </w:tc>
        <w:tc>
          <w:tcPr>
            <w:tcW w:w="1034" w:type="dxa"/>
          </w:tcPr>
          <w:p w14:paraId="1E0DCBF1" w14:textId="77777777" w:rsidR="00DD077E" w:rsidRPr="004A7FC9" w:rsidRDefault="00DD077E" w:rsidP="00356EB3">
            <w:pPr>
              <w:spacing w:line="480" w:lineRule="auto"/>
            </w:pPr>
            <w:r>
              <w:t>0.15</w:t>
            </w:r>
          </w:p>
        </w:tc>
        <w:tc>
          <w:tcPr>
            <w:tcW w:w="1772" w:type="dxa"/>
          </w:tcPr>
          <w:p w14:paraId="12559B58" w14:textId="77777777" w:rsidR="00DD077E" w:rsidRPr="004137CE" w:rsidRDefault="00DD077E" w:rsidP="00356EB3">
            <w:pPr>
              <w:spacing w:line="480" w:lineRule="auto"/>
            </w:pPr>
            <w:r w:rsidRPr="004137CE">
              <w:t>Ceftriaxon, Cetrimide 15% + chlorhexidine 1.5% solution,</w:t>
            </w:r>
          </w:p>
          <w:p w14:paraId="79353AAF" w14:textId="77777777" w:rsidR="00DD077E" w:rsidRPr="004137CE" w:rsidRDefault="00DD077E" w:rsidP="00356EB3">
            <w:pPr>
              <w:spacing w:line="480" w:lineRule="auto"/>
            </w:pPr>
            <w:r w:rsidRPr="004137CE">
              <w:t xml:space="preserve">paraffin gauze, </w:t>
            </w:r>
          </w:p>
          <w:p w14:paraId="0A1942DD" w14:textId="77777777" w:rsidR="00DD077E" w:rsidRDefault="00DD077E" w:rsidP="00356EB3">
            <w:pPr>
              <w:spacing w:line="480" w:lineRule="auto"/>
            </w:pPr>
            <w:r>
              <w:t>suture kit,</w:t>
            </w:r>
          </w:p>
          <w:p w14:paraId="0626D25C" w14:textId="77777777" w:rsidR="00DD077E" w:rsidRDefault="00DD077E" w:rsidP="00356EB3">
            <w:pPr>
              <w:spacing w:line="480" w:lineRule="auto"/>
            </w:pPr>
            <w:r w:rsidRPr="00C1166C">
              <w:t>Metronidazole</w:t>
            </w:r>
          </w:p>
        </w:tc>
        <w:tc>
          <w:tcPr>
            <w:tcW w:w="1214" w:type="dxa"/>
          </w:tcPr>
          <w:p w14:paraId="1A60BE22" w14:textId="77777777" w:rsidR="00DD077E" w:rsidRDefault="00DD077E" w:rsidP="00356EB3">
            <w:pPr>
              <w:spacing w:line="480" w:lineRule="auto"/>
            </w:pPr>
            <w:r>
              <w:t>213 days</w:t>
            </w:r>
          </w:p>
        </w:tc>
        <w:tc>
          <w:tcPr>
            <w:tcW w:w="1584" w:type="dxa"/>
          </w:tcPr>
          <w:p w14:paraId="0C6AE65C" w14:textId="77777777" w:rsidR="00DD077E" w:rsidRDefault="00DD077E" w:rsidP="00356EB3">
            <w:pPr>
              <w:spacing w:line="480" w:lineRule="auto"/>
            </w:pPr>
            <w:r>
              <w:fldChar w:fldCharType="begin" w:fldLock="1"/>
            </w:r>
            <w:r>
              <w:instrText>ADDIN CSL_CITATION {"citationItems":[{"id":"ITEM-1","itemData":{"DOI":"10.4314/mmj.v32i3.2","ISSN":"19957270","PMID":"33488981","abstract":"Background Open fractures are common injuries in Malawi that pose a large burden on the healthcare system and result in long-term disability. Aim Establishing a multiprofessional agreement on the management of open fractures in Malawi from a consensus meeting. Methods AO Alliance convened a consensus meeting to build an agreement on the management of open fractures in Malawi. Eighteen members from different professions and various regions of Malawi participated in a 1-day consensus meeting on 7 September 2019. Prior to the meeting the British Orthopaedic Audit Standards for Trauma (BOAST) for open fractures, as well as relevant systematic reviews and seminal literature were circulated. Panel members gave presentations on open fracture management, followed by an open discussion meeting. At the 1-day consensus meeting panel members developed statements for each standard and guideline. Panel members then voted to accept or reject the statements. Results Substantial agreement (no rejections) was reached for all 17 guidelines and the associated terminology was agreed on. These guidelines were then presented to the members of the Malawi Orthopaedic Association (MOA) at their annual general meeting on 28 September 2019 and all participants agreed to adopt them. Conclusions These MOA/AO Alliance guidelines aim to set a standard for open fracture management that can be regularly measured and audited in Malawi to improve care for these patients.","author":[{"dropping-particle":"","family":"Schade","given":"Alexander Thomas","non-dropping-particle":"","parse-names":false,"suffix":""},{"dropping-particle":"","family":"Yesaya","given":"Master","non-dropping-particle":"","parse-names":false,"suffix":""},{"dropping-particle":"","family":"Bates","given":"Jeremy","non-dropping-particle":"","parse-names":false,"suffix":""},{"dropping-particle":"","family":"Martin","given":"Claude","non-dropping-particle":"","parse-names":false,"suffix":""},{"dropping-particle":"","family":"Harrison","given":"William James","non-dropping-particle":"","parse-names":false,"suffix":""}],"container-title":"Malawi Medical Journal","id":"ITEM-1","issue":"3","issued":{"date-parts":[["2020","9","1"]]},"page":"112-119","publisher":"Malawi Medical Journal","title":"The malawi orthopaedic association/ao alliance guidelines and standards for open fracture management in malawi: A national consensus statement","type":"article-journal","volume":"32"},"uris":["http://www.mendeley.com/documents/?uuid=621ef088-d4dd-3221-947d-a38b3d3d8df0"]}],"mendeley":{"formattedCitation":"(Schade et al. 2020)","plainTextFormattedCitation":"(Schade et al. 2020)","previouslyFormattedCitation":"(Schade et al. 2020)"},"properties":{"noteIndex":0},"schema":"https://github.com/citation-style-language/schema/raw/master/csl-citation.json"}</w:instrText>
            </w:r>
            <w:r>
              <w:fldChar w:fldCharType="separate"/>
            </w:r>
            <w:r w:rsidRPr="00C1166C">
              <w:rPr>
                <w:noProof/>
              </w:rPr>
              <w:t>(Schade et al. 2020)</w:t>
            </w:r>
            <w:r>
              <w:fldChar w:fldCharType="end"/>
            </w:r>
          </w:p>
        </w:tc>
      </w:tr>
      <w:tr w:rsidR="00DD077E" w14:paraId="5F6472AB" w14:textId="77777777" w:rsidTr="00356EB3">
        <w:tc>
          <w:tcPr>
            <w:tcW w:w="2187" w:type="dxa"/>
          </w:tcPr>
          <w:p w14:paraId="2B26265F" w14:textId="77777777" w:rsidR="00DD077E" w:rsidRDefault="00DD077E" w:rsidP="00356EB3">
            <w:pPr>
              <w:spacing w:line="480" w:lineRule="auto"/>
            </w:pPr>
            <w:r>
              <w:t>Hip fracture short term with or without treatment</w:t>
            </w:r>
          </w:p>
        </w:tc>
        <w:tc>
          <w:tcPr>
            <w:tcW w:w="1225" w:type="dxa"/>
          </w:tcPr>
          <w:p w14:paraId="719ACC5F" w14:textId="77777777" w:rsidR="00DD077E" w:rsidRDefault="00DD077E" w:rsidP="00356EB3">
            <w:pPr>
              <w:spacing w:line="480" w:lineRule="auto"/>
            </w:pPr>
            <w:r>
              <w:t>3</w:t>
            </w:r>
          </w:p>
        </w:tc>
        <w:tc>
          <w:tcPr>
            <w:tcW w:w="1034" w:type="dxa"/>
          </w:tcPr>
          <w:p w14:paraId="5A9F4BC0" w14:textId="77777777" w:rsidR="00DD077E" w:rsidRDefault="00DD077E" w:rsidP="00356EB3">
            <w:pPr>
              <w:spacing w:line="480" w:lineRule="auto"/>
            </w:pPr>
            <w:r w:rsidRPr="004A7FC9">
              <w:t>0.258</w:t>
            </w:r>
          </w:p>
        </w:tc>
        <w:tc>
          <w:tcPr>
            <w:tcW w:w="1772" w:type="dxa"/>
          </w:tcPr>
          <w:p w14:paraId="2C29ECAD" w14:textId="77777777" w:rsidR="00DD077E" w:rsidRPr="004A7FC9" w:rsidRDefault="00DD077E" w:rsidP="00356EB3">
            <w:pPr>
              <w:spacing w:line="480" w:lineRule="auto"/>
            </w:pPr>
            <w:r>
              <w:t>Major surgery</w:t>
            </w:r>
          </w:p>
        </w:tc>
        <w:tc>
          <w:tcPr>
            <w:tcW w:w="1214" w:type="dxa"/>
          </w:tcPr>
          <w:p w14:paraId="5F698036" w14:textId="77777777" w:rsidR="00DD077E" w:rsidRDefault="00DD077E" w:rsidP="00356EB3">
            <w:pPr>
              <w:spacing w:line="480" w:lineRule="auto"/>
            </w:pPr>
            <w:r>
              <w:t>270 days</w:t>
            </w:r>
          </w:p>
        </w:tc>
        <w:tc>
          <w:tcPr>
            <w:tcW w:w="1584" w:type="dxa"/>
          </w:tcPr>
          <w:p w14:paraId="6D688FE0" w14:textId="77777777" w:rsidR="00DD077E" w:rsidRPr="004A7FC9" w:rsidRDefault="00DD077E" w:rsidP="00356EB3">
            <w:pPr>
              <w:spacing w:line="480" w:lineRule="auto"/>
            </w:pPr>
            <w:r>
              <w:fldChar w:fldCharType="begin" w:fldLock="1"/>
            </w:r>
            <w:r>
              <w:instrText>ADDIN CSL_CITATION {"citationItems":[{"id":"ITEM-1","itemData":{"DOI":"10.1308/003588407X209329","ISSN":"00358843","abstract":"Malawi is a poor country with few doctors. It has 21 district hospitals all of which have operating theatres but none of which has a permanent surgeon. It also has 4 central hospitals, each with one or more surgeons. Most district hospitals are manned by a single doctor and two or more paramedical clinical officers. All district and central hospitals were visited, and theatre logbooks analysed. All cases performed in 2003 were recorded. In 2003, a total of 48,696 surgical operations were recorded, of which 25,053 were performed in 21 district hospitals and 23,643 in 4 central hospitals. Caesarean section is the commonest major surgical procedure in district hospitals and is performed in approximately 2.8% of all births, compared to 22% in the UK. Very few major general surgical or orthopaedic procedures are carried out in district hospitals. This study underlines Malawi's need for more surgeons to be trained and retained.","author":[{"dropping-particle":"","family":"Lavy","given":"Chris","non-dropping-particle":"","parse-names":false,"suffix":""},{"dropping-particle":"","family":"Tindall","given":"Alistair","non-dropping-particle":"","parse-names":false,"suffix":""},{"dropping-particle":"","family":"Steinlechner","given":"Colin","non-dropping-particle":"","parse-names":false,"suffix":""},{"dropping-particle":"","family":"Mkandawire","given":"Nyengo","non-dropping-particle":"","parse-names":false,"suffix":""},{"dropping-particle":"","family":"Chimangeni","given":"Sandy","non-dropping-particle":"","parse-names":false,"suffix":""}],"container-title":"Annals of the Royal College of Surgeons of England","id":"ITEM-1","issue":"7","issued":{"date-parts":[["2007","10"]]},"page":"722-724","publisher":"Royal College of Surgeons of England","title":"Surgery in Malawi - A national survey of activity in rural and urban hospitals","type":"article-journal","volume":"89"},"uris":["http://www.mendeley.com/documents/?uuid=49b3b33c-3bf8-3a11-abed-da1b3a0d17fc"]}],"mendeley":{"formattedCitation":"(Lavy et al. 2007)","plainTextFormattedCitation":"(Lavy et al. 2007)","previouslyFormattedCitation":"(Lavy et al. 2007)"},"properties":{"noteIndex":0},"schema":"https://github.com/citation-style-language/schema/raw/master/csl-citation.json"}</w:instrText>
            </w:r>
            <w:r>
              <w:fldChar w:fldCharType="separate"/>
            </w:r>
            <w:r w:rsidRPr="00BE2991">
              <w:rPr>
                <w:noProof/>
              </w:rPr>
              <w:t>(Lavy et al. 2007)</w:t>
            </w:r>
            <w:r>
              <w:fldChar w:fldCharType="end"/>
            </w:r>
          </w:p>
        </w:tc>
      </w:tr>
      <w:tr w:rsidR="00DD077E" w14:paraId="1C7928CC" w14:textId="77777777" w:rsidTr="00356EB3">
        <w:tc>
          <w:tcPr>
            <w:tcW w:w="2187" w:type="dxa"/>
          </w:tcPr>
          <w:p w14:paraId="2B8FF259" w14:textId="77777777" w:rsidR="00DD077E" w:rsidRDefault="00DD077E" w:rsidP="00356EB3">
            <w:pPr>
              <w:spacing w:line="480" w:lineRule="auto"/>
            </w:pPr>
            <w:r>
              <w:lastRenderedPageBreak/>
              <w:t>Hip fracture long term with treatment</w:t>
            </w:r>
          </w:p>
        </w:tc>
        <w:tc>
          <w:tcPr>
            <w:tcW w:w="1225" w:type="dxa"/>
          </w:tcPr>
          <w:p w14:paraId="4C510D35" w14:textId="77777777" w:rsidR="00DD077E" w:rsidRDefault="00DD077E" w:rsidP="00356EB3">
            <w:pPr>
              <w:spacing w:line="480" w:lineRule="auto"/>
            </w:pPr>
            <w:r>
              <w:t>3</w:t>
            </w:r>
          </w:p>
        </w:tc>
        <w:tc>
          <w:tcPr>
            <w:tcW w:w="1034" w:type="dxa"/>
          </w:tcPr>
          <w:p w14:paraId="5C749207" w14:textId="77777777" w:rsidR="00DD077E" w:rsidRPr="004A7FC9" w:rsidRDefault="00DD077E" w:rsidP="00356EB3">
            <w:pPr>
              <w:spacing w:line="480" w:lineRule="auto"/>
            </w:pPr>
            <w:r w:rsidRPr="004A7FC9">
              <w:t>0.058</w:t>
            </w:r>
          </w:p>
        </w:tc>
        <w:tc>
          <w:tcPr>
            <w:tcW w:w="1772" w:type="dxa"/>
          </w:tcPr>
          <w:p w14:paraId="7F130655" w14:textId="77777777" w:rsidR="00DD077E" w:rsidRPr="004A7FC9" w:rsidRDefault="00DD077E" w:rsidP="00356EB3">
            <w:pPr>
              <w:spacing w:line="480" w:lineRule="auto"/>
            </w:pPr>
            <w:r>
              <w:t>Major surgery</w:t>
            </w:r>
          </w:p>
        </w:tc>
        <w:tc>
          <w:tcPr>
            <w:tcW w:w="1214" w:type="dxa"/>
          </w:tcPr>
          <w:p w14:paraId="17E6EB62" w14:textId="77777777" w:rsidR="00DD077E" w:rsidRDefault="00DD077E" w:rsidP="00356EB3">
            <w:pPr>
              <w:spacing w:line="480" w:lineRule="auto"/>
            </w:pPr>
            <w:r>
              <w:t>Permanent</w:t>
            </w:r>
          </w:p>
        </w:tc>
        <w:tc>
          <w:tcPr>
            <w:tcW w:w="1584" w:type="dxa"/>
          </w:tcPr>
          <w:p w14:paraId="10E0D5DD" w14:textId="77777777" w:rsidR="00DD077E" w:rsidRPr="004A7FC9" w:rsidRDefault="00DD077E" w:rsidP="00356EB3">
            <w:pPr>
              <w:spacing w:line="480" w:lineRule="auto"/>
            </w:pPr>
            <w:r>
              <w:fldChar w:fldCharType="begin" w:fldLock="1"/>
            </w:r>
            <w:r>
              <w:instrText>ADDIN CSL_CITATION {"citationItems":[{"id":"ITEM-1","itemData":{"DOI":"10.1308/003588407X209329","ISSN":"00358843","abstract":"Malawi is a poor country with few doctors. It has 21 district hospitals all of which have operating theatres but none of which has a permanent surgeon. It also has 4 central hospitals, each with one or more surgeons. Most district hospitals are manned by a single doctor and two or more paramedical clinical officers. All district and central hospitals were visited, and theatre logbooks analysed. All cases performed in 2003 were recorded. In 2003, a total of 48,696 surgical operations were recorded, of which 25,053 were performed in 21 district hospitals and 23,643 in 4 central hospitals. Caesarean section is the commonest major surgical procedure in district hospitals and is performed in approximately 2.8% of all births, compared to 22% in the UK. Very few major general surgical or orthopaedic procedures are carried out in district hospitals. This study underlines Malawi's need for more surgeons to be trained and retained.","author":[{"dropping-particle":"","family":"Lavy","given":"Chris","non-dropping-particle":"","parse-names":false,"suffix":""},{"dropping-particle":"","family":"Tindall","given":"Alistair","non-dropping-particle":"","parse-names":false,"suffix":""},{"dropping-particle":"","family":"Steinlechner","given":"Colin","non-dropping-particle":"","parse-names":false,"suffix":""},{"dropping-particle":"","family":"Mkandawire","given":"Nyengo","non-dropping-particle":"","parse-names":false,"suffix":""},{"dropping-particle":"","family":"Chimangeni","given":"Sandy","non-dropping-particle":"","parse-names":false,"suffix":""}],"container-title":"Annals of the Royal College of Surgeons of England","id":"ITEM-1","issue":"7","issued":{"date-parts":[["2007","10"]]},"page":"722-724","publisher":"Royal College of Surgeons of England","title":"Surgery in Malawi - A national survey of activity in rural and urban hospitals","type":"article-journal","volume":"89"},"uris":["http://www.mendeley.com/documents/?uuid=49b3b33c-3bf8-3a11-abed-da1b3a0d17fc"]}],"mendeley":{"formattedCitation":"(Lavy et al. 2007)","plainTextFormattedCitation":"(Lavy et al. 2007)","previouslyFormattedCitation":"(Lavy et al. 2007)"},"properties":{"noteIndex":0},"schema":"https://github.com/citation-style-language/schema/raw/master/csl-citation.json"}</w:instrText>
            </w:r>
            <w:r>
              <w:fldChar w:fldCharType="separate"/>
            </w:r>
            <w:r w:rsidRPr="00BE2991">
              <w:rPr>
                <w:noProof/>
              </w:rPr>
              <w:t>(Lavy et al. 2007)</w:t>
            </w:r>
            <w:r>
              <w:fldChar w:fldCharType="end"/>
            </w:r>
          </w:p>
        </w:tc>
      </w:tr>
      <w:tr w:rsidR="00DD077E" w14:paraId="33E6ADA1" w14:textId="77777777" w:rsidTr="00356EB3">
        <w:tc>
          <w:tcPr>
            <w:tcW w:w="2187" w:type="dxa"/>
          </w:tcPr>
          <w:p w14:paraId="6F1EE5B6" w14:textId="77777777" w:rsidR="00DD077E" w:rsidRDefault="00DD077E" w:rsidP="00356EB3">
            <w:pPr>
              <w:spacing w:line="480" w:lineRule="auto"/>
            </w:pPr>
            <w:r>
              <w:t>Hip fracture long term without treatment</w:t>
            </w:r>
          </w:p>
        </w:tc>
        <w:tc>
          <w:tcPr>
            <w:tcW w:w="1225" w:type="dxa"/>
          </w:tcPr>
          <w:p w14:paraId="0F5F5B86" w14:textId="77777777" w:rsidR="00DD077E" w:rsidRDefault="00DD077E" w:rsidP="00356EB3">
            <w:pPr>
              <w:spacing w:line="480" w:lineRule="auto"/>
            </w:pPr>
            <w:r>
              <w:t>3</w:t>
            </w:r>
          </w:p>
        </w:tc>
        <w:tc>
          <w:tcPr>
            <w:tcW w:w="1034" w:type="dxa"/>
          </w:tcPr>
          <w:p w14:paraId="5846E671" w14:textId="77777777" w:rsidR="00DD077E" w:rsidRPr="004A7FC9" w:rsidRDefault="00DD077E" w:rsidP="00356EB3">
            <w:pPr>
              <w:spacing w:line="480" w:lineRule="auto"/>
            </w:pPr>
            <w:r w:rsidRPr="004A7FC9">
              <w:t>0.402</w:t>
            </w:r>
          </w:p>
        </w:tc>
        <w:tc>
          <w:tcPr>
            <w:tcW w:w="1772" w:type="dxa"/>
          </w:tcPr>
          <w:p w14:paraId="330350D2" w14:textId="77777777" w:rsidR="00DD077E" w:rsidRPr="004A7FC9" w:rsidRDefault="00DD077E" w:rsidP="00356EB3">
            <w:pPr>
              <w:spacing w:line="480" w:lineRule="auto"/>
            </w:pPr>
            <w:r>
              <w:t>Major surgery</w:t>
            </w:r>
          </w:p>
        </w:tc>
        <w:tc>
          <w:tcPr>
            <w:tcW w:w="1214" w:type="dxa"/>
          </w:tcPr>
          <w:p w14:paraId="214064FA" w14:textId="77777777" w:rsidR="00DD077E" w:rsidRDefault="00DD077E" w:rsidP="00356EB3">
            <w:pPr>
              <w:spacing w:line="480" w:lineRule="auto"/>
            </w:pPr>
            <w:r>
              <w:t>Permanent</w:t>
            </w:r>
          </w:p>
        </w:tc>
        <w:tc>
          <w:tcPr>
            <w:tcW w:w="1584" w:type="dxa"/>
          </w:tcPr>
          <w:p w14:paraId="3E6E98BF" w14:textId="77777777" w:rsidR="00DD077E" w:rsidRPr="004A7FC9" w:rsidRDefault="00DD077E" w:rsidP="00356EB3">
            <w:pPr>
              <w:spacing w:line="480" w:lineRule="auto"/>
            </w:pPr>
            <w:r>
              <w:fldChar w:fldCharType="begin" w:fldLock="1"/>
            </w:r>
            <w:r>
              <w:instrText>ADDIN CSL_CITATION {"citationItems":[{"id":"ITEM-1","itemData":{"DOI":"10.1308/003588407X209329","ISSN":"00358843","abstract":"Malawi is a poor country with few doctors. It has 21 district hospitals all of which have operating theatres but none of which has a permanent surgeon. It also has 4 central hospitals, each with one or more surgeons. Most district hospitals are manned by a single doctor and two or more paramedical clinical officers. All district and central hospitals were visited, and theatre logbooks analysed. All cases performed in 2003 were recorded. In 2003, a total of 48,696 surgical operations were recorded, of which 25,053 were performed in 21 district hospitals and 23,643 in 4 central hospitals. Caesarean section is the commonest major surgical procedure in district hospitals and is performed in approximately 2.8% of all births, compared to 22% in the UK. Very few major general surgical or orthopaedic procedures are carried out in district hospitals. This study underlines Malawi's need for more surgeons to be trained and retained.","author":[{"dropping-particle":"","family":"Lavy","given":"Chris","non-dropping-particle":"","parse-names":false,"suffix":""},{"dropping-particle":"","family":"Tindall","given":"Alistair","non-dropping-particle":"","parse-names":false,"suffix":""},{"dropping-particle":"","family":"Steinlechner","given":"Colin","non-dropping-particle":"","parse-names":false,"suffix":""},{"dropping-particle":"","family":"Mkandawire","given":"Nyengo","non-dropping-particle":"","parse-names":false,"suffix":""},{"dropping-particle":"","family":"Chimangeni","given":"Sandy","non-dropping-particle":"","parse-names":false,"suffix":""}],"container-title":"Annals of the Royal College of Surgeons of England","id":"ITEM-1","issue":"7","issued":{"date-parts":[["2007","10"]]},"page":"722-724","publisher":"Royal College of Surgeons of England","title":"Surgery in Malawi - A national survey of activity in rural and urban hospitals","type":"article-journal","volume":"89"},"uris":["http://www.mendeley.com/documents/?uuid=49b3b33c-3bf8-3a11-abed-da1b3a0d17fc"]}],"mendeley":{"formattedCitation":"(Lavy et al. 2007)","plainTextFormattedCitation":"(Lavy et al. 2007)","previouslyFormattedCitation":"(Lavy et al. 2007)"},"properties":{"noteIndex":0},"schema":"https://github.com/citation-style-language/schema/raw/master/csl-citation.json"}</w:instrText>
            </w:r>
            <w:r>
              <w:fldChar w:fldCharType="separate"/>
            </w:r>
            <w:r w:rsidRPr="00BE2991">
              <w:rPr>
                <w:noProof/>
              </w:rPr>
              <w:t>(Lavy et al. 2007)</w:t>
            </w:r>
            <w:r>
              <w:fldChar w:fldCharType="end"/>
            </w:r>
          </w:p>
        </w:tc>
      </w:tr>
      <w:tr w:rsidR="00DD077E" w14:paraId="209D30EF" w14:textId="77777777" w:rsidTr="00356EB3">
        <w:tc>
          <w:tcPr>
            <w:tcW w:w="2187" w:type="dxa"/>
          </w:tcPr>
          <w:p w14:paraId="339FD5F3" w14:textId="77777777" w:rsidR="00DD077E" w:rsidRDefault="00DD077E" w:rsidP="00356EB3">
            <w:pPr>
              <w:spacing w:line="480" w:lineRule="auto"/>
            </w:pPr>
            <w:r>
              <w:t>Pelvis fracture, short term</w:t>
            </w:r>
          </w:p>
        </w:tc>
        <w:tc>
          <w:tcPr>
            <w:tcW w:w="1225" w:type="dxa"/>
          </w:tcPr>
          <w:p w14:paraId="15DFAAAA" w14:textId="77777777" w:rsidR="00DD077E" w:rsidRDefault="00DD077E" w:rsidP="00356EB3">
            <w:pPr>
              <w:spacing w:line="480" w:lineRule="auto"/>
            </w:pPr>
            <w:r>
              <w:t>3</w:t>
            </w:r>
          </w:p>
        </w:tc>
        <w:tc>
          <w:tcPr>
            <w:tcW w:w="1034" w:type="dxa"/>
          </w:tcPr>
          <w:p w14:paraId="40A2F800" w14:textId="77777777" w:rsidR="00DD077E" w:rsidRDefault="00DD077E" w:rsidP="00356EB3">
            <w:pPr>
              <w:spacing w:line="480" w:lineRule="auto"/>
            </w:pPr>
            <w:r w:rsidRPr="004A7FC9">
              <w:t>0.279</w:t>
            </w:r>
          </w:p>
        </w:tc>
        <w:tc>
          <w:tcPr>
            <w:tcW w:w="1772" w:type="dxa"/>
          </w:tcPr>
          <w:p w14:paraId="4710F356" w14:textId="77777777" w:rsidR="00DD077E" w:rsidRPr="004A7FC9" w:rsidRDefault="00DD077E" w:rsidP="00356EB3">
            <w:pPr>
              <w:spacing w:line="480" w:lineRule="auto"/>
            </w:pPr>
            <w:r>
              <w:t>Major surgery</w:t>
            </w:r>
          </w:p>
        </w:tc>
        <w:tc>
          <w:tcPr>
            <w:tcW w:w="1214" w:type="dxa"/>
          </w:tcPr>
          <w:p w14:paraId="70541430" w14:textId="77777777" w:rsidR="00DD077E" w:rsidRDefault="00DD077E" w:rsidP="00356EB3">
            <w:pPr>
              <w:spacing w:line="480" w:lineRule="auto"/>
            </w:pPr>
            <w:r>
              <w:t>70 days</w:t>
            </w:r>
          </w:p>
        </w:tc>
        <w:tc>
          <w:tcPr>
            <w:tcW w:w="1584" w:type="dxa"/>
          </w:tcPr>
          <w:p w14:paraId="64976F7E" w14:textId="77777777" w:rsidR="00DD077E" w:rsidRPr="004A7FC9" w:rsidRDefault="00DD077E" w:rsidP="00356EB3">
            <w:pPr>
              <w:spacing w:line="480" w:lineRule="auto"/>
            </w:pPr>
            <w:r>
              <w:fldChar w:fldCharType="begin" w:fldLock="1"/>
            </w:r>
            <w:r>
              <w:instrText>ADDIN CSL_CITATION {"citationItems":[{"id":"ITEM-1","itemData":{"DOI":"10.1308/003588407X209329","ISSN":"00358843","abstract":"Malawi is a poor country with few doctors. It has 21 district hospitals all of which have operating theatres but none of which has a permanent surgeon. It also has 4 central hospitals, each with one or more surgeons. Most district hospitals are manned by a single doctor and two or more paramedical clinical officers. All district and central hospitals were visited, and theatre logbooks analysed. All cases performed in 2003 were recorded. In 2003, a total of 48,696 surgical operations were recorded, of which 25,053 were performed in 21 district hospitals and 23,643 in 4 central hospitals. Caesarean section is the commonest major surgical procedure in district hospitals and is performed in approximately 2.8% of all births, compared to 22% in the UK. Very few major general surgical or orthopaedic procedures are carried out in district hospitals. This study underlines Malawi's need for more surgeons to be trained and retained.","author":[{"dropping-particle":"","family":"Lavy","given":"Chris","non-dropping-particle":"","parse-names":false,"suffix":""},{"dropping-particle":"","family":"Tindall","given":"Alistair","non-dropping-particle":"","parse-names":false,"suffix":""},{"dropping-particle":"","family":"Steinlechner","given":"Colin","non-dropping-particle":"","parse-names":false,"suffix":""},{"dropping-particle":"","family":"Mkandawire","given":"Nyengo","non-dropping-particle":"","parse-names":false,"suffix":""},{"dropping-particle":"","family":"Chimangeni","given":"Sandy","non-dropping-particle":"","parse-names":false,"suffix":""}],"container-title":"Annals of the Royal College of Surgeons of England","id":"ITEM-1","issue":"7","issued":{"date-parts":[["2007","10"]]},"page":"722-724","publisher":"Royal College of Surgeons of England","title":"Surgery in Malawi - A national survey of activity in rural and urban hospitals","type":"article-journal","volume":"89"},"uris":["http://www.mendeley.com/documents/?uuid=49b3b33c-3bf8-3a11-abed-da1b3a0d17fc"]}],"mendeley":{"formattedCitation":"(Lavy et al. 2007)","plainTextFormattedCitation":"(Lavy et al. 2007)","previouslyFormattedCitation":"(Lavy et al. 2007)"},"properties":{"noteIndex":0},"schema":"https://github.com/citation-style-language/schema/raw/master/csl-citation.json"}</w:instrText>
            </w:r>
            <w:r>
              <w:fldChar w:fldCharType="separate"/>
            </w:r>
            <w:r w:rsidRPr="00BE2991">
              <w:rPr>
                <w:noProof/>
              </w:rPr>
              <w:t>(Lavy et al. 2007)</w:t>
            </w:r>
            <w:r>
              <w:fldChar w:fldCharType="end"/>
            </w:r>
          </w:p>
        </w:tc>
      </w:tr>
      <w:tr w:rsidR="00DD077E" w14:paraId="2A269BF5" w14:textId="77777777" w:rsidTr="00356EB3">
        <w:tc>
          <w:tcPr>
            <w:tcW w:w="2187" w:type="dxa"/>
          </w:tcPr>
          <w:p w14:paraId="496AF37A" w14:textId="77777777" w:rsidR="00DD077E" w:rsidRDefault="00DD077E" w:rsidP="00356EB3">
            <w:pPr>
              <w:spacing w:line="480" w:lineRule="auto"/>
            </w:pPr>
            <w:r>
              <w:t>Pelvis fracture, long term</w:t>
            </w:r>
          </w:p>
        </w:tc>
        <w:tc>
          <w:tcPr>
            <w:tcW w:w="1225" w:type="dxa"/>
          </w:tcPr>
          <w:p w14:paraId="270B6112" w14:textId="77777777" w:rsidR="00DD077E" w:rsidRDefault="00DD077E" w:rsidP="00356EB3">
            <w:pPr>
              <w:spacing w:line="480" w:lineRule="auto"/>
            </w:pPr>
            <w:r>
              <w:t>3</w:t>
            </w:r>
          </w:p>
        </w:tc>
        <w:tc>
          <w:tcPr>
            <w:tcW w:w="1034" w:type="dxa"/>
          </w:tcPr>
          <w:p w14:paraId="7A97A988" w14:textId="77777777" w:rsidR="00DD077E" w:rsidRPr="004A7FC9" w:rsidRDefault="00DD077E" w:rsidP="00356EB3">
            <w:pPr>
              <w:spacing w:line="480" w:lineRule="auto"/>
            </w:pPr>
            <w:r w:rsidRPr="004A7FC9">
              <w:t>0.182</w:t>
            </w:r>
          </w:p>
        </w:tc>
        <w:tc>
          <w:tcPr>
            <w:tcW w:w="1772" w:type="dxa"/>
          </w:tcPr>
          <w:p w14:paraId="274FB6E0" w14:textId="77777777" w:rsidR="00DD077E" w:rsidRPr="004A7FC9" w:rsidRDefault="00DD077E" w:rsidP="00356EB3">
            <w:pPr>
              <w:spacing w:line="480" w:lineRule="auto"/>
            </w:pPr>
            <w:r>
              <w:t>Major surgery</w:t>
            </w:r>
          </w:p>
        </w:tc>
        <w:tc>
          <w:tcPr>
            <w:tcW w:w="1214" w:type="dxa"/>
          </w:tcPr>
          <w:p w14:paraId="38277B94" w14:textId="77777777" w:rsidR="00DD077E" w:rsidRDefault="00DD077E" w:rsidP="00356EB3">
            <w:pPr>
              <w:spacing w:line="480" w:lineRule="auto"/>
            </w:pPr>
            <w:r>
              <w:t>Permanent</w:t>
            </w:r>
          </w:p>
        </w:tc>
        <w:tc>
          <w:tcPr>
            <w:tcW w:w="1584" w:type="dxa"/>
          </w:tcPr>
          <w:p w14:paraId="5DBCAC30" w14:textId="77777777" w:rsidR="00DD077E" w:rsidRPr="004A7FC9" w:rsidRDefault="00DD077E" w:rsidP="00356EB3">
            <w:pPr>
              <w:spacing w:line="480" w:lineRule="auto"/>
            </w:pPr>
            <w:r>
              <w:fldChar w:fldCharType="begin" w:fldLock="1"/>
            </w:r>
            <w:r>
              <w:instrText>ADDIN CSL_CITATION {"citationItems":[{"id":"ITEM-1","itemData":{"DOI":"10.1308/003588407X209329","ISSN":"00358843","abstract":"Malawi is a poor country with few doctors. It has 21 district hospitals all of which have operating theatres but none of which has a permanent surgeon. It also has 4 central hospitals, each with one or more surgeons. Most district hospitals are manned by a single doctor and two or more paramedical clinical officers. All district and central hospitals were visited, and theatre logbooks analysed. All cases performed in 2003 were recorded. In 2003, a total of 48,696 surgical operations were recorded, of which 25,053 were performed in 21 district hospitals and 23,643 in 4 central hospitals. Caesarean section is the commonest major surgical procedure in district hospitals and is performed in approximately 2.8% of all births, compared to 22% in the UK. Very few major general surgical or orthopaedic procedures are carried out in district hospitals. This study underlines Malawi's need for more surgeons to be trained and retained.","author":[{"dropping-particle":"","family":"Lavy","given":"Chris","non-dropping-particle":"","parse-names":false,"suffix":""},{"dropping-particle":"","family":"Tindall","given":"Alistair","non-dropping-particle":"","parse-names":false,"suffix":""},{"dropping-particle":"","family":"Steinlechner","given":"Colin","non-dropping-particle":"","parse-names":false,"suffix":""},{"dropping-particle":"","family":"Mkandawire","given":"Nyengo","non-dropping-particle":"","parse-names":false,"suffix":""},{"dropping-particle":"","family":"Chimangeni","given":"Sandy","non-dropping-particle":"","parse-names":false,"suffix":""}],"container-title":"Annals of the Royal College of Surgeons of England","id":"ITEM-1","issue":"7","issued":{"date-parts":[["2007","10"]]},"page":"722-724","publisher":"Royal College of Surgeons of England","title":"Surgery in Malawi - A national survey of activity in rural and urban hospitals","type":"article-journal","volume":"89"},"uris":["http://www.mendeley.com/documents/?uuid=49b3b33c-3bf8-3a11-abed-da1b3a0d17fc"]}],"mendeley":{"formattedCitation":"(Lavy et al. 2007)","plainTextFormattedCitation":"(Lavy et al. 2007)","previouslyFormattedCitation":"(Lavy et al. 2007)"},"properties":{"noteIndex":0},"schema":"https://github.com/citation-style-language/schema/raw/master/csl-citation.json"}</w:instrText>
            </w:r>
            <w:r>
              <w:fldChar w:fldCharType="separate"/>
            </w:r>
            <w:r w:rsidRPr="00BE2991">
              <w:rPr>
                <w:noProof/>
              </w:rPr>
              <w:t>(Lavy et al. 2007)</w:t>
            </w:r>
            <w:r>
              <w:fldChar w:fldCharType="end"/>
            </w:r>
          </w:p>
        </w:tc>
      </w:tr>
      <w:tr w:rsidR="00DD077E" w14:paraId="0F5D21A8" w14:textId="77777777" w:rsidTr="00356EB3">
        <w:tc>
          <w:tcPr>
            <w:tcW w:w="2187" w:type="dxa"/>
          </w:tcPr>
          <w:p w14:paraId="2639DCC6" w14:textId="77777777" w:rsidR="00DD077E" w:rsidRDefault="00DD077E" w:rsidP="00356EB3">
            <w:pPr>
              <w:spacing w:line="480" w:lineRule="auto"/>
            </w:pPr>
            <w:r>
              <w:t>Open fracture of the pelvis</w:t>
            </w:r>
          </w:p>
        </w:tc>
        <w:tc>
          <w:tcPr>
            <w:tcW w:w="1225" w:type="dxa"/>
          </w:tcPr>
          <w:p w14:paraId="14D75872" w14:textId="77777777" w:rsidR="00DD077E" w:rsidRDefault="00DD077E" w:rsidP="00356EB3">
            <w:pPr>
              <w:spacing w:line="480" w:lineRule="auto"/>
            </w:pPr>
            <w:r>
              <w:t>3</w:t>
            </w:r>
          </w:p>
        </w:tc>
        <w:tc>
          <w:tcPr>
            <w:tcW w:w="1034" w:type="dxa"/>
          </w:tcPr>
          <w:p w14:paraId="2468CFF4" w14:textId="77777777" w:rsidR="00DD077E" w:rsidRPr="004A7FC9" w:rsidRDefault="00DD077E" w:rsidP="00356EB3">
            <w:pPr>
              <w:spacing w:line="480" w:lineRule="auto"/>
            </w:pPr>
            <w:r>
              <w:t>0.379</w:t>
            </w:r>
          </w:p>
        </w:tc>
        <w:tc>
          <w:tcPr>
            <w:tcW w:w="1772" w:type="dxa"/>
          </w:tcPr>
          <w:p w14:paraId="63FE8281" w14:textId="77777777" w:rsidR="00DD077E" w:rsidRPr="004137CE" w:rsidRDefault="00DD077E" w:rsidP="00356EB3">
            <w:pPr>
              <w:spacing w:line="480" w:lineRule="auto"/>
            </w:pPr>
            <w:r w:rsidRPr="004137CE">
              <w:t>Ceftriaxon, Cetrimide 15% + chlorhexidine 1.5% solution,</w:t>
            </w:r>
          </w:p>
          <w:p w14:paraId="35E177EA" w14:textId="77777777" w:rsidR="00DD077E" w:rsidRPr="004137CE" w:rsidRDefault="00DD077E" w:rsidP="00356EB3">
            <w:pPr>
              <w:spacing w:line="480" w:lineRule="auto"/>
            </w:pPr>
            <w:r w:rsidRPr="004137CE">
              <w:t xml:space="preserve">paraffin gauze, </w:t>
            </w:r>
          </w:p>
          <w:p w14:paraId="25C218D0" w14:textId="77777777" w:rsidR="00DD077E" w:rsidRDefault="00DD077E" w:rsidP="00356EB3">
            <w:pPr>
              <w:spacing w:line="480" w:lineRule="auto"/>
            </w:pPr>
            <w:r>
              <w:t>suture kit,</w:t>
            </w:r>
          </w:p>
          <w:p w14:paraId="223E9E02" w14:textId="77777777" w:rsidR="00DD077E" w:rsidRDefault="00DD077E" w:rsidP="00356EB3">
            <w:pPr>
              <w:spacing w:line="480" w:lineRule="auto"/>
            </w:pPr>
            <w:r w:rsidRPr="00C1166C">
              <w:t>Metronidazole</w:t>
            </w:r>
          </w:p>
        </w:tc>
        <w:tc>
          <w:tcPr>
            <w:tcW w:w="1214" w:type="dxa"/>
          </w:tcPr>
          <w:p w14:paraId="57408047" w14:textId="77777777" w:rsidR="00DD077E" w:rsidRDefault="00DD077E" w:rsidP="00356EB3">
            <w:pPr>
              <w:spacing w:line="480" w:lineRule="auto"/>
            </w:pPr>
            <w:r>
              <w:t>213 days</w:t>
            </w:r>
          </w:p>
        </w:tc>
        <w:tc>
          <w:tcPr>
            <w:tcW w:w="1584" w:type="dxa"/>
          </w:tcPr>
          <w:p w14:paraId="6085FD8E" w14:textId="77777777" w:rsidR="00DD077E" w:rsidRDefault="00DD077E" w:rsidP="00356EB3">
            <w:pPr>
              <w:spacing w:line="480" w:lineRule="auto"/>
            </w:pPr>
            <w:r>
              <w:fldChar w:fldCharType="begin" w:fldLock="1"/>
            </w:r>
            <w:r>
              <w:instrText>ADDIN CSL_CITATION {"citationItems":[{"id":"ITEM-1","itemData":{"DOI":"10.4314/mmj.v32i3.2","ISSN":"19957270","PMID":"33488981","abstract":"Background Open fractures are common injuries in Malawi that pose a large burden on the healthcare system and result in long-term disability. Aim Establishing a multiprofessional agreement on the management of open fractures in Malawi from a consensus meeting. Methods AO Alliance convened a consensus meeting to build an agreement on the management of open fractures in Malawi. Eighteen members from different professions and various regions of Malawi participated in a 1-day consensus meeting on 7 September 2019. Prior to the meeting the British Orthopaedic Audit Standards for Trauma (BOAST) for open fractures, as well as relevant systematic reviews and seminal literature were circulated. Panel members gave presentations on open fracture management, followed by an open discussion meeting. At the 1-day consensus meeting panel members developed statements for each standard and guideline. Panel members then voted to accept or reject the statements. Results Substantial agreement (no rejections) was reached for all 17 guidelines and the associated terminology was agreed on. These guidelines were then presented to the members of the Malawi Orthopaedic Association (MOA) at their annual general meeting on 28 September 2019 and all participants agreed to adopt them. Conclusions These MOA/AO Alliance guidelines aim to set a standard for open fracture management that can be regularly measured and audited in Malawi to improve care for these patients.","author":[{"dropping-particle":"","family":"Schade","given":"Alexander Thomas","non-dropping-particle":"","parse-names":false,"suffix":""},{"dropping-particle":"","family":"Yesaya","given":"Master","non-dropping-particle":"","parse-names":false,"suffix":""},{"dropping-particle":"","family":"Bates","given":"Jeremy","non-dropping-particle":"","parse-names":false,"suffix":""},{"dropping-particle":"","family":"Martin","given":"Claude","non-dropping-particle":"","parse-names":false,"suffix":""},{"dropping-particle":"","family":"Harrison","given":"William James","non-dropping-particle":"","parse-names":false,"suffix":""}],"container-title":"Malawi Medical Journal","id":"ITEM-1","issue":"3","issued":{"date-parts":[["2020","9","1"]]},"page":"112-119","publisher":"Malawi Medical Journal","title":"The malawi orthopaedic association/ao alliance guidelines and standards for open fracture management in malawi: A national consensus statement","type":"article-journal","volume":"32"},"uris":["http://www.mendeley.com/documents/?uuid=621ef088-d4dd-3221-947d-a38b3d3d8df0"]}],"mendeley":{"formattedCitation":"(Schade et al. 2020)","plainTextFormattedCitation":"(Schade et al. 2020)","previouslyFormattedCitation":"(Schade et al. 2020)"},"properties":{"noteIndex":0},"schema":"https://github.com/citation-style-language/schema/raw/master/csl-citation.json"}</w:instrText>
            </w:r>
            <w:r>
              <w:fldChar w:fldCharType="separate"/>
            </w:r>
            <w:r w:rsidRPr="00C1166C">
              <w:rPr>
                <w:noProof/>
              </w:rPr>
              <w:t>(Schade et al. 2020)</w:t>
            </w:r>
            <w:r>
              <w:fldChar w:fldCharType="end"/>
            </w:r>
          </w:p>
        </w:tc>
      </w:tr>
      <w:tr w:rsidR="00DD077E" w14:paraId="076011B9" w14:textId="77777777" w:rsidTr="00356EB3">
        <w:tc>
          <w:tcPr>
            <w:tcW w:w="2187" w:type="dxa"/>
          </w:tcPr>
          <w:p w14:paraId="02E0E12F" w14:textId="77777777" w:rsidR="00DD077E" w:rsidRDefault="00DD077E" w:rsidP="00356EB3">
            <w:pPr>
              <w:spacing w:line="480" w:lineRule="auto"/>
            </w:pPr>
            <w:r>
              <w:t>Femur fracture, short term with or without treatment</w:t>
            </w:r>
          </w:p>
        </w:tc>
        <w:tc>
          <w:tcPr>
            <w:tcW w:w="1225" w:type="dxa"/>
          </w:tcPr>
          <w:p w14:paraId="082B6F91" w14:textId="77777777" w:rsidR="00DD077E" w:rsidRDefault="00DD077E" w:rsidP="00356EB3">
            <w:pPr>
              <w:spacing w:line="480" w:lineRule="auto"/>
            </w:pPr>
            <w:r>
              <w:t>3</w:t>
            </w:r>
          </w:p>
        </w:tc>
        <w:tc>
          <w:tcPr>
            <w:tcW w:w="1034" w:type="dxa"/>
          </w:tcPr>
          <w:p w14:paraId="0563B698" w14:textId="77777777" w:rsidR="00DD077E" w:rsidRDefault="00DD077E" w:rsidP="00356EB3">
            <w:pPr>
              <w:spacing w:line="480" w:lineRule="auto"/>
            </w:pPr>
            <w:r w:rsidRPr="0051285B">
              <w:t>0.111</w:t>
            </w:r>
          </w:p>
        </w:tc>
        <w:tc>
          <w:tcPr>
            <w:tcW w:w="1772" w:type="dxa"/>
          </w:tcPr>
          <w:p w14:paraId="5D609011" w14:textId="77777777" w:rsidR="00DD077E" w:rsidRPr="0051285B" w:rsidRDefault="00DD077E" w:rsidP="00356EB3">
            <w:pPr>
              <w:spacing w:line="480" w:lineRule="auto"/>
            </w:pPr>
            <w:r>
              <w:t>Skeletal traction, open reduction, external fixation, internal fixation, fracture casting</w:t>
            </w:r>
          </w:p>
        </w:tc>
        <w:tc>
          <w:tcPr>
            <w:tcW w:w="1214" w:type="dxa"/>
          </w:tcPr>
          <w:p w14:paraId="5C83C939" w14:textId="77777777" w:rsidR="00DD077E" w:rsidRDefault="00DD077E" w:rsidP="00356EB3">
            <w:pPr>
              <w:spacing w:line="480" w:lineRule="auto"/>
            </w:pPr>
            <w:r>
              <w:t>120 days</w:t>
            </w:r>
          </w:p>
        </w:tc>
        <w:tc>
          <w:tcPr>
            <w:tcW w:w="1584" w:type="dxa"/>
          </w:tcPr>
          <w:p w14:paraId="46CB7BFA" w14:textId="77777777" w:rsidR="00DD077E" w:rsidRPr="0051285B" w:rsidRDefault="00DD077E" w:rsidP="00356EB3">
            <w:pPr>
              <w:spacing w:line="480" w:lineRule="auto"/>
            </w:pPr>
            <w:r>
              <w:fldChar w:fldCharType="begin" w:fldLock="1"/>
            </w:r>
            <w:r>
              <w:instrText>ADDIN CSL_CITATION {"citationItems":[{"id":"ITEM-1","itemData":{"DOI":"10.1016/j.ijsu.2017.01.047","ISSN":"17439159","PMID":"28110030","abstract":"Introduction A lower extremity injury can be a devastating event in low-income countries due to limited access to surgical care. Its incidence, treatment patterns, and outcomes, however, have not been well-described. Methods We prospectively enrolled all patients admitted with lower extremity trauma to a tertiary hospital in Lilongwe, Malawi between October 2010 and September 2011. Patients with a lower extremity injury but primarily admitted for unrelated reasons were excluded. The outcomes were deaths, complications, and length of hospital stay. Results Of the 905 patients eligible for analysis, 696 (77%) were males. Most patients had femur fractures (46%), and most were treated non-operatively (70%). Overall mortality rate was 3.9%. For adult patients with femur fractures, mortality was higher in patients treated with traction (9.0%) than for those treated with surgery (1.3%). The total complication rate was 15%, with adjusted odds of developing a complication higher in patients with concurrent head injury (OR = 2.8; 95% CI: 1.3–6.0), and patients who had an operative treatment (OR = 2; 95% CI: 1.2–1.9). The median length of stay was 16 days (IQR: 6–27) and was greatest among patients with femur fractures. Conclusion Lower extremity injuries resulted in substantial mortality and morbidity in this low-income country. Mortality was particularly high among patients with femur fractures who did not have surgery. Modern orthopedic trauma surgery is greatly needed in low-income countries.","author":[{"dropping-particle":"","family":"Chagomerana","given":"Maganizo B.","non-dropping-particle":"","parse-names":false,"suffix":""},{"dropping-particle":"","family":"Tomlinson","given":"Jared","non-dropping-particle":"","parse-names":false,"suffix":""},{"dropping-particle":"","family":"Young","given":"Sven","non-dropping-particle":"","parse-names":false,"suffix":""},{"dropping-particle":"","family":"Hosseinipour","given":"Mina C.","non-dropping-particle":"","parse-names":false,"suffix":""},{"dropping-particle":"","family":"Banza","given":"Leonard","non-dropping-particle":"","parse-names":false,"suffix":""},{"dropping-particle":"","family":"Lee","given":"Clara N.","non-dropping-particle":"","parse-names":false,"suffix":""}],"container-title":"International Journal of Surgery","id":"ITEM-1","issued":{"date-parts":[["2017","3","1"]]},"page":"23-29","publisher":"Elsevier Ltd","title":"High morbidity and mortality after lower extremity injuries in Malawi: A prospective cohort study of 905 patients","type":"article-journal","volume":"39"},"uris":["http://www.mendeley.com/documents/?uuid=55d3c196-2dcc-3c44-a62b-cde7c636f1e1"]}],"mendeley":{"formattedCitation":"(Chagomerana et al. 2017)","plainTextFormattedCitation":"(Chagomerana et al. 2017)","previouslyFormattedCitation":"(Chagomerana et al. 2017)"},"properties":{"noteIndex":0},"schema":"https://github.com/citation-style-language/schema/raw/master/csl-citation.json"}</w:instrText>
            </w:r>
            <w:r>
              <w:fldChar w:fldCharType="separate"/>
            </w:r>
            <w:r w:rsidRPr="00BE2991">
              <w:rPr>
                <w:noProof/>
              </w:rPr>
              <w:t>(Chagomerana et al. 2017)</w:t>
            </w:r>
            <w:r>
              <w:fldChar w:fldCharType="end"/>
            </w:r>
          </w:p>
        </w:tc>
      </w:tr>
      <w:tr w:rsidR="00DD077E" w14:paraId="23F717BD" w14:textId="77777777" w:rsidTr="00356EB3">
        <w:tc>
          <w:tcPr>
            <w:tcW w:w="2187" w:type="dxa"/>
          </w:tcPr>
          <w:p w14:paraId="0B9488E7" w14:textId="77777777" w:rsidR="00DD077E" w:rsidRDefault="00DD077E" w:rsidP="00356EB3">
            <w:pPr>
              <w:spacing w:line="480" w:lineRule="auto"/>
            </w:pPr>
            <w:r>
              <w:t>Femur fracture, long term without treatment</w:t>
            </w:r>
          </w:p>
        </w:tc>
        <w:tc>
          <w:tcPr>
            <w:tcW w:w="1225" w:type="dxa"/>
          </w:tcPr>
          <w:p w14:paraId="5C54BD37" w14:textId="77777777" w:rsidR="00DD077E" w:rsidRDefault="00DD077E" w:rsidP="00356EB3">
            <w:pPr>
              <w:spacing w:line="480" w:lineRule="auto"/>
            </w:pPr>
            <w:r>
              <w:t>3</w:t>
            </w:r>
          </w:p>
        </w:tc>
        <w:tc>
          <w:tcPr>
            <w:tcW w:w="1034" w:type="dxa"/>
          </w:tcPr>
          <w:p w14:paraId="39EBC2C5" w14:textId="77777777" w:rsidR="00DD077E" w:rsidRPr="0051285B" w:rsidRDefault="00DD077E" w:rsidP="00356EB3">
            <w:pPr>
              <w:spacing w:line="480" w:lineRule="auto"/>
            </w:pPr>
            <w:r w:rsidRPr="004A7FC9">
              <w:t>0.042</w:t>
            </w:r>
          </w:p>
        </w:tc>
        <w:tc>
          <w:tcPr>
            <w:tcW w:w="1772" w:type="dxa"/>
          </w:tcPr>
          <w:p w14:paraId="249BC69A" w14:textId="77777777" w:rsidR="00DD077E" w:rsidRPr="004A7FC9" w:rsidRDefault="00DD077E" w:rsidP="00356EB3">
            <w:pPr>
              <w:spacing w:line="480" w:lineRule="auto"/>
            </w:pPr>
            <w:r>
              <w:t xml:space="preserve">Skeletal traction, open reduction, external fixation, </w:t>
            </w:r>
            <w:r>
              <w:lastRenderedPageBreak/>
              <w:t>internal fixation, fracture casting</w:t>
            </w:r>
          </w:p>
        </w:tc>
        <w:tc>
          <w:tcPr>
            <w:tcW w:w="1214" w:type="dxa"/>
          </w:tcPr>
          <w:p w14:paraId="071EBCEB" w14:textId="77777777" w:rsidR="00DD077E" w:rsidRDefault="00DD077E" w:rsidP="00356EB3">
            <w:pPr>
              <w:spacing w:line="480" w:lineRule="auto"/>
            </w:pPr>
            <w:r>
              <w:lastRenderedPageBreak/>
              <w:t>Permanent</w:t>
            </w:r>
          </w:p>
        </w:tc>
        <w:tc>
          <w:tcPr>
            <w:tcW w:w="1584" w:type="dxa"/>
          </w:tcPr>
          <w:p w14:paraId="414234F9" w14:textId="77777777" w:rsidR="00DD077E" w:rsidRPr="004A7FC9" w:rsidRDefault="00DD077E" w:rsidP="00356EB3">
            <w:pPr>
              <w:spacing w:line="480" w:lineRule="auto"/>
            </w:pPr>
            <w:r>
              <w:fldChar w:fldCharType="begin" w:fldLock="1"/>
            </w:r>
            <w:r>
              <w:instrText>ADDIN CSL_CITATION {"citationItems":[{"id":"ITEM-1","itemData":{"DOI":"10.1016/j.ijsu.2017.01.047","ISSN":"17439159","PMID":"28110030","abstract":"Introduction A lower extremity injury can be a devastating event in low-income countries due to limited access to surgical care. Its incidence, treatment patterns, and outcomes, however, have not been well-described. Methods We prospectively enrolled all patients admitted with lower extremity trauma to a tertiary hospital in Lilongwe, Malawi between October 2010 and September 2011. Patients with a lower extremity injury but primarily admitted for unrelated reasons were excluded. The outcomes were deaths, complications, and length of hospital stay. Results Of the 905 patients eligible for analysis, 696 (77%) were males. Most patients had femur fractures (46%), and most were treated non-operatively (70%). Overall mortality rate was 3.9%. For adult patients with femur fractures, mortality was higher in patients treated with traction (9.0%) than for those treated with surgery (1.3%). The total complication rate was 15%, with adjusted odds of developing a complication higher in patients with concurrent head injury (OR = 2.8; 95% CI: 1.3–6.0), and patients who had an operative treatment (OR = 2; 95% CI: 1.2–1.9). The median length of stay was 16 days (IQR: 6–27) and was greatest among patients with femur fractures. Conclusion Lower extremity injuries resulted in substantial mortality and morbidity in this low-income country. Mortality was particularly high among patients with femur fractures who did not have surgery. Modern orthopedic trauma surgery is greatly needed in low-income countries.","author":[{"dropping-particle":"","family":"Chagomerana","given":"Maganizo B.","non-dropping-particle":"","parse-names":false,"suffix":""},{"dropping-particle":"","family":"Tomlinson","given":"Jared","non-dropping-particle":"","parse-names":false,"suffix":""},{"dropping-particle":"","family":"Young","given":"Sven","non-dropping-particle":"","parse-names":false,"suffix":""},{"dropping-particle":"","family":"Hosseinipour","given":"Mina C.","non-dropping-particle":"","parse-names":false,"suffix":""},{"dropping-particle":"","family":"Banza","given":"Leonard","non-dropping-particle":"","parse-names":false,"suffix":""},{"dropping-particle":"","family":"Lee","given":"Clara N.","non-dropping-particle":"","parse-names":false,"suffix":""}],"container-title":"International Journal of Surgery","id":"ITEM-1","issued":{"date-parts":[["2017","3","1"]]},"page":"23-29","publisher":"Elsevier Ltd","title":"High morbidity and mortality after lower extremity injuries in Malawi: A prospective cohort study of 905 patients","type":"article-journal","volume":"39"},"uris":["http://www.mendeley.com/documents/?uuid=55d3c196-2dcc-3c44-a62b-cde7c636f1e1"]}],"mendeley":{"formattedCitation":"(Chagomerana et al. 2017)","plainTextFormattedCitation":"(Chagomerana et al. 2017)","previouslyFormattedCitation":"(Chagomerana et al. 2017)"},"properties":{"noteIndex":0},"schema":"https://github.com/citation-style-language/schema/raw/master/csl-citation.json"}</w:instrText>
            </w:r>
            <w:r>
              <w:fldChar w:fldCharType="separate"/>
            </w:r>
            <w:r w:rsidRPr="00BE2991">
              <w:rPr>
                <w:noProof/>
              </w:rPr>
              <w:t>(Chagomerana et al. 2017)</w:t>
            </w:r>
            <w:r>
              <w:fldChar w:fldCharType="end"/>
            </w:r>
          </w:p>
        </w:tc>
      </w:tr>
      <w:tr w:rsidR="00DD077E" w14:paraId="187CEE91" w14:textId="77777777" w:rsidTr="00356EB3">
        <w:tc>
          <w:tcPr>
            <w:tcW w:w="2187" w:type="dxa"/>
          </w:tcPr>
          <w:p w14:paraId="59567AFC" w14:textId="77777777" w:rsidR="00DD077E" w:rsidRDefault="00DD077E" w:rsidP="00356EB3">
            <w:pPr>
              <w:spacing w:line="480" w:lineRule="auto"/>
            </w:pPr>
            <w:r>
              <w:t>Open fracture of the femur</w:t>
            </w:r>
          </w:p>
        </w:tc>
        <w:tc>
          <w:tcPr>
            <w:tcW w:w="1225" w:type="dxa"/>
          </w:tcPr>
          <w:p w14:paraId="65B900C4" w14:textId="77777777" w:rsidR="00DD077E" w:rsidRDefault="00DD077E" w:rsidP="00356EB3">
            <w:pPr>
              <w:spacing w:line="480" w:lineRule="auto"/>
            </w:pPr>
            <w:r>
              <w:t>3</w:t>
            </w:r>
          </w:p>
        </w:tc>
        <w:tc>
          <w:tcPr>
            <w:tcW w:w="1034" w:type="dxa"/>
          </w:tcPr>
          <w:p w14:paraId="055F5CA3" w14:textId="77777777" w:rsidR="00DD077E" w:rsidRPr="004A7FC9" w:rsidRDefault="00DD077E" w:rsidP="00356EB3">
            <w:pPr>
              <w:spacing w:line="480" w:lineRule="auto"/>
            </w:pPr>
            <w:r w:rsidRPr="0051285B">
              <w:t>0.</w:t>
            </w:r>
            <w:r>
              <w:t>2</w:t>
            </w:r>
            <w:r w:rsidRPr="0051285B">
              <w:t>11</w:t>
            </w:r>
          </w:p>
        </w:tc>
        <w:tc>
          <w:tcPr>
            <w:tcW w:w="1772" w:type="dxa"/>
          </w:tcPr>
          <w:p w14:paraId="36718F3D" w14:textId="77777777" w:rsidR="00DD077E" w:rsidRPr="00374B11" w:rsidRDefault="00DD077E" w:rsidP="00356EB3">
            <w:pPr>
              <w:spacing w:line="480" w:lineRule="auto"/>
              <w:rPr>
                <w:lang w:val="fr-FR"/>
              </w:rPr>
            </w:pPr>
            <w:r w:rsidRPr="00374B11">
              <w:rPr>
                <w:lang w:val="fr-FR"/>
              </w:rPr>
              <w:t>Ceftriaxon, Cetrimide 15% + chlorhexidine 1.5% solution,</w:t>
            </w:r>
          </w:p>
          <w:p w14:paraId="3D90EF93" w14:textId="77777777" w:rsidR="00DD077E" w:rsidRPr="00374B11" w:rsidRDefault="00DD077E" w:rsidP="00356EB3">
            <w:pPr>
              <w:spacing w:line="480" w:lineRule="auto"/>
              <w:rPr>
                <w:lang w:val="fr-FR"/>
              </w:rPr>
            </w:pPr>
            <w:r w:rsidRPr="00374B11">
              <w:rPr>
                <w:lang w:val="fr-FR"/>
              </w:rPr>
              <w:t xml:space="preserve">paraffin gauze, </w:t>
            </w:r>
          </w:p>
          <w:p w14:paraId="7C43C120" w14:textId="77777777" w:rsidR="00DD077E" w:rsidRDefault="00DD077E" w:rsidP="00356EB3">
            <w:pPr>
              <w:spacing w:line="480" w:lineRule="auto"/>
            </w:pPr>
            <w:r>
              <w:t>suture kit,</w:t>
            </w:r>
          </w:p>
          <w:p w14:paraId="4E54E9F3" w14:textId="77777777" w:rsidR="00DD077E" w:rsidRDefault="00DD077E" w:rsidP="00356EB3">
            <w:pPr>
              <w:spacing w:line="480" w:lineRule="auto"/>
            </w:pPr>
            <w:r w:rsidRPr="00C1166C">
              <w:t>Metronidazole</w:t>
            </w:r>
          </w:p>
        </w:tc>
        <w:tc>
          <w:tcPr>
            <w:tcW w:w="1214" w:type="dxa"/>
          </w:tcPr>
          <w:p w14:paraId="2A9FFCE6" w14:textId="77777777" w:rsidR="00DD077E" w:rsidRDefault="00DD077E" w:rsidP="00356EB3">
            <w:pPr>
              <w:spacing w:line="480" w:lineRule="auto"/>
            </w:pPr>
            <w:r>
              <w:t>213 days</w:t>
            </w:r>
          </w:p>
        </w:tc>
        <w:tc>
          <w:tcPr>
            <w:tcW w:w="1584" w:type="dxa"/>
          </w:tcPr>
          <w:p w14:paraId="56B5D36D" w14:textId="77777777" w:rsidR="00DD077E" w:rsidRDefault="00DD077E" w:rsidP="00356EB3">
            <w:pPr>
              <w:spacing w:line="480" w:lineRule="auto"/>
            </w:pPr>
            <w:r>
              <w:fldChar w:fldCharType="begin" w:fldLock="1"/>
            </w:r>
            <w:r>
              <w:instrText>ADDIN CSL_CITATION {"citationItems":[{"id":"ITEM-1","itemData":{"DOI":"10.4314/mmj.v32i3.2","ISSN":"19957270","PMID":"33488981","abstract":"Background Open fractures are common injuries in Malawi that pose a large burden on the healthcare system and result in long-term disability. Aim Establishing a multiprofessional agreement on the management of open fractures in Malawi from a consensus meeting. Methods AO Alliance convened a consensus meeting to build an agreement on the management of open fractures in Malawi. Eighteen members from different professions and various regions of Malawi participated in a 1-day consensus meeting on 7 September 2019. Prior to the meeting the British Orthopaedic Audit Standards for Trauma (BOAST) for open fractures, as well as relevant systematic reviews and seminal literature were circulated. Panel members gave presentations on open fracture management, followed by an open discussion meeting. At the 1-day consensus meeting panel members developed statements for each standard and guideline. Panel members then voted to accept or reject the statements. Results Substantial agreement (no rejections) was reached for all 17 guidelines and the associated terminology was agreed on. These guidelines were then presented to the members of the Malawi Orthopaedic Association (MOA) at their annual general meeting on 28 September 2019 and all participants agreed to adopt them. Conclusions These MOA/AO Alliance guidelines aim to set a standard for open fracture management that can be regularly measured and audited in Malawi to improve care for these patients.","author":[{"dropping-particle":"","family":"Schade","given":"Alexander Thomas","non-dropping-particle":"","parse-names":false,"suffix":""},{"dropping-particle":"","family":"Yesaya","given":"Master","non-dropping-particle":"","parse-names":false,"suffix":""},{"dropping-particle":"","family":"Bates","given":"Jeremy","non-dropping-particle":"","parse-names":false,"suffix":""},{"dropping-particle":"","family":"Martin","given":"Claude","non-dropping-particle":"","parse-names":false,"suffix":""},{"dropping-particle":"","family":"Harrison","given":"William James","non-dropping-particle":"","parse-names":false,"suffix":""}],"container-title":"Malawi Medical Journal","id":"ITEM-1","issue":"3","issued":{"date-parts":[["2020","9","1"]]},"page":"112-119","publisher":"Malawi Medical Journal","title":"The malawi orthopaedic association/ao alliance guidelines and standards for open fracture management in malawi: A national consensus statement","type":"article-journal","volume":"32"},"uris":["http://www.mendeley.com/documents/?uuid=621ef088-d4dd-3221-947d-a38b3d3d8df0"]}],"mendeley":{"formattedCitation":"(Schade et al. 2020)","plainTextFormattedCitation":"(Schade et al. 2020)","previouslyFormattedCitation":"(Schade et al. 2020)"},"properties":{"noteIndex":0},"schema":"https://github.com/citation-style-language/schema/raw/master/csl-citation.json"}</w:instrText>
            </w:r>
            <w:r>
              <w:fldChar w:fldCharType="separate"/>
            </w:r>
            <w:r w:rsidRPr="00C1166C">
              <w:rPr>
                <w:noProof/>
              </w:rPr>
              <w:t>(Schade et al. 2020)</w:t>
            </w:r>
            <w:r>
              <w:fldChar w:fldCharType="end"/>
            </w:r>
          </w:p>
        </w:tc>
      </w:tr>
      <w:tr w:rsidR="00DD077E" w14:paraId="62583FB9" w14:textId="77777777" w:rsidTr="00356EB3">
        <w:tc>
          <w:tcPr>
            <w:tcW w:w="2187" w:type="dxa"/>
          </w:tcPr>
          <w:p w14:paraId="0BD8EEB8" w14:textId="77777777" w:rsidR="00DD077E" w:rsidRDefault="00DD077E" w:rsidP="00356EB3">
            <w:pPr>
              <w:spacing w:line="480" w:lineRule="auto"/>
            </w:pPr>
            <w:r>
              <w:t>Dislocated hip</w:t>
            </w:r>
          </w:p>
        </w:tc>
        <w:tc>
          <w:tcPr>
            <w:tcW w:w="1225" w:type="dxa"/>
          </w:tcPr>
          <w:p w14:paraId="1C4ACB9B" w14:textId="77777777" w:rsidR="00DD077E" w:rsidRDefault="00DD077E" w:rsidP="00356EB3">
            <w:pPr>
              <w:spacing w:line="480" w:lineRule="auto"/>
            </w:pPr>
            <w:r>
              <w:t>2</w:t>
            </w:r>
          </w:p>
        </w:tc>
        <w:tc>
          <w:tcPr>
            <w:tcW w:w="1034" w:type="dxa"/>
          </w:tcPr>
          <w:p w14:paraId="7C71CD13" w14:textId="77777777" w:rsidR="00DD077E" w:rsidRDefault="00DD077E" w:rsidP="00356EB3">
            <w:pPr>
              <w:spacing w:line="480" w:lineRule="auto"/>
            </w:pPr>
            <w:r w:rsidRPr="004A7FC9">
              <w:t>0.016</w:t>
            </w:r>
          </w:p>
        </w:tc>
        <w:tc>
          <w:tcPr>
            <w:tcW w:w="1772" w:type="dxa"/>
          </w:tcPr>
          <w:p w14:paraId="34D554F4" w14:textId="77777777" w:rsidR="00DD077E" w:rsidRPr="004A7FC9" w:rsidRDefault="00DD077E" w:rsidP="00356EB3">
            <w:pPr>
              <w:spacing w:line="480" w:lineRule="auto"/>
            </w:pPr>
            <w:r>
              <w:t>Skeletal traction, open reduction, external fixation, fracture casting</w:t>
            </w:r>
          </w:p>
        </w:tc>
        <w:tc>
          <w:tcPr>
            <w:tcW w:w="1214" w:type="dxa"/>
          </w:tcPr>
          <w:p w14:paraId="7728E2A3" w14:textId="77777777" w:rsidR="00DD077E" w:rsidRDefault="00DD077E" w:rsidP="00356EB3">
            <w:pPr>
              <w:spacing w:line="480" w:lineRule="auto"/>
            </w:pPr>
            <w:r>
              <w:t>270 days</w:t>
            </w:r>
          </w:p>
        </w:tc>
        <w:tc>
          <w:tcPr>
            <w:tcW w:w="1584" w:type="dxa"/>
          </w:tcPr>
          <w:p w14:paraId="768B8AC9" w14:textId="77777777" w:rsidR="00DD077E" w:rsidRPr="004A7FC9" w:rsidRDefault="00DD077E" w:rsidP="00356EB3">
            <w:pPr>
              <w:spacing w:line="480" w:lineRule="auto"/>
            </w:pPr>
            <w:r>
              <w:fldChar w:fldCharType="begin" w:fldLock="1"/>
            </w:r>
            <w:r>
              <w:instrText>ADDIN CSL_CITATION {"citationItems":[{"id":"ITEM-1","itemData":{"DOI":"10.1016/j.ijsu.2017.01.047","ISSN":"17439159","PMID":"28110030","abstract":"Introduction A lower extremity injury can be a devastating event in low-income countries due to limited access to surgical care. Its incidence, treatment patterns, and outcomes, however, have not been well-described. Methods We prospectively enrolled all patients admitted with lower extremity trauma to a tertiary hospital in Lilongwe, Malawi between October 2010 and September 2011. Patients with a lower extremity injury but primarily admitted for unrelated reasons were excluded. The outcomes were deaths, complications, and length of hospital stay. Results Of the 905 patients eligible for analysis, 696 (77%) were males. Most patients had femur fractures (46%), and most were treated non-operatively (70%). Overall mortality rate was 3.9%. For adult patients with femur fractures, mortality was higher in patients treated with traction (9.0%) than for those treated with surgery (1.3%). The total complication rate was 15%, with adjusted odds of developing a complication higher in patients with concurrent head injury (OR = 2.8; 95% CI: 1.3–6.0), and patients who had an operative treatment (OR = 2; 95% CI: 1.2–1.9). The median length of stay was 16 days (IQR: 6–27) and was greatest among patients with femur fractures. Conclusion Lower extremity injuries resulted in substantial mortality and morbidity in this low-income country. Mortality was particularly high among patients with femur fractures who did not have surgery. Modern orthopedic trauma surgery is greatly needed in low-income countries.","author":[{"dropping-particle":"","family":"Chagomerana","given":"Maganizo B.","non-dropping-particle":"","parse-names":false,"suffix":""},{"dropping-particle":"","family":"Tomlinson","given":"Jared","non-dropping-particle":"","parse-names":false,"suffix":""},{"dropping-particle":"","family":"Young","given":"Sven","non-dropping-particle":"","parse-names":false,"suffix":""},{"dropping-particle":"","family":"Hosseinipour","given":"Mina C.","non-dropping-particle":"","parse-names":false,"suffix":""},{"dropping-particle":"","family":"Banza","given":"Leonard","non-dropping-particle":"","parse-names":false,"suffix":""},{"dropping-particle":"","family":"Lee","given":"Clara N.","non-dropping-particle":"","parse-names":false,"suffix":""}],"container-title":"International Journal of Surgery","id":"ITEM-1","issued":{"date-parts":[["2017","3","1"]]},"page":"23-29","publisher":"Elsevier Ltd","title":"High morbidity and mortality after lower extremity injuries in Malawi: A prospective cohort study of 905 patients","type":"article-journal","volume":"39"},"uris":["http://www.mendeley.com/documents/?uuid=55d3c196-2dcc-3c44-a62b-cde7c636f1e1"]}],"mendeley":{"formattedCitation":"(Chagomerana et al. 2017)","plainTextFormattedCitation":"(Chagomerana et al. 2017)","previouslyFormattedCitation":"(Chagomerana et al. 2017)"},"properties":{"noteIndex":0},"schema":"https://github.com/citation-style-language/schema/raw/master/csl-citation.json"}</w:instrText>
            </w:r>
            <w:r>
              <w:fldChar w:fldCharType="separate"/>
            </w:r>
            <w:r w:rsidRPr="00BE2991">
              <w:rPr>
                <w:noProof/>
              </w:rPr>
              <w:t>(Chagomerana et al. 2017)</w:t>
            </w:r>
            <w:r>
              <w:fldChar w:fldCharType="end"/>
            </w:r>
          </w:p>
        </w:tc>
      </w:tr>
      <w:tr w:rsidR="00DD077E" w14:paraId="0FEB0A84" w14:textId="77777777" w:rsidTr="00356EB3">
        <w:tc>
          <w:tcPr>
            <w:tcW w:w="2187" w:type="dxa"/>
          </w:tcPr>
          <w:p w14:paraId="6E917C0A" w14:textId="77777777" w:rsidR="00DD077E" w:rsidRDefault="00DD077E" w:rsidP="00356EB3">
            <w:pPr>
              <w:spacing w:line="480" w:lineRule="auto"/>
            </w:pPr>
            <w:r>
              <w:t>Dislocated Knee</w:t>
            </w:r>
          </w:p>
        </w:tc>
        <w:tc>
          <w:tcPr>
            <w:tcW w:w="1225" w:type="dxa"/>
          </w:tcPr>
          <w:p w14:paraId="5E5071AF" w14:textId="77777777" w:rsidR="00DD077E" w:rsidRDefault="00DD077E" w:rsidP="00356EB3">
            <w:pPr>
              <w:spacing w:line="480" w:lineRule="auto"/>
            </w:pPr>
            <w:r>
              <w:t>2</w:t>
            </w:r>
          </w:p>
        </w:tc>
        <w:tc>
          <w:tcPr>
            <w:tcW w:w="1034" w:type="dxa"/>
          </w:tcPr>
          <w:p w14:paraId="4F262FB3" w14:textId="77777777" w:rsidR="00DD077E" w:rsidRDefault="00DD077E" w:rsidP="00356EB3">
            <w:pPr>
              <w:spacing w:line="480" w:lineRule="auto"/>
            </w:pPr>
            <w:r w:rsidRPr="004A7FC9">
              <w:t>0.113</w:t>
            </w:r>
          </w:p>
        </w:tc>
        <w:tc>
          <w:tcPr>
            <w:tcW w:w="1772" w:type="dxa"/>
          </w:tcPr>
          <w:p w14:paraId="0700B9CD" w14:textId="77777777" w:rsidR="00DD077E" w:rsidRPr="004A7FC9" w:rsidRDefault="00DD077E" w:rsidP="00356EB3">
            <w:pPr>
              <w:spacing w:line="480" w:lineRule="auto"/>
            </w:pPr>
            <w:r>
              <w:t>fracture casting</w:t>
            </w:r>
          </w:p>
        </w:tc>
        <w:tc>
          <w:tcPr>
            <w:tcW w:w="1214" w:type="dxa"/>
          </w:tcPr>
          <w:p w14:paraId="41E4A3CC" w14:textId="77777777" w:rsidR="00DD077E" w:rsidRDefault="00DD077E" w:rsidP="00356EB3">
            <w:pPr>
              <w:spacing w:line="480" w:lineRule="auto"/>
            </w:pPr>
            <w:r>
              <w:t>49 days</w:t>
            </w:r>
          </w:p>
        </w:tc>
        <w:tc>
          <w:tcPr>
            <w:tcW w:w="1584" w:type="dxa"/>
          </w:tcPr>
          <w:p w14:paraId="7B6C9708" w14:textId="77777777" w:rsidR="00DD077E" w:rsidRPr="004A7FC9" w:rsidRDefault="00DD077E" w:rsidP="00356EB3">
            <w:pPr>
              <w:spacing w:line="480" w:lineRule="auto"/>
            </w:pPr>
            <w:r>
              <w:fldChar w:fldCharType="begin" w:fldLock="1"/>
            </w:r>
            <w:r>
              <w:instrText>ADDIN CSL_CITATION {"citationItems":[{"id":"ITEM-1","itemData":{"DOI":"10.1016/j.ijsu.2017.01.047","ISSN":"17439159","PMID":"28110030","abstract":"Introduction A lower extremity injury can be a devastating event in low-income countries due to limited access to surgical care. Its incidence, treatment patterns, and outcomes, however, have not been well-described. Methods We prospectively enrolled all patients admitted with lower extremity trauma to a tertiary hospital in Lilongwe, Malawi between October 2010 and September 2011. Patients with a lower extremity injury but primarily admitted for unrelated reasons were excluded. The outcomes were deaths, complications, and length of hospital stay. Results Of the 905 patients eligible for analysis, 696 (77%) were males. Most patients had femur fractures (46%), and most were treated non-operatively (70%). Overall mortality rate was 3.9%. For adult patients with femur fractures, mortality was higher in patients treated with traction (9.0%) than for those treated with surgery (1.3%). The total complication rate was 15%, with adjusted odds of developing a complication higher in patients with concurrent head injury (OR = 2.8; 95% CI: 1.3–6.0), and patients who had an operative treatment (OR = 2; 95% CI: 1.2–1.9). The median length of stay was 16 days (IQR: 6–27) and was greatest among patients with femur fractures. Conclusion Lower extremity injuries resulted in substantial mortality and morbidity in this low-income country. Mortality was particularly high among patients with femur fractures who did not have surgery. Modern orthopedic trauma surgery is greatly needed in low-income countries.","author":[{"dropping-particle":"","family":"Chagomerana","given":"Maganizo B.","non-dropping-particle":"","parse-names":false,"suffix":""},{"dropping-particle":"","family":"Tomlinson","given":"Jared","non-dropping-particle":"","parse-names":false,"suffix":""},{"dropping-particle":"","family":"Young","given":"Sven","non-dropping-particle":"","parse-names":false,"suffix":""},{"dropping-particle":"","family":"Hosseinipour","given":"Mina C.","non-dropping-particle":"","parse-names":false,"suffix":""},{"dropping-particle":"","family":"Banza","given":"Leonard","non-dropping-particle":"","parse-names":false,"suffix":""},{"dropping-particle":"","family":"Lee","given":"Clara N.","non-dropping-particle":"","parse-names":false,"suffix":""}],"container-title":"International Journal of Surgery","id":"ITEM-1","issued":{"date-parts":[["2017","3","1"]]},"page":"23-29","publisher":"Elsevier Ltd","title":"High morbidity and mortality after lower extremity injuries in Malawi: A prospective cohort study of 905 patients","type":"article-journal","volume":"39"},"uris":["http://www.mendeley.com/documents/?uuid=55d3c196-2dcc-3c44-a62b-cde7c636f1e1"]}],"mendeley":{"formattedCitation":"(Chagomerana et al. 2017)","plainTextFormattedCitation":"(Chagomerana et al. 2017)","previouslyFormattedCitation":"(Chagomerana et al. 2017)"},"properties":{"noteIndex":0},"schema":"https://github.com/citation-style-language/schema/raw/master/csl-citation.json"}</w:instrText>
            </w:r>
            <w:r>
              <w:fldChar w:fldCharType="separate"/>
            </w:r>
            <w:r w:rsidRPr="00BE2991">
              <w:rPr>
                <w:noProof/>
              </w:rPr>
              <w:t>(Chagomerana et al. 2017)</w:t>
            </w:r>
            <w:r>
              <w:fldChar w:fldCharType="end"/>
            </w:r>
          </w:p>
        </w:tc>
      </w:tr>
      <w:tr w:rsidR="00DD077E" w14:paraId="23B74D8D" w14:textId="77777777" w:rsidTr="00356EB3">
        <w:tc>
          <w:tcPr>
            <w:tcW w:w="2187" w:type="dxa"/>
          </w:tcPr>
          <w:p w14:paraId="46FF2020" w14:textId="77777777" w:rsidR="00DD077E" w:rsidRDefault="00DD077E" w:rsidP="00356EB3">
            <w:pPr>
              <w:spacing w:line="480" w:lineRule="auto"/>
            </w:pPr>
            <w:r>
              <w:t>Amputation of toes</w:t>
            </w:r>
          </w:p>
        </w:tc>
        <w:tc>
          <w:tcPr>
            <w:tcW w:w="1225" w:type="dxa"/>
          </w:tcPr>
          <w:p w14:paraId="448051FA" w14:textId="77777777" w:rsidR="00DD077E" w:rsidRDefault="00DD077E" w:rsidP="00356EB3">
            <w:pPr>
              <w:spacing w:line="480" w:lineRule="auto"/>
            </w:pPr>
            <w:r>
              <w:t>2</w:t>
            </w:r>
          </w:p>
        </w:tc>
        <w:tc>
          <w:tcPr>
            <w:tcW w:w="1034" w:type="dxa"/>
          </w:tcPr>
          <w:p w14:paraId="09D5C24F" w14:textId="77777777" w:rsidR="00DD077E" w:rsidRDefault="00DD077E" w:rsidP="00356EB3">
            <w:pPr>
              <w:spacing w:line="480" w:lineRule="auto"/>
            </w:pPr>
            <w:r w:rsidRPr="004A7FC9">
              <w:t>0.006</w:t>
            </w:r>
          </w:p>
        </w:tc>
        <w:tc>
          <w:tcPr>
            <w:tcW w:w="1772" w:type="dxa"/>
          </w:tcPr>
          <w:p w14:paraId="688C060C" w14:textId="77777777" w:rsidR="00DD077E" w:rsidRPr="004A7FC9" w:rsidRDefault="00DD077E" w:rsidP="00356EB3">
            <w:pPr>
              <w:spacing w:line="480" w:lineRule="auto"/>
            </w:pPr>
            <w:r>
              <w:t>Major surgery</w:t>
            </w:r>
          </w:p>
        </w:tc>
        <w:tc>
          <w:tcPr>
            <w:tcW w:w="1214" w:type="dxa"/>
          </w:tcPr>
          <w:p w14:paraId="5ED0E0C9" w14:textId="77777777" w:rsidR="00DD077E" w:rsidRDefault="00DD077E" w:rsidP="00356EB3">
            <w:pPr>
              <w:spacing w:line="480" w:lineRule="auto"/>
            </w:pPr>
            <w:r>
              <w:t>Permanent</w:t>
            </w:r>
          </w:p>
        </w:tc>
        <w:tc>
          <w:tcPr>
            <w:tcW w:w="1584" w:type="dxa"/>
          </w:tcPr>
          <w:p w14:paraId="0E4C647A" w14:textId="77777777" w:rsidR="00DD077E" w:rsidRPr="004A7FC9" w:rsidRDefault="00DD077E" w:rsidP="00356EB3">
            <w:pPr>
              <w:spacing w:line="480" w:lineRule="auto"/>
            </w:pPr>
            <w:r>
              <w:fldChar w:fldCharType="begin" w:fldLock="1"/>
            </w:r>
            <w:r>
              <w:instrText>ADDIN CSL_CITATION {"citationItems":[{"id":"ITEM-1","itemData":{"DOI":"10.4314/mmj.v31i4.5","ISSN":"19957270","PMID":"32128034","abstract":"Introduction Amputations in low-and middle-income countries (LMICs) represent an important cause of disability and economic hardship. LMIC patients are young and suffer from preventable causes, such as trauma and trauma-related infections. We herein studied the etiology in amputations in a Malawian tertiary care hospital over a 9-year period. Methods Operative and anaesthesia logs at Kamuzu Central Hospital (KCH) in Lilongwe, Malawi, were reviewed for 2008–2016. Baseline demographic and clinical variables and type of amputation performed were collected. Only major limb amputations, defined as above or below the knee, above or below the elbow, and above the wrist, were included in this study. Results A total of 610 patients underwent 630 major amputations during the study period. Of these, 170 (27%) patients were female, and the median age of the cohort was 39 (interquartile range [IQR] 25–55). Of these patients, 345 (54.8%) had infection or gangrene recorded among the indications for amputation, 203 (32.2%) had trauma, 94 (14.9%) had cancer and 67 (10.6%) had documented diabetes. Women underwent diabetes-related amputations more often than men (37 out of 67, or 56.1%), and were significantly younger when their amputations were due to diabetes (median age 48 vs 53 years old, P=0.004) or trauma (median age 21 vs 30 years old, P=0.02). The commonest operative procedures were below the knee amputations, at 271 (43%), and above the knee amputations, at 213 (33.8%). Conclusion Amputations in Malawi affect primarily the young, in the most economically productive time of their lives, in contrast to amputees in high-income countries. Preventable causes, such as infection and trauma, lead to the majority of amputations. These etiologies represent an important primary prevention target for public health efforts in LMICs.","author":[{"dropping-particle":"","family":"Grudziak","given":"Joanna","non-dropping-particle":"","parse-names":false,"suffix":""},{"dropping-particle":"","family":"Mukuzunga","given":"Cornelius","non-dropping-particle":"","parse-names":false,"suffix":""},{"dropping-particle":"","family":"Melhado","given":"Caroline","non-dropping-particle":"","parse-names":false,"suffix":""},{"dropping-particle":"","family":"Young","given":"Sven","non-dropping-particle":"","parse-names":false,"suffix":""},{"dropping-particle":"","family":"Banza","given":"Leonard","non-dropping-particle":"","parse-names":false,"suffix":""},{"dropping-particle":"","family":"Cairns","given":"Bruce","non-dropping-particle":"","parse-names":false,"suffix":""},{"dropping-particle":"","family":"Charles","given":"Anthony","non-dropping-particle":"","parse-names":false,"suffix":""}],"container-title":"Malawi Medical Journal","id":"ITEM-1","issue":"4","issued":{"date-parts":[["2019"]]},"page":"244-248","publisher":"Malawi Medical Journal","title":"Etiology of major limb amputations at a tertiary care centre in Malawi","type":"article-journal","volume":"31"},"uris":["http://www.mendeley.com/documents/?uuid=f0ac1e9f-0185-459f-b3f6-d0a1ea1ad02a"]}],"mendeley":{"formattedCitation":"(Grudziak et al. 2019)","plainTextFormattedCitation":"(Grudziak et al. 2019)","previouslyFormattedCitation":"(Grudziak et al. 2019)"},"properties":{"noteIndex":0},"schema":"https://github.com/citation-style-language/schema/raw/master/csl-citation.json"}</w:instrText>
            </w:r>
            <w:r>
              <w:fldChar w:fldCharType="separate"/>
            </w:r>
            <w:r w:rsidRPr="00BE2991">
              <w:rPr>
                <w:noProof/>
              </w:rPr>
              <w:t>(Grudziak et al. 2019)</w:t>
            </w:r>
            <w:r>
              <w:fldChar w:fldCharType="end"/>
            </w:r>
          </w:p>
        </w:tc>
      </w:tr>
      <w:tr w:rsidR="00DD077E" w14:paraId="1FC36973" w14:textId="77777777" w:rsidTr="00356EB3">
        <w:tc>
          <w:tcPr>
            <w:tcW w:w="2187" w:type="dxa"/>
          </w:tcPr>
          <w:p w14:paraId="4A26DAA9" w14:textId="77777777" w:rsidR="00DD077E" w:rsidRDefault="00DD077E" w:rsidP="00356EB3">
            <w:pPr>
              <w:spacing w:line="480" w:lineRule="auto"/>
            </w:pPr>
            <w:r>
              <w:t>Unilateral leg amputation with treatment</w:t>
            </w:r>
          </w:p>
        </w:tc>
        <w:tc>
          <w:tcPr>
            <w:tcW w:w="1225" w:type="dxa"/>
          </w:tcPr>
          <w:p w14:paraId="4F9F6753" w14:textId="77777777" w:rsidR="00DD077E" w:rsidRDefault="00DD077E" w:rsidP="00356EB3">
            <w:pPr>
              <w:spacing w:line="480" w:lineRule="auto"/>
            </w:pPr>
            <w:r>
              <w:t>3</w:t>
            </w:r>
          </w:p>
        </w:tc>
        <w:tc>
          <w:tcPr>
            <w:tcW w:w="1034" w:type="dxa"/>
          </w:tcPr>
          <w:p w14:paraId="314BC481" w14:textId="77777777" w:rsidR="00DD077E" w:rsidRDefault="00DD077E" w:rsidP="00356EB3">
            <w:pPr>
              <w:spacing w:line="480" w:lineRule="auto"/>
            </w:pPr>
            <w:r w:rsidRPr="004A7FC9">
              <w:t>0.039</w:t>
            </w:r>
          </w:p>
        </w:tc>
        <w:tc>
          <w:tcPr>
            <w:tcW w:w="1772" w:type="dxa"/>
          </w:tcPr>
          <w:p w14:paraId="42BE4B2D" w14:textId="77777777" w:rsidR="00DD077E" w:rsidRPr="004A7FC9" w:rsidRDefault="00DD077E" w:rsidP="00356EB3">
            <w:pPr>
              <w:spacing w:line="480" w:lineRule="auto"/>
            </w:pPr>
            <w:r>
              <w:t>Major surgery</w:t>
            </w:r>
          </w:p>
        </w:tc>
        <w:tc>
          <w:tcPr>
            <w:tcW w:w="1214" w:type="dxa"/>
          </w:tcPr>
          <w:p w14:paraId="1956CDAC" w14:textId="77777777" w:rsidR="00DD077E" w:rsidRDefault="00DD077E" w:rsidP="00356EB3">
            <w:pPr>
              <w:spacing w:line="480" w:lineRule="auto"/>
            </w:pPr>
            <w:r>
              <w:t>Permanent</w:t>
            </w:r>
          </w:p>
        </w:tc>
        <w:tc>
          <w:tcPr>
            <w:tcW w:w="1584" w:type="dxa"/>
          </w:tcPr>
          <w:p w14:paraId="321D0E89" w14:textId="77777777" w:rsidR="00DD077E" w:rsidRPr="004A7FC9" w:rsidRDefault="00DD077E" w:rsidP="00356EB3">
            <w:pPr>
              <w:spacing w:line="480" w:lineRule="auto"/>
            </w:pPr>
            <w:r>
              <w:fldChar w:fldCharType="begin" w:fldLock="1"/>
            </w:r>
            <w:r>
              <w:instrText>ADDIN CSL_CITATION {"citationItems":[{"id":"ITEM-1","itemData":{"DOI":"10.4314/mmj.v31i4.5","ISSN":"19957270","PMID":"32128034","abstract":"Introduction Amputations in low-and middle-income countries (LMICs) represent an important cause of disability and economic hardship. LMIC patients are young and suffer from preventable causes, such as trauma and trauma-related infections. We herein studied the etiology in amputations in a Malawian tertiary care hospital over a 9-year period. Methods Operative and anaesthesia logs at Kamuzu Central Hospital (KCH) in Lilongwe, Malawi, were reviewed for 2008–2016. Baseline demographic and clinical variables and type of amputation performed were collected. Only major limb amputations, defined as above or below the knee, above or below the elbow, and above the wrist, were included in this study. Results A total of 610 patients underwent 630 major amputations during the study period. Of these, 170 (27%) patients were female, and the median age of the cohort was 39 (interquartile range [IQR] 25–55). Of these patients, 345 (54.8%) had infection or gangrene recorded among the indications for amputation, 203 (32.2%) had trauma, 94 (14.9%) had cancer and 67 (10.6%) had documented diabetes. Women underwent diabetes-related amputations more often than men (37 out of 67, or 56.1%), and were significantly younger when their amputations were due to diabetes (median age 48 vs 53 years old, P=0.004) or trauma (median age 21 vs 30 years old, P=0.02). The commonest operative procedures were below the knee amputations, at 271 (43%), and above the knee amputations, at 213 (33.8%). Conclusion Amputations in Malawi affect primarily the young, in the most economically productive time of their lives, in contrast to amputees in high-income countries. Preventable causes, such as infection and trauma, lead to the majority of amputations. These etiologies represent an important primary prevention target for public health efforts in LMICs.","author":[{"dropping-particle":"","family":"Grudziak","given":"Joanna","non-dropping-particle":"","parse-names":false,"suffix":""},{"dropping-particle":"","family":"Mukuzunga","given":"Cornelius","non-dropping-particle":"","parse-names":false,"suffix":""},{"dropping-particle":"","family":"Melhado","given":"Caroline","non-dropping-particle":"","parse-names":false,"suffix":""},{"dropping-particle":"","family":"Young","given":"Sven","non-dropping-particle":"","parse-names":false,"suffix":""},{"dropping-particle":"","family":"Banza","given":"Leonard","non-dropping-particle":"","parse-names":false,"suffix":""},{"dropping-particle":"","family":"Cairns","given":"Bruce","non-dropping-particle":"","parse-names":false,"suffix":""},{"dropping-particle":"","family":"Charles","given":"Anthony","non-dropping-particle":"","parse-names":false,"suffix":""}],"container-title":"Malawi Medical Journal","id":"ITEM-1","issue":"4","issued":{"date-parts":[["2019"]]},"page":"244-248","publisher":"Malawi Medical Journal","title":"Etiology of major limb amputations at a tertiary care centre in Malawi","type":"article-journal","volume":"31"},"uris":["http://www.mendeley.com/documents/?uuid=f0ac1e9f-0185-459f-b3f6-d0a1ea1ad02a"]}],"mendeley":{"formattedCitation":"(Grudziak et al. 2019)","plainTextFormattedCitation":"(Grudziak et al. 2019)","previouslyFormattedCitation":"(Grudziak et al. 2019)"},"properties":{"noteIndex":0},"schema":"https://github.com/citation-style-language/schema/raw/master/csl-citation.json"}</w:instrText>
            </w:r>
            <w:r>
              <w:fldChar w:fldCharType="separate"/>
            </w:r>
            <w:r w:rsidRPr="00BE2991">
              <w:rPr>
                <w:noProof/>
              </w:rPr>
              <w:t>(Grudziak et al. 2019)</w:t>
            </w:r>
            <w:r>
              <w:fldChar w:fldCharType="end"/>
            </w:r>
          </w:p>
        </w:tc>
      </w:tr>
      <w:tr w:rsidR="00DD077E" w14:paraId="299BC6F1" w14:textId="77777777" w:rsidTr="00356EB3">
        <w:tc>
          <w:tcPr>
            <w:tcW w:w="2187" w:type="dxa"/>
          </w:tcPr>
          <w:p w14:paraId="26B125CA" w14:textId="77777777" w:rsidR="00DD077E" w:rsidRDefault="00DD077E" w:rsidP="00356EB3">
            <w:pPr>
              <w:spacing w:line="480" w:lineRule="auto"/>
            </w:pPr>
            <w:r>
              <w:t>Unilateral leg amputation without treatment</w:t>
            </w:r>
          </w:p>
        </w:tc>
        <w:tc>
          <w:tcPr>
            <w:tcW w:w="1225" w:type="dxa"/>
          </w:tcPr>
          <w:p w14:paraId="75037505" w14:textId="77777777" w:rsidR="00DD077E" w:rsidRDefault="00DD077E" w:rsidP="00356EB3">
            <w:pPr>
              <w:spacing w:line="480" w:lineRule="auto"/>
            </w:pPr>
            <w:r>
              <w:t>3</w:t>
            </w:r>
          </w:p>
        </w:tc>
        <w:tc>
          <w:tcPr>
            <w:tcW w:w="1034" w:type="dxa"/>
          </w:tcPr>
          <w:p w14:paraId="20AD3B54" w14:textId="77777777" w:rsidR="00DD077E" w:rsidRPr="004A7FC9" w:rsidRDefault="00DD077E" w:rsidP="00356EB3">
            <w:pPr>
              <w:spacing w:line="480" w:lineRule="auto"/>
            </w:pPr>
            <w:r w:rsidRPr="004A7FC9">
              <w:t>0.173</w:t>
            </w:r>
          </w:p>
        </w:tc>
        <w:tc>
          <w:tcPr>
            <w:tcW w:w="1772" w:type="dxa"/>
          </w:tcPr>
          <w:p w14:paraId="30C9B865" w14:textId="77777777" w:rsidR="00DD077E" w:rsidRPr="004A7FC9" w:rsidRDefault="00DD077E" w:rsidP="00356EB3">
            <w:pPr>
              <w:spacing w:line="480" w:lineRule="auto"/>
            </w:pPr>
            <w:r>
              <w:t>Major surgery</w:t>
            </w:r>
          </w:p>
        </w:tc>
        <w:tc>
          <w:tcPr>
            <w:tcW w:w="1214" w:type="dxa"/>
          </w:tcPr>
          <w:p w14:paraId="45B3BAFB" w14:textId="77777777" w:rsidR="00DD077E" w:rsidRDefault="00DD077E" w:rsidP="00356EB3">
            <w:pPr>
              <w:spacing w:line="480" w:lineRule="auto"/>
            </w:pPr>
            <w:r>
              <w:t>Permanent</w:t>
            </w:r>
          </w:p>
        </w:tc>
        <w:tc>
          <w:tcPr>
            <w:tcW w:w="1584" w:type="dxa"/>
          </w:tcPr>
          <w:p w14:paraId="1B19032E" w14:textId="77777777" w:rsidR="00DD077E" w:rsidRPr="004A7FC9" w:rsidRDefault="00DD077E" w:rsidP="00356EB3">
            <w:pPr>
              <w:spacing w:line="480" w:lineRule="auto"/>
            </w:pPr>
            <w:r>
              <w:fldChar w:fldCharType="begin" w:fldLock="1"/>
            </w:r>
            <w:r>
              <w:instrText>ADDIN CSL_CITATION {"citationItems":[{"id":"ITEM-1","itemData":{"DOI":"10.4314/mmj.v31i4.5","ISSN":"19957270","PMID":"32128034","abstract":"Introduction Amputations in low-and middle-income countries (LMICs) represent an important cause of disability and economic hardship. LMIC patients are young and suffer from preventable causes, such as trauma and trauma-related infections. We herein studied the etiology in amputations in a Malawian tertiary care hospital over a 9-year period. Methods Operative and anaesthesia logs at Kamuzu Central Hospital (KCH) in Lilongwe, Malawi, were reviewed for 2008–2016. Baseline demographic and clinical variables and type of amputation performed were collected. Only major limb amputations, defined as above or below the knee, above or below the elbow, and above the wrist, were included in this study. Results A total of 610 patients underwent 630 major amputations during the study period. Of these, 170 (27%) patients were female, and the median age of the cohort was 39 (interquartile range [IQR] 25–55). Of these patients, 345 (54.8%) had infection or gangrene recorded among the indications for amputation, 203 (32.2%) had trauma, 94 (14.9%) had cancer and 67 (10.6%) had documented diabetes. Women underwent diabetes-related amputations more often than men (37 out of 67, or 56.1%), and were significantly younger when their amputations were due to diabetes (median age 48 vs 53 years old, P=0.004) or trauma (median age 21 vs 30 years old, P=0.02). The commonest operative procedures were below the knee amputations, at 271 (43%), and above the knee amputations, at 213 (33.8%). Conclusion Amputations in Malawi affect primarily the young, in the most economically productive time of their lives, in contrast to amputees in high-income countries. Preventable causes, such as infection and trauma, lead to the majority of amputations. These etiologies represent an important primary prevention target for public health efforts in LMICs.","author":[{"dropping-particle":"","family":"Grudziak","given":"Joanna","non-dropping-particle":"","parse-names":false,"suffix":""},{"dropping-particle":"","family":"Mukuzunga","given":"Cornelius","non-dropping-particle":"","parse-names":false,"suffix":""},{"dropping-particle":"","family":"Melhado","given":"Caroline","non-dropping-particle":"","parse-names":false,"suffix":""},{"dropping-particle":"","family":"Young","given":"Sven","non-dropping-particle":"","parse-names":false,"suffix":""},{"dropping-particle":"","family":"Banza","given":"Leonard","non-dropping-particle":"","parse-names":false,"suffix":""},{"dropping-particle":"","family":"Cairns","given":"Bruce","non-dropping-particle":"","parse-names":false,"suffix":""},{"dropping-particle":"","family":"Charles","given":"Anthony","non-dropping-particle":"","parse-names":false,"suffix":""}],"container-title":"Malawi Medical Journal","id":"ITEM-1","issue":"4","issued":{"date-parts":[["2019"]]},"page":"244-248","publisher":"Malawi Medical Journal","title":"Etiology of major limb amputations at a tertiary care centre in Malawi","type":"article-journal","volume":"31"},"uris":["http://www.mendeley.com/documents/?uuid=f0ac1e9f-0185-459f-b3f6-d0a1ea1ad02a"]}],"mendeley":{"formattedCitation":"(Grudziak et al. 2019)","plainTextFormattedCitation":"(Grudziak et al. 2019)","previouslyFormattedCitation":"(Grudziak et al. 2019)"},"properties":{"noteIndex":0},"schema":"https://github.com/citation-style-language/schema/raw/master/csl-citation.json"}</w:instrText>
            </w:r>
            <w:r>
              <w:fldChar w:fldCharType="separate"/>
            </w:r>
            <w:r w:rsidRPr="00BE2991">
              <w:rPr>
                <w:noProof/>
              </w:rPr>
              <w:t>(Grudziak et al. 2019)</w:t>
            </w:r>
            <w:r>
              <w:fldChar w:fldCharType="end"/>
            </w:r>
          </w:p>
        </w:tc>
      </w:tr>
      <w:tr w:rsidR="00DD077E" w14:paraId="0AEC08ED" w14:textId="77777777" w:rsidTr="00356EB3">
        <w:tc>
          <w:tcPr>
            <w:tcW w:w="2187" w:type="dxa"/>
          </w:tcPr>
          <w:p w14:paraId="582BCD1D" w14:textId="77777777" w:rsidR="00DD077E" w:rsidRDefault="00DD077E" w:rsidP="00356EB3">
            <w:pPr>
              <w:spacing w:line="480" w:lineRule="auto"/>
            </w:pPr>
            <w:r>
              <w:lastRenderedPageBreak/>
              <w:t>Bilateral leg amputation with treatment</w:t>
            </w:r>
          </w:p>
        </w:tc>
        <w:tc>
          <w:tcPr>
            <w:tcW w:w="1225" w:type="dxa"/>
          </w:tcPr>
          <w:p w14:paraId="2368A8E7" w14:textId="77777777" w:rsidR="00DD077E" w:rsidRDefault="00DD077E" w:rsidP="00356EB3">
            <w:pPr>
              <w:spacing w:line="480" w:lineRule="auto"/>
            </w:pPr>
            <w:r>
              <w:t>4</w:t>
            </w:r>
          </w:p>
        </w:tc>
        <w:tc>
          <w:tcPr>
            <w:tcW w:w="1034" w:type="dxa"/>
          </w:tcPr>
          <w:p w14:paraId="012477D2" w14:textId="77777777" w:rsidR="00DD077E" w:rsidRDefault="00DD077E" w:rsidP="00356EB3">
            <w:pPr>
              <w:spacing w:line="480" w:lineRule="auto"/>
            </w:pPr>
            <w:r w:rsidRPr="004A7FC9">
              <w:t>0.088</w:t>
            </w:r>
          </w:p>
        </w:tc>
        <w:tc>
          <w:tcPr>
            <w:tcW w:w="1772" w:type="dxa"/>
          </w:tcPr>
          <w:p w14:paraId="6F1554DB" w14:textId="77777777" w:rsidR="00DD077E" w:rsidRPr="004A7FC9" w:rsidRDefault="00DD077E" w:rsidP="00356EB3">
            <w:pPr>
              <w:spacing w:line="480" w:lineRule="auto"/>
            </w:pPr>
            <w:r>
              <w:t>Major surgery</w:t>
            </w:r>
          </w:p>
        </w:tc>
        <w:tc>
          <w:tcPr>
            <w:tcW w:w="1214" w:type="dxa"/>
          </w:tcPr>
          <w:p w14:paraId="20653DCA" w14:textId="77777777" w:rsidR="00DD077E" w:rsidRDefault="00DD077E" w:rsidP="00356EB3">
            <w:pPr>
              <w:spacing w:line="480" w:lineRule="auto"/>
            </w:pPr>
            <w:r>
              <w:t>Permanent</w:t>
            </w:r>
          </w:p>
        </w:tc>
        <w:tc>
          <w:tcPr>
            <w:tcW w:w="1584" w:type="dxa"/>
          </w:tcPr>
          <w:p w14:paraId="67002082" w14:textId="77777777" w:rsidR="00DD077E" w:rsidRPr="004A7FC9" w:rsidRDefault="00DD077E" w:rsidP="00356EB3">
            <w:pPr>
              <w:spacing w:line="480" w:lineRule="auto"/>
            </w:pPr>
            <w:r>
              <w:fldChar w:fldCharType="begin" w:fldLock="1"/>
            </w:r>
            <w:r>
              <w:instrText>ADDIN CSL_CITATION {"citationItems":[{"id":"ITEM-1","itemData":{"DOI":"10.4314/mmj.v31i4.5","ISSN":"19957270","PMID":"32128034","abstract":"Introduction Amputations in low-and middle-income countries (LMICs) represent an important cause of disability and economic hardship. LMIC patients are young and suffer from preventable causes, such as trauma and trauma-related infections. We herein studied the etiology in amputations in a Malawian tertiary care hospital over a 9-year period. Methods Operative and anaesthesia logs at Kamuzu Central Hospital (KCH) in Lilongwe, Malawi, were reviewed for 2008–2016. Baseline demographic and clinical variables and type of amputation performed were collected. Only major limb amputations, defined as above or below the knee, above or below the elbow, and above the wrist, were included in this study. Results A total of 610 patients underwent 630 major amputations during the study period. Of these, 170 (27%) patients were female, and the median age of the cohort was 39 (interquartile range [IQR] 25–55). Of these patients, 345 (54.8%) had infection or gangrene recorded among the indications for amputation, 203 (32.2%) had trauma, 94 (14.9%) had cancer and 67 (10.6%) had documented diabetes. Women underwent diabetes-related amputations more often than men (37 out of 67, or 56.1%), and were significantly younger when their amputations were due to diabetes (median age 48 vs 53 years old, P=0.004) or trauma (median age 21 vs 30 years old, P=0.02). The commonest operative procedures were below the knee amputations, at 271 (43%), and above the knee amputations, at 213 (33.8%). Conclusion Amputations in Malawi affect primarily the young, in the most economically productive time of their lives, in contrast to amputees in high-income countries. Preventable causes, such as infection and trauma, lead to the majority of amputations. These etiologies represent an important primary prevention target for public health efforts in LMICs.","author":[{"dropping-particle":"","family":"Grudziak","given":"Joanna","non-dropping-particle":"","parse-names":false,"suffix":""},{"dropping-particle":"","family":"Mukuzunga","given":"Cornelius","non-dropping-particle":"","parse-names":false,"suffix":""},{"dropping-particle":"","family":"Melhado","given":"Caroline","non-dropping-particle":"","parse-names":false,"suffix":""},{"dropping-particle":"","family":"Young","given":"Sven","non-dropping-particle":"","parse-names":false,"suffix":""},{"dropping-particle":"","family":"Banza","given":"Leonard","non-dropping-particle":"","parse-names":false,"suffix":""},{"dropping-particle":"","family":"Cairns","given":"Bruce","non-dropping-particle":"","parse-names":false,"suffix":""},{"dropping-particle":"","family":"Charles","given":"Anthony","non-dropping-particle":"","parse-names":false,"suffix":""}],"container-title":"Malawi Medical Journal","id":"ITEM-1","issue":"4","issued":{"date-parts":[["2019"]]},"page":"244-248","publisher":"Malawi Medical Journal","title":"Etiology of major limb amputations at a tertiary care centre in Malawi","type":"article-journal","volume":"31"},"uris":["http://www.mendeley.com/documents/?uuid=f0ac1e9f-0185-459f-b3f6-d0a1ea1ad02a"]}],"mendeley":{"formattedCitation":"(Grudziak et al. 2019)","plainTextFormattedCitation":"(Grudziak et al. 2019)","previouslyFormattedCitation":"(Grudziak et al. 2019)"},"properties":{"noteIndex":0},"schema":"https://github.com/citation-style-language/schema/raw/master/csl-citation.json"}</w:instrText>
            </w:r>
            <w:r>
              <w:fldChar w:fldCharType="separate"/>
            </w:r>
            <w:r w:rsidRPr="00BE2991">
              <w:rPr>
                <w:noProof/>
              </w:rPr>
              <w:t>(Grudziak et al. 2019)</w:t>
            </w:r>
            <w:r>
              <w:fldChar w:fldCharType="end"/>
            </w:r>
          </w:p>
        </w:tc>
      </w:tr>
      <w:tr w:rsidR="00DD077E" w14:paraId="07F1D7A1" w14:textId="77777777" w:rsidTr="00356EB3">
        <w:tc>
          <w:tcPr>
            <w:tcW w:w="2187" w:type="dxa"/>
          </w:tcPr>
          <w:p w14:paraId="1C1F1C94" w14:textId="77777777" w:rsidR="00DD077E" w:rsidRDefault="00DD077E" w:rsidP="00356EB3">
            <w:pPr>
              <w:spacing w:line="480" w:lineRule="auto"/>
            </w:pPr>
            <w:r>
              <w:t>Bilateral leg amputation without treatment</w:t>
            </w:r>
          </w:p>
        </w:tc>
        <w:tc>
          <w:tcPr>
            <w:tcW w:w="1225" w:type="dxa"/>
          </w:tcPr>
          <w:p w14:paraId="7098213F" w14:textId="77777777" w:rsidR="00DD077E" w:rsidRDefault="00DD077E" w:rsidP="00356EB3">
            <w:pPr>
              <w:spacing w:line="480" w:lineRule="auto"/>
            </w:pPr>
            <w:r>
              <w:t>4</w:t>
            </w:r>
          </w:p>
        </w:tc>
        <w:tc>
          <w:tcPr>
            <w:tcW w:w="1034" w:type="dxa"/>
          </w:tcPr>
          <w:p w14:paraId="174052AB" w14:textId="77777777" w:rsidR="00DD077E" w:rsidRPr="004A7FC9" w:rsidRDefault="00DD077E" w:rsidP="00356EB3">
            <w:pPr>
              <w:spacing w:line="480" w:lineRule="auto"/>
            </w:pPr>
            <w:r w:rsidRPr="004A7FC9">
              <w:t>0.443</w:t>
            </w:r>
          </w:p>
        </w:tc>
        <w:tc>
          <w:tcPr>
            <w:tcW w:w="1772" w:type="dxa"/>
          </w:tcPr>
          <w:p w14:paraId="19B02970" w14:textId="77777777" w:rsidR="00DD077E" w:rsidRPr="004A7FC9" w:rsidRDefault="00DD077E" w:rsidP="00356EB3">
            <w:pPr>
              <w:spacing w:line="480" w:lineRule="auto"/>
            </w:pPr>
            <w:r>
              <w:t>Major surgery</w:t>
            </w:r>
          </w:p>
        </w:tc>
        <w:tc>
          <w:tcPr>
            <w:tcW w:w="1214" w:type="dxa"/>
          </w:tcPr>
          <w:p w14:paraId="163273D3" w14:textId="77777777" w:rsidR="00DD077E" w:rsidRDefault="00DD077E" w:rsidP="00356EB3">
            <w:pPr>
              <w:spacing w:line="480" w:lineRule="auto"/>
            </w:pPr>
            <w:r>
              <w:t>Permanent</w:t>
            </w:r>
          </w:p>
        </w:tc>
        <w:tc>
          <w:tcPr>
            <w:tcW w:w="1584" w:type="dxa"/>
          </w:tcPr>
          <w:p w14:paraId="289219BB" w14:textId="77777777" w:rsidR="00DD077E" w:rsidRPr="004A7FC9" w:rsidRDefault="00DD077E" w:rsidP="00356EB3">
            <w:pPr>
              <w:spacing w:line="480" w:lineRule="auto"/>
            </w:pPr>
            <w:r>
              <w:fldChar w:fldCharType="begin" w:fldLock="1"/>
            </w:r>
            <w:r>
              <w:instrText>ADDIN CSL_CITATION {"citationItems":[{"id":"ITEM-1","itemData":{"DOI":"10.4314/mmj.v31i4.5","ISSN":"19957270","PMID":"32128034","abstract":"Introduction Amputations in low-and middle-income countries (LMICs) represent an important cause of disability and economic hardship. LMIC patients are young and suffer from preventable causes, such as trauma and trauma-related infections. We herein studied the etiology in amputations in a Malawian tertiary care hospital over a 9-year period. Methods Operative and anaesthesia logs at Kamuzu Central Hospital (KCH) in Lilongwe, Malawi, were reviewed for 2008–2016. Baseline demographic and clinical variables and type of amputation performed were collected. Only major limb amputations, defined as above or below the knee, above or below the elbow, and above the wrist, were included in this study. Results A total of 610 patients underwent 630 major amputations during the study period. Of these, 170 (27%) patients were female, and the median age of the cohort was 39 (interquartile range [IQR] 25–55). Of these patients, 345 (54.8%) had infection or gangrene recorded among the indications for amputation, 203 (32.2%) had trauma, 94 (14.9%) had cancer and 67 (10.6%) had documented diabetes. Women underwent diabetes-related amputations more often than men (37 out of 67, or 56.1%), and were significantly younger when their amputations were due to diabetes (median age 48 vs 53 years old, P=0.004) or trauma (median age 21 vs 30 years old, P=0.02). The commonest operative procedures were below the knee amputations, at 271 (43%), and above the knee amputations, at 213 (33.8%). Conclusion Amputations in Malawi affect primarily the young, in the most economically productive time of their lives, in contrast to amputees in high-income countries. Preventable causes, such as infection and trauma, lead to the majority of amputations. These etiologies represent an important primary prevention target for public health efforts in LMICs.","author":[{"dropping-particle":"","family":"Grudziak","given":"Joanna","non-dropping-particle":"","parse-names":false,"suffix":""},{"dropping-particle":"","family":"Mukuzunga","given":"Cornelius","non-dropping-particle":"","parse-names":false,"suffix":""},{"dropping-particle":"","family":"Melhado","given":"Caroline","non-dropping-particle":"","parse-names":false,"suffix":""},{"dropping-particle":"","family":"Young","given":"Sven","non-dropping-particle":"","parse-names":false,"suffix":""},{"dropping-particle":"","family":"Banza","given":"Leonard","non-dropping-particle":"","parse-names":false,"suffix":""},{"dropping-particle":"","family":"Cairns","given":"Bruce","non-dropping-particle":"","parse-names":false,"suffix":""},{"dropping-particle":"","family":"Charles","given":"Anthony","non-dropping-particle":"","parse-names":false,"suffix":""}],"container-title":"Malawi Medical Journal","id":"ITEM-1","issue":"4","issued":{"date-parts":[["2019"]]},"page":"244-248","publisher":"Malawi Medical Journal","title":"Etiology of major limb amputations at a tertiary care centre in Malawi","type":"article-journal","volume":"31"},"uris":["http://www.mendeley.com/documents/?uuid=f0ac1e9f-0185-459f-b3f6-d0a1ea1ad02a"]}],"mendeley":{"formattedCitation":"(Grudziak et al. 2019)","plainTextFormattedCitation":"(Grudziak et al. 2019)","previouslyFormattedCitation":"(Grudziak et al. 2019)"},"properties":{"noteIndex":0},"schema":"https://github.com/citation-style-language/schema/raw/master/csl-citation.json"}</w:instrText>
            </w:r>
            <w:r>
              <w:fldChar w:fldCharType="separate"/>
            </w:r>
            <w:r w:rsidRPr="00BE2991">
              <w:rPr>
                <w:noProof/>
              </w:rPr>
              <w:t>(Grudziak et al. 2019)</w:t>
            </w:r>
            <w:r>
              <w:fldChar w:fldCharType="end"/>
            </w:r>
          </w:p>
        </w:tc>
      </w:tr>
      <w:tr w:rsidR="00DD077E" w14:paraId="3583786F" w14:textId="77777777" w:rsidTr="00356EB3">
        <w:tc>
          <w:tcPr>
            <w:tcW w:w="2187" w:type="dxa"/>
          </w:tcPr>
          <w:p w14:paraId="63E9F3E8" w14:textId="77777777" w:rsidR="00DD077E" w:rsidRDefault="00DD077E" w:rsidP="00356EB3">
            <w:pPr>
              <w:spacing w:line="480" w:lineRule="auto"/>
            </w:pPr>
            <w:r>
              <w:t>Laceration to the lower extremity</w:t>
            </w:r>
          </w:p>
        </w:tc>
        <w:tc>
          <w:tcPr>
            <w:tcW w:w="1225" w:type="dxa"/>
          </w:tcPr>
          <w:p w14:paraId="213F02DE" w14:textId="77777777" w:rsidR="00DD077E" w:rsidRDefault="00DD077E" w:rsidP="00356EB3">
            <w:pPr>
              <w:spacing w:line="480" w:lineRule="auto"/>
            </w:pPr>
            <w:r>
              <w:t>1</w:t>
            </w:r>
          </w:p>
        </w:tc>
        <w:tc>
          <w:tcPr>
            <w:tcW w:w="1034" w:type="dxa"/>
          </w:tcPr>
          <w:p w14:paraId="095DD498" w14:textId="77777777" w:rsidR="00DD077E" w:rsidRDefault="00DD077E" w:rsidP="00356EB3">
            <w:pPr>
              <w:spacing w:line="480" w:lineRule="auto"/>
            </w:pPr>
            <w:r w:rsidRPr="0051285B">
              <w:t>0.1</w:t>
            </w:r>
          </w:p>
        </w:tc>
        <w:tc>
          <w:tcPr>
            <w:tcW w:w="1772" w:type="dxa"/>
          </w:tcPr>
          <w:p w14:paraId="6FB18BCE" w14:textId="77777777" w:rsidR="00DD077E" w:rsidRPr="0051285B" w:rsidRDefault="00DD077E" w:rsidP="00356EB3">
            <w:pPr>
              <w:spacing w:line="480" w:lineRule="auto"/>
            </w:pPr>
            <w:r>
              <w:t xml:space="preserve">Suture kit, tetanus vaccine </w:t>
            </w:r>
          </w:p>
        </w:tc>
        <w:tc>
          <w:tcPr>
            <w:tcW w:w="1214" w:type="dxa"/>
          </w:tcPr>
          <w:p w14:paraId="094D4DB5" w14:textId="77777777" w:rsidR="00DD077E" w:rsidRDefault="00DD077E" w:rsidP="00356EB3">
            <w:pPr>
              <w:spacing w:line="480" w:lineRule="auto"/>
            </w:pPr>
            <w:r>
              <w:t>7 days</w:t>
            </w:r>
          </w:p>
        </w:tc>
        <w:tc>
          <w:tcPr>
            <w:tcW w:w="1584" w:type="dxa"/>
          </w:tcPr>
          <w:p w14:paraId="75AAD392" w14:textId="77777777" w:rsidR="00DD077E" w:rsidRPr="0051285B" w:rsidRDefault="00DD077E" w:rsidP="00356EB3">
            <w:pPr>
              <w:spacing w:line="480" w:lineRule="auto"/>
            </w:pPr>
            <w:r>
              <w:t>Malawian treatment guidelines</w:t>
            </w:r>
          </w:p>
        </w:tc>
      </w:tr>
      <w:tr w:rsidR="00DD077E" w14:paraId="072645EC" w14:textId="77777777" w:rsidTr="00356EB3">
        <w:tc>
          <w:tcPr>
            <w:tcW w:w="2187" w:type="dxa"/>
          </w:tcPr>
          <w:p w14:paraId="0FAFFF7C" w14:textId="77777777" w:rsidR="00DD077E" w:rsidRDefault="00DD077E" w:rsidP="00356EB3">
            <w:pPr>
              <w:spacing w:line="480" w:lineRule="auto"/>
            </w:pPr>
            <w:r>
              <w:t>Burn to the lower extremity</w:t>
            </w:r>
          </w:p>
        </w:tc>
        <w:tc>
          <w:tcPr>
            <w:tcW w:w="1225" w:type="dxa"/>
          </w:tcPr>
          <w:p w14:paraId="6DE9049F" w14:textId="77777777" w:rsidR="00DD077E" w:rsidRDefault="00DD077E" w:rsidP="00356EB3">
            <w:pPr>
              <w:spacing w:line="480" w:lineRule="auto"/>
            </w:pPr>
            <w:r>
              <w:t>3</w:t>
            </w:r>
          </w:p>
        </w:tc>
        <w:tc>
          <w:tcPr>
            <w:tcW w:w="1034" w:type="dxa"/>
          </w:tcPr>
          <w:p w14:paraId="1F633A08" w14:textId="77777777" w:rsidR="00DD077E" w:rsidRDefault="00DD077E" w:rsidP="00356EB3">
            <w:pPr>
              <w:spacing w:line="480" w:lineRule="auto"/>
            </w:pPr>
            <w:r w:rsidRPr="0051285B">
              <w:t>0.135</w:t>
            </w:r>
          </w:p>
        </w:tc>
        <w:tc>
          <w:tcPr>
            <w:tcW w:w="1772" w:type="dxa"/>
          </w:tcPr>
          <w:p w14:paraId="3CB5F888" w14:textId="77777777" w:rsidR="00DD077E" w:rsidRPr="0051285B" w:rsidRDefault="00DD077E" w:rsidP="00356EB3">
            <w:pPr>
              <w:spacing w:line="480" w:lineRule="auto"/>
            </w:pPr>
            <w:r w:rsidRPr="00837714">
              <w:t>Cetrimide 15% + chlorhexidine 1.5% solution</w:t>
            </w:r>
            <w:r>
              <w:t xml:space="preserve">, Paraffin dressing, </w:t>
            </w:r>
            <w:r w:rsidRPr="00837714">
              <w:t>ringer's lactate (Hartmann's solution)</w:t>
            </w:r>
            <w:r>
              <w:t>, tetanus vaccine</w:t>
            </w:r>
          </w:p>
        </w:tc>
        <w:tc>
          <w:tcPr>
            <w:tcW w:w="1214" w:type="dxa"/>
          </w:tcPr>
          <w:p w14:paraId="2C0C5904" w14:textId="77777777" w:rsidR="00DD077E" w:rsidRDefault="00DD077E" w:rsidP="00356EB3">
            <w:pPr>
              <w:keepNext/>
              <w:spacing w:line="480" w:lineRule="auto"/>
            </w:pPr>
            <w:r>
              <w:t>28 days with treatment otherwise permanent</w:t>
            </w:r>
          </w:p>
        </w:tc>
        <w:tc>
          <w:tcPr>
            <w:tcW w:w="1584" w:type="dxa"/>
          </w:tcPr>
          <w:p w14:paraId="70BFBF99" w14:textId="77777777" w:rsidR="00DD077E" w:rsidRPr="0051285B" w:rsidRDefault="00DD077E" w:rsidP="00DD077E">
            <w:pPr>
              <w:keepNext/>
              <w:spacing w:line="480" w:lineRule="auto"/>
            </w:pPr>
            <w:r>
              <w:t>Malawian treatment guidelines</w:t>
            </w:r>
          </w:p>
        </w:tc>
      </w:tr>
    </w:tbl>
    <w:p w14:paraId="331EB757" w14:textId="0D3D3B0D" w:rsidR="00DD077E" w:rsidRDefault="00DD077E" w:rsidP="00DD077E">
      <w:pPr>
        <w:pStyle w:val="Caption"/>
      </w:pPr>
      <w:bookmarkStart w:id="5" w:name="_Ref104572039"/>
      <w:r>
        <w:t xml:space="preserve">Table A </w:t>
      </w:r>
      <w:fldSimple w:instr=" SEQ Table_A \* ARABIC ">
        <w:r w:rsidR="00F1406D">
          <w:rPr>
            <w:noProof/>
          </w:rPr>
          <w:t>3</w:t>
        </w:r>
      </w:fldSimple>
      <w:bookmarkEnd w:id="5"/>
      <w:r w:rsidR="00D52A47">
        <w:t>:</w:t>
      </w:r>
      <w:r w:rsidR="00D52A47" w:rsidRPr="006250F3">
        <w:t xml:space="preserve"> </w:t>
      </w:r>
      <w:r w:rsidR="00D52A47">
        <w:t>A list of the injuries modelled in the road traffic injuries model, with the AIS score associated with the injury and DALY weight used to represent the health burden of that injury, the treatment plans designed to treat the injury and the source of information used to determine whether this treatment should be included. AIS scores were found using the R package ‘</w:t>
      </w:r>
      <w:r w:rsidR="00D52A47" w:rsidRPr="005D77FF">
        <w:t>InjurySeverityScore</w:t>
      </w:r>
      <w:r w:rsidR="00D52A47">
        <w:t>’ which converted ICD-9 codes to their corresponding AIS scores, DALY weights were taken from the GBD study and Gabbe et al., (2016). The sources for the treatment plans modelled are given within the table.</w:t>
      </w:r>
    </w:p>
    <w:p w14:paraId="50CC374D" w14:textId="77777777" w:rsidR="006250F3" w:rsidRDefault="006250F3" w:rsidP="00F57908">
      <w:pPr>
        <w:pStyle w:val="Caption"/>
        <w:spacing w:line="480" w:lineRule="auto"/>
      </w:pPr>
    </w:p>
    <w:tbl>
      <w:tblPr>
        <w:tblStyle w:val="TableGrid"/>
        <w:tblW w:w="0" w:type="auto"/>
        <w:tblLook w:val="04A0" w:firstRow="1" w:lastRow="0" w:firstColumn="1" w:lastColumn="0" w:noHBand="0" w:noVBand="1"/>
      </w:tblPr>
      <w:tblGrid>
        <w:gridCol w:w="1207"/>
        <w:gridCol w:w="2757"/>
        <w:gridCol w:w="1934"/>
        <w:gridCol w:w="941"/>
        <w:gridCol w:w="1414"/>
        <w:gridCol w:w="763"/>
      </w:tblGrid>
      <w:tr w:rsidR="004D2166" w14:paraId="0BBBACCC" w14:textId="77777777" w:rsidTr="004D2166">
        <w:tc>
          <w:tcPr>
            <w:tcW w:w="1207" w:type="dxa"/>
          </w:tcPr>
          <w:p w14:paraId="457275D1" w14:textId="0CE1ECAE" w:rsidR="006250F3" w:rsidRDefault="006250F3" w:rsidP="00F57908">
            <w:pPr>
              <w:spacing w:line="480" w:lineRule="auto"/>
            </w:pPr>
            <w:r>
              <w:t>Emergency care ISS score cut-off</w:t>
            </w:r>
          </w:p>
        </w:tc>
        <w:tc>
          <w:tcPr>
            <w:tcW w:w="2757" w:type="dxa"/>
          </w:tcPr>
          <w:p w14:paraId="531E9B88" w14:textId="478A9BA3" w:rsidR="006250F3" w:rsidRDefault="006250F3" w:rsidP="00F57908">
            <w:pPr>
              <w:spacing w:line="480" w:lineRule="auto"/>
            </w:pPr>
            <w:r>
              <w:t>Base rate of injury</w:t>
            </w:r>
            <w:r w:rsidR="00595884">
              <w:t xml:space="preserve">, calibrated </w:t>
            </w:r>
            <w:r w:rsidR="004D2166">
              <w:t>for each value of the emergency ISS cut-off score</w:t>
            </w:r>
            <w:r w:rsidR="008D294F">
              <w:t xml:space="preserve"> to produce an incidence of road traffic </w:t>
            </w:r>
            <w:r w:rsidR="008D294F">
              <w:lastRenderedPageBreak/>
              <w:t>injuries equal to the average GBD estimates from 2010-2019</w:t>
            </w:r>
          </w:p>
        </w:tc>
        <w:tc>
          <w:tcPr>
            <w:tcW w:w="2875" w:type="dxa"/>
            <w:gridSpan w:val="2"/>
          </w:tcPr>
          <w:p w14:paraId="58418A9E" w14:textId="3CCA21BD" w:rsidR="006250F3" w:rsidRDefault="006250F3" w:rsidP="00F57908">
            <w:pPr>
              <w:spacing w:line="480" w:lineRule="auto"/>
            </w:pPr>
            <w:r>
              <w:lastRenderedPageBreak/>
              <w:t>Number of injury distribution</w:t>
            </w:r>
            <w:r w:rsidR="00595884">
              <w:t xml:space="preserve">, calibrated </w:t>
            </w:r>
            <w:r w:rsidR="004D2166">
              <w:t xml:space="preserve">for each value of the emergency ISS cut-off score to produce an average number of </w:t>
            </w:r>
            <w:r w:rsidR="004D2166">
              <w:lastRenderedPageBreak/>
              <w:t>injuries for those who sought care as was reported in Sundet et al. (2018)</w:t>
            </w:r>
          </w:p>
        </w:tc>
        <w:tc>
          <w:tcPr>
            <w:tcW w:w="2177" w:type="dxa"/>
            <w:gridSpan w:val="2"/>
          </w:tcPr>
          <w:p w14:paraId="656FC3E9" w14:textId="14EC8F56" w:rsidR="006250F3" w:rsidRPr="00883D8C" w:rsidRDefault="006250F3" w:rsidP="00F57908">
            <w:pPr>
              <w:spacing w:line="480" w:lineRule="auto"/>
            </w:pPr>
            <w:r>
              <w:lastRenderedPageBreak/>
              <w:t>Probability of in-hospital mortality</w:t>
            </w:r>
            <w:r w:rsidR="008D294F">
              <w:t xml:space="preserve"> </w:t>
            </w:r>
            <w:r w:rsidR="00595884">
              <w:t xml:space="preserve">for </w:t>
            </w:r>
            <w:r w:rsidR="008D294F">
              <w:t>the</w:t>
            </w:r>
            <w:r w:rsidR="00595884">
              <w:t xml:space="preserve"> ISS score boundary per run</w:t>
            </w:r>
          </w:p>
        </w:tc>
      </w:tr>
      <w:tr w:rsidR="008D294F" w14:paraId="31E02328" w14:textId="77777777" w:rsidTr="004D2166">
        <w:tc>
          <w:tcPr>
            <w:tcW w:w="1207" w:type="dxa"/>
          </w:tcPr>
          <w:p w14:paraId="39E0B7D8" w14:textId="77777777" w:rsidR="006250F3" w:rsidRDefault="006250F3" w:rsidP="00F57908">
            <w:pPr>
              <w:spacing w:line="480" w:lineRule="auto"/>
            </w:pPr>
            <w:r>
              <w:t>1</w:t>
            </w:r>
          </w:p>
        </w:tc>
        <w:tc>
          <w:tcPr>
            <w:tcW w:w="2757" w:type="dxa"/>
          </w:tcPr>
          <w:p w14:paraId="7CF9B9F9" w14:textId="51930FD0" w:rsidR="006250F3" w:rsidRDefault="006250F3" w:rsidP="00F57908">
            <w:pPr>
              <w:spacing w:line="480" w:lineRule="auto"/>
            </w:pPr>
            <w:r w:rsidRPr="007A3B15">
              <w:t>0.00</w:t>
            </w:r>
            <w:r w:rsidR="00EF7F86">
              <w:t>44</w:t>
            </w:r>
          </w:p>
        </w:tc>
        <w:tc>
          <w:tcPr>
            <w:tcW w:w="1934" w:type="dxa"/>
          </w:tcPr>
          <w:p w14:paraId="136083DD" w14:textId="77777777" w:rsidR="006250F3" w:rsidRDefault="006250F3" w:rsidP="00F57908">
            <w:pPr>
              <w:spacing w:line="480" w:lineRule="auto"/>
            </w:pPr>
            <w:r>
              <w:t>1</w:t>
            </w:r>
            <w:r w:rsidRPr="00013D5E">
              <w:t xml:space="preserve"> </w:t>
            </w:r>
          </w:p>
          <w:p w14:paraId="78AF793E" w14:textId="77777777" w:rsidR="006250F3" w:rsidRDefault="006250F3" w:rsidP="00F57908">
            <w:pPr>
              <w:spacing w:line="480" w:lineRule="auto"/>
            </w:pPr>
            <w:r>
              <w:t>2</w:t>
            </w:r>
          </w:p>
          <w:p w14:paraId="7ECB360E" w14:textId="77777777" w:rsidR="006250F3" w:rsidRDefault="006250F3" w:rsidP="00F57908">
            <w:pPr>
              <w:spacing w:line="480" w:lineRule="auto"/>
            </w:pPr>
            <w:r>
              <w:t>3</w:t>
            </w:r>
          </w:p>
          <w:p w14:paraId="54E5C513" w14:textId="77777777" w:rsidR="006250F3" w:rsidRDefault="006250F3" w:rsidP="00F57908">
            <w:pPr>
              <w:spacing w:line="480" w:lineRule="auto"/>
            </w:pPr>
            <w:r>
              <w:t>4</w:t>
            </w:r>
          </w:p>
          <w:p w14:paraId="0DC64BD6" w14:textId="77777777" w:rsidR="006250F3" w:rsidRDefault="006250F3" w:rsidP="00F57908">
            <w:pPr>
              <w:spacing w:line="480" w:lineRule="auto"/>
            </w:pPr>
            <w:r>
              <w:t>5</w:t>
            </w:r>
          </w:p>
          <w:p w14:paraId="0B5813BB" w14:textId="77777777" w:rsidR="006250F3" w:rsidRDefault="006250F3" w:rsidP="00F57908">
            <w:pPr>
              <w:spacing w:line="480" w:lineRule="auto"/>
            </w:pPr>
            <w:r>
              <w:t>6</w:t>
            </w:r>
          </w:p>
          <w:p w14:paraId="4CF9AF3F" w14:textId="77777777" w:rsidR="006250F3" w:rsidRDefault="006250F3" w:rsidP="00F57908">
            <w:pPr>
              <w:spacing w:line="480" w:lineRule="auto"/>
            </w:pPr>
            <w:r>
              <w:t>7</w:t>
            </w:r>
          </w:p>
          <w:p w14:paraId="21C4D436" w14:textId="77777777" w:rsidR="006250F3" w:rsidRDefault="006250F3" w:rsidP="00F57908">
            <w:pPr>
              <w:spacing w:line="480" w:lineRule="auto"/>
            </w:pPr>
            <w:r>
              <w:t>8</w:t>
            </w:r>
          </w:p>
        </w:tc>
        <w:tc>
          <w:tcPr>
            <w:tcW w:w="941" w:type="dxa"/>
          </w:tcPr>
          <w:p w14:paraId="79BCB692" w14:textId="77777777" w:rsidR="00595884" w:rsidRDefault="00595884" w:rsidP="00F57908">
            <w:pPr>
              <w:spacing w:line="480" w:lineRule="auto"/>
            </w:pPr>
            <w:r w:rsidRPr="00595884">
              <w:t>0.7094</w:t>
            </w:r>
          </w:p>
          <w:p w14:paraId="1D523B9D" w14:textId="77777777" w:rsidR="00595884" w:rsidRDefault="00595884" w:rsidP="00F57908">
            <w:pPr>
              <w:spacing w:line="480" w:lineRule="auto"/>
            </w:pPr>
            <w:r w:rsidRPr="00595884">
              <w:t>0.2062</w:t>
            </w:r>
          </w:p>
          <w:p w14:paraId="485F679B" w14:textId="77777777" w:rsidR="00595884" w:rsidRDefault="00595884" w:rsidP="00F57908">
            <w:pPr>
              <w:spacing w:line="480" w:lineRule="auto"/>
            </w:pPr>
            <w:r w:rsidRPr="00595884">
              <w:t>0.0599</w:t>
            </w:r>
          </w:p>
          <w:p w14:paraId="077A5BF4" w14:textId="77777777" w:rsidR="00595884" w:rsidRDefault="00595884" w:rsidP="00F57908">
            <w:pPr>
              <w:spacing w:line="480" w:lineRule="auto"/>
            </w:pPr>
            <w:r w:rsidRPr="00595884">
              <w:t>0.0174</w:t>
            </w:r>
          </w:p>
          <w:p w14:paraId="71EAC7FA" w14:textId="77777777" w:rsidR="00595884" w:rsidRDefault="00595884" w:rsidP="00F57908">
            <w:pPr>
              <w:spacing w:line="480" w:lineRule="auto"/>
            </w:pPr>
            <w:r w:rsidRPr="00595884">
              <w:t>0.0051</w:t>
            </w:r>
          </w:p>
          <w:p w14:paraId="4AB395D6" w14:textId="77777777" w:rsidR="00595884" w:rsidRDefault="00595884" w:rsidP="00F57908">
            <w:pPr>
              <w:spacing w:line="480" w:lineRule="auto"/>
            </w:pPr>
            <w:r w:rsidRPr="00595884">
              <w:t>0.0015</w:t>
            </w:r>
          </w:p>
          <w:p w14:paraId="20D58BE5" w14:textId="77777777" w:rsidR="00595884" w:rsidRDefault="00595884" w:rsidP="00F57908">
            <w:pPr>
              <w:spacing w:line="480" w:lineRule="auto"/>
            </w:pPr>
            <w:r w:rsidRPr="00595884">
              <w:t>0.0004</w:t>
            </w:r>
          </w:p>
          <w:p w14:paraId="0BF06DCD" w14:textId="7BF27DEB" w:rsidR="006250F3" w:rsidRDefault="00595884" w:rsidP="00F57908">
            <w:pPr>
              <w:spacing w:line="480" w:lineRule="auto"/>
            </w:pPr>
            <w:r w:rsidRPr="00595884">
              <w:t>0.0001</w:t>
            </w:r>
          </w:p>
        </w:tc>
        <w:tc>
          <w:tcPr>
            <w:tcW w:w="1414" w:type="dxa"/>
          </w:tcPr>
          <w:p w14:paraId="21B1167C" w14:textId="77777777" w:rsidR="006250F3" w:rsidRDefault="006250F3" w:rsidP="00F57908">
            <w:pPr>
              <w:spacing w:line="480" w:lineRule="auto"/>
            </w:pPr>
            <w:r>
              <w:t>ISS &lt; 9</w:t>
            </w:r>
          </w:p>
          <w:p w14:paraId="21B851B0" w14:textId="77777777" w:rsidR="006250F3" w:rsidRDefault="006250F3" w:rsidP="00F57908">
            <w:pPr>
              <w:spacing w:line="480" w:lineRule="auto"/>
            </w:pPr>
            <w:r>
              <w:t xml:space="preserve">10 </w:t>
            </w:r>
            <w:r>
              <w:rPr>
                <w:rFonts w:cstheme="minorHAnsi"/>
              </w:rPr>
              <w:t>≤</w:t>
            </w:r>
            <w:r>
              <w:t xml:space="preserve"> ISS </w:t>
            </w:r>
            <w:r>
              <w:rPr>
                <w:rFonts w:cstheme="minorHAnsi"/>
              </w:rPr>
              <w:t>≤</w:t>
            </w:r>
            <w:r>
              <w:t xml:space="preserve"> 15</w:t>
            </w:r>
          </w:p>
          <w:p w14:paraId="3722A115" w14:textId="77777777" w:rsidR="006250F3" w:rsidRDefault="006250F3" w:rsidP="00F57908">
            <w:pPr>
              <w:spacing w:line="480" w:lineRule="auto"/>
            </w:pPr>
            <w:r>
              <w:t xml:space="preserve">16 </w:t>
            </w:r>
            <w:r>
              <w:rPr>
                <w:rFonts w:cstheme="minorHAnsi"/>
              </w:rPr>
              <w:t>≤</w:t>
            </w:r>
            <w:r>
              <w:t xml:space="preserve"> ISS </w:t>
            </w:r>
            <w:r>
              <w:rPr>
                <w:rFonts w:cstheme="minorHAnsi"/>
              </w:rPr>
              <w:t>≤</w:t>
            </w:r>
            <w:r>
              <w:t xml:space="preserve"> 24</w:t>
            </w:r>
          </w:p>
          <w:p w14:paraId="468A7BCB" w14:textId="77777777" w:rsidR="006250F3" w:rsidRDefault="006250F3" w:rsidP="00F57908">
            <w:pPr>
              <w:spacing w:line="480" w:lineRule="auto"/>
            </w:pPr>
            <w:r>
              <w:t xml:space="preserve">25 </w:t>
            </w:r>
            <w:r>
              <w:rPr>
                <w:rFonts w:cstheme="minorHAnsi"/>
              </w:rPr>
              <w:t>≤</w:t>
            </w:r>
            <w:r>
              <w:t xml:space="preserve"> ISS </w:t>
            </w:r>
            <w:r>
              <w:rPr>
                <w:rFonts w:cstheme="minorHAnsi"/>
              </w:rPr>
              <w:t>≤</w:t>
            </w:r>
            <w:r>
              <w:t xml:space="preserve"> 35</w:t>
            </w:r>
          </w:p>
          <w:p w14:paraId="49BBFA6E" w14:textId="77777777" w:rsidR="006250F3" w:rsidRDefault="006250F3" w:rsidP="00F57908">
            <w:pPr>
              <w:spacing w:line="480" w:lineRule="auto"/>
            </w:pPr>
            <w:r>
              <w:t>ISS &gt; 35</w:t>
            </w:r>
          </w:p>
        </w:tc>
        <w:tc>
          <w:tcPr>
            <w:tcW w:w="763" w:type="dxa"/>
          </w:tcPr>
          <w:p w14:paraId="4B832614" w14:textId="38D110DB" w:rsidR="006250F3" w:rsidRDefault="006250F3" w:rsidP="00F57908">
            <w:pPr>
              <w:spacing w:line="480" w:lineRule="auto"/>
            </w:pPr>
            <w:r w:rsidRPr="00B67576">
              <w:t>0.0</w:t>
            </w:r>
            <w:r w:rsidR="009A4815" w:rsidRPr="009A4815">
              <w:t>11</w:t>
            </w:r>
            <w:r w:rsidRPr="00B67576">
              <w:t xml:space="preserve">  </w:t>
            </w:r>
          </w:p>
          <w:p w14:paraId="01589820" w14:textId="1DE14D47" w:rsidR="006250F3" w:rsidRDefault="006250F3" w:rsidP="00F57908">
            <w:pPr>
              <w:spacing w:line="480" w:lineRule="auto"/>
            </w:pPr>
            <w:r w:rsidRPr="00B67576">
              <w:t>0.0</w:t>
            </w:r>
            <w:r w:rsidR="009A4815">
              <w:t>16</w:t>
            </w:r>
          </w:p>
          <w:p w14:paraId="3ED0A259" w14:textId="73BA6B39" w:rsidR="006250F3" w:rsidRDefault="006250F3" w:rsidP="00F57908">
            <w:pPr>
              <w:spacing w:line="480" w:lineRule="auto"/>
            </w:pPr>
            <w:r w:rsidRPr="00B67576">
              <w:t>0.0</w:t>
            </w:r>
            <w:r w:rsidR="009A4815">
              <w:t>4</w:t>
            </w:r>
            <w:r w:rsidR="0018007E">
              <w:t>8</w:t>
            </w:r>
            <w:r w:rsidRPr="00B67576">
              <w:t xml:space="preserve"> </w:t>
            </w:r>
          </w:p>
          <w:p w14:paraId="64F0F5F1" w14:textId="749766F3" w:rsidR="006250F3" w:rsidRDefault="006250F3" w:rsidP="00F57908">
            <w:pPr>
              <w:spacing w:line="480" w:lineRule="auto"/>
            </w:pPr>
            <w:r w:rsidRPr="00B67576">
              <w:t>0.</w:t>
            </w:r>
            <w:r w:rsidR="009A4815">
              <w:t>20</w:t>
            </w:r>
            <w:r w:rsidR="0018007E">
              <w:t>4</w:t>
            </w:r>
          </w:p>
          <w:p w14:paraId="0B17FA0B" w14:textId="05D50D6D" w:rsidR="006250F3" w:rsidRDefault="006250F3" w:rsidP="00F57908">
            <w:pPr>
              <w:spacing w:line="480" w:lineRule="auto"/>
            </w:pPr>
            <w:r w:rsidRPr="00B67576">
              <w:t>0.</w:t>
            </w:r>
            <w:r w:rsidR="009A4815">
              <w:t>346</w:t>
            </w:r>
          </w:p>
        </w:tc>
      </w:tr>
      <w:tr w:rsidR="008D294F" w14:paraId="702813EF" w14:textId="77777777" w:rsidTr="004D2166">
        <w:tc>
          <w:tcPr>
            <w:tcW w:w="1207" w:type="dxa"/>
          </w:tcPr>
          <w:p w14:paraId="7EB180FB" w14:textId="77777777" w:rsidR="006250F3" w:rsidRDefault="006250F3" w:rsidP="00F57908">
            <w:pPr>
              <w:spacing w:line="480" w:lineRule="auto"/>
            </w:pPr>
            <w:r>
              <w:t>2</w:t>
            </w:r>
          </w:p>
        </w:tc>
        <w:tc>
          <w:tcPr>
            <w:tcW w:w="2757" w:type="dxa"/>
          </w:tcPr>
          <w:p w14:paraId="7AAE1A03" w14:textId="6590066F" w:rsidR="006250F3" w:rsidRDefault="006250F3" w:rsidP="00F57908">
            <w:pPr>
              <w:spacing w:line="480" w:lineRule="auto"/>
            </w:pPr>
            <w:r w:rsidRPr="007A3B15">
              <w:t>0.00</w:t>
            </w:r>
            <w:r w:rsidR="00EF7F86">
              <w:t>43</w:t>
            </w:r>
          </w:p>
        </w:tc>
        <w:tc>
          <w:tcPr>
            <w:tcW w:w="1934" w:type="dxa"/>
          </w:tcPr>
          <w:p w14:paraId="0428D69C" w14:textId="77777777" w:rsidR="006250F3" w:rsidRDefault="006250F3" w:rsidP="00F57908">
            <w:pPr>
              <w:spacing w:line="480" w:lineRule="auto"/>
            </w:pPr>
            <w:r>
              <w:t>1</w:t>
            </w:r>
            <w:r w:rsidRPr="00013D5E">
              <w:t xml:space="preserve"> </w:t>
            </w:r>
          </w:p>
          <w:p w14:paraId="2DBDD958" w14:textId="77777777" w:rsidR="006250F3" w:rsidRDefault="006250F3" w:rsidP="00F57908">
            <w:pPr>
              <w:spacing w:line="480" w:lineRule="auto"/>
            </w:pPr>
            <w:r>
              <w:t>2</w:t>
            </w:r>
          </w:p>
          <w:p w14:paraId="6747C10F" w14:textId="77777777" w:rsidR="006250F3" w:rsidRDefault="006250F3" w:rsidP="00F57908">
            <w:pPr>
              <w:spacing w:line="480" w:lineRule="auto"/>
            </w:pPr>
            <w:r>
              <w:t>3</w:t>
            </w:r>
          </w:p>
          <w:p w14:paraId="46C65037" w14:textId="77777777" w:rsidR="006250F3" w:rsidRDefault="006250F3" w:rsidP="00F57908">
            <w:pPr>
              <w:spacing w:line="480" w:lineRule="auto"/>
            </w:pPr>
            <w:r>
              <w:t>4</w:t>
            </w:r>
          </w:p>
          <w:p w14:paraId="410019CF" w14:textId="77777777" w:rsidR="006250F3" w:rsidRDefault="006250F3" w:rsidP="00F57908">
            <w:pPr>
              <w:spacing w:line="480" w:lineRule="auto"/>
            </w:pPr>
            <w:r>
              <w:t>5</w:t>
            </w:r>
          </w:p>
          <w:p w14:paraId="3BEAED25" w14:textId="77777777" w:rsidR="006250F3" w:rsidRDefault="006250F3" w:rsidP="00F57908">
            <w:pPr>
              <w:spacing w:line="480" w:lineRule="auto"/>
            </w:pPr>
            <w:r>
              <w:t>6</w:t>
            </w:r>
          </w:p>
          <w:p w14:paraId="3E988134" w14:textId="77777777" w:rsidR="006250F3" w:rsidRDefault="006250F3" w:rsidP="00F57908">
            <w:pPr>
              <w:spacing w:line="480" w:lineRule="auto"/>
            </w:pPr>
            <w:r>
              <w:t>7</w:t>
            </w:r>
          </w:p>
          <w:p w14:paraId="7BA17CC8" w14:textId="77777777" w:rsidR="006250F3" w:rsidRDefault="006250F3" w:rsidP="00F57908">
            <w:pPr>
              <w:spacing w:line="480" w:lineRule="auto"/>
            </w:pPr>
            <w:r>
              <w:t>8</w:t>
            </w:r>
          </w:p>
        </w:tc>
        <w:tc>
          <w:tcPr>
            <w:tcW w:w="941" w:type="dxa"/>
          </w:tcPr>
          <w:p w14:paraId="7FC84EE7" w14:textId="77777777" w:rsidR="00595884" w:rsidRDefault="00595884" w:rsidP="00F57908">
            <w:pPr>
              <w:spacing w:line="480" w:lineRule="auto"/>
            </w:pPr>
            <w:r w:rsidRPr="00595884">
              <w:t>0.7094</w:t>
            </w:r>
          </w:p>
          <w:p w14:paraId="4288008F" w14:textId="77777777" w:rsidR="00595884" w:rsidRDefault="00595884" w:rsidP="00F57908">
            <w:pPr>
              <w:spacing w:line="480" w:lineRule="auto"/>
            </w:pPr>
            <w:r w:rsidRPr="00595884">
              <w:t>0.2062</w:t>
            </w:r>
          </w:p>
          <w:p w14:paraId="768A458A" w14:textId="77777777" w:rsidR="00595884" w:rsidRDefault="00595884" w:rsidP="00F57908">
            <w:pPr>
              <w:spacing w:line="480" w:lineRule="auto"/>
            </w:pPr>
            <w:r w:rsidRPr="00595884">
              <w:t>0.0599</w:t>
            </w:r>
          </w:p>
          <w:p w14:paraId="319AA5F0" w14:textId="77777777" w:rsidR="00595884" w:rsidRDefault="00595884" w:rsidP="00F57908">
            <w:pPr>
              <w:spacing w:line="480" w:lineRule="auto"/>
            </w:pPr>
            <w:r w:rsidRPr="00595884">
              <w:t>0.0174</w:t>
            </w:r>
          </w:p>
          <w:p w14:paraId="14DCA3C2" w14:textId="77777777" w:rsidR="00595884" w:rsidRDefault="00595884" w:rsidP="00F57908">
            <w:pPr>
              <w:spacing w:line="480" w:lineRule="auto"/>
            </w:pPr>
            <w:r w:rsidRPr="00595884">
              <w:t>0.0051</w:t>
            </w:r>
          </w:p>
          <w:p w14:paraId="6F830C76" w14:textId="77777777" w:rsidR="00595884" w:rsidRDefault="00595884" w:rsidP="00F57908">
            <w:pPr>
              <w:spacing w:line="480" w:lineRule="auto"/>
            </w:pPr>
            <w:r w:rsidRPr="00595884">
              <w:t>0.0015</w:t>
            </w:r>
          </w:p>
          <w:p w14:paraId="1181F38C" w14:textId="77777777" w:rsidR="00595884" w:rsidRDefault="00595884" w:rsidP="00F57908">
            <w:pPr>
              <w:spacing w:line="480" w:lineRule="auto"/>
            </w:pPr>
            <w:r w:rsidRPr="00595884">
              <w:t>0.0004</w:t>
            </w:r>
          </w:p>
          <w:p w14:paraId="27C82AEB" w14:textId="4168EBE5" w:rsidR="006250F3" w:rsidRDefault="00595884" w:rsidP="00F57908">
            <w:pPr>
              <w:spacing w:line="480" w:lineRule="auto"/>
            </w:pPr>
            <w:r w:rsidRPr="00595884">
              <w:t>0.0001</w:t>
            </w:r>
          </w:p>
        </w:tc>
        <w:tc>
          <w:tcPr>
            <w:tcW w:w="1414" w:type="dxa"/>
          </w:tcPr>
          <w:p w14:paraId="45232EF2" w14:textId="77777777" w:rsidR="006250F3" w:rsidRDefault="006250F3" w:rsidP="00F57908">
            <w:pPr>
              <w:spacing w:line="480" w:lineRule="auto"/>
            </w:pPr>
            <w:r>
              <w:t>ISS &lt; 9</w:t>
            </w:r>
          </w:p>
          <w:p w14:paraId="71CCCEE1" w14:textId="77777777" w:rsidR="006250F3" w:rsidRDefault="006250F3" w:rsidP="00F57908">
            <w:pPr>
              <w:spacing w:line="480" w:lineRule="auto"/>
            </w:pPr>
            <w:r>
              <w:t xml:space="preserve">10 </w:t>
            </w:r>
            <w:r>
              <w:rPr>
                <w:rFonts w:cstheme="minorHAnsi"/>
              </w:rPr>
              <w:t>≤</w:t>
            </w:r>
            <w:r>
              <w:t xml:space="preserve"> ISS </w:t>
            </w:r>
            <w:r>
              <w:rPr>
                <w:rFonts w:cstheme="minorHAnsi"/>
              </w:rPr>
              <w:t>≤</w:t>
            </w:r>
            <w:r>
              <w:t xml:space="preserve"> 15</w:t>
            </w:r>
          </w:p>
          <w:p w14:paraId="59298D31" w14:textId="77777777" w:rsidR="006250F3" w:rsidRDefault="006250F3" w:rsidP="00F57908">
            <w:pPr>
              <w:spacing w:line="480" w:lineRule="auto"/>
            </w:pPr>
            <w:r>
              <w:t xml:space="preserve">16 </w:t>
            </w:r>
            <w:r>
              <w:rPr>
                <w:rFonts w:cstheme="minorHAnsi"/>
              </w:rPr>
              <w:t>≤</w:t>
            </w:r>
            <w:r>
              <w:t xml:space="preserve"> ISS </w:t>
            </w:r>
            <w:r>
              <w:rPr>
                <w:rFonts w:cstheme="minorHAnsi"/>
              </w:rPr>
              <w:t>≤</w:t>
            </w:r>
            <w:r>
              <w:t xml:space="preserve"> 24</w:t>
            </w:r>
          </w:p>
          <w:p w14:paraId="2A1A6998" w14:textId="77777777" w:rsidR="006250F3" w:rsidRDefault="006250F3" w:rsidP="00F57908">
            <w:pPr>
              <w:spacing w:line="480" w:lineRule="auto"/>
            </w:pPr>
            <w:r>
              <w:t xml:space="preserve">25 </w:t>
            </w:r>
            <w:r>
              <w:rPr>
                <w:rFonts w:cstheme="minorHAnsi"/>
              </w:rPr>
              <w:t>≤</w:t>
            </w:r>
            <w:r>
              <w:t xml:space="preserve"> ISS </w:t>
            </w:r>
            <w:r>
              <w:rPr>
                <w:rFonts w:cstheme="minorHAnsi"/>
              </w:rPr>
              <w:t>≤</w:t>
            </w:r>
            <w:r>
              <w:t xml:space="preserve"> 35</w:t>
            </w:r>
          </w:p>
          <w:p w14:paraId="5251A90F" w14:textId="77777777" w:rsidR="006250F3" w:rsidRDefault="006250F3" w:rsidP="00F57908">
            <w:pPr>
              <w:spacing w:line="480" w:lineRule="auto"/>
            </w:pPr>
            <w:r>
              <w:t>ISS &gt; 35</w:t>
            </w:r>
          </w:p>
        </w:tc>
        <w:tc>
          <w:tcPr>
            <w:tcW w:w="763" w:type="dxa"/>
          </w:tcPr>
          <w:p w14:paraId="21CF912C" w14:textId="4C352552" w:rsidR="006250F3" w:rsidRDefault="006250F3" w:rsidP="00F57908">
            <w:pPr>
              <w:spacing w:line="480" w:lineRule="auto"/>
            </w:pPr>
            <w:r w:rsidRPr="00B67576">
              <w:t>0.0</w:t>
            </w:r>
            <w:r w:rsidR="009A4815">
              <w:t>0</w:t>
            </w:r>
            <w:r w:rsidR="0018007E">
              <w:t>9</w:t>
            </w:r>
            <w:r w:rsidRPr="00B67576">
              <w:t xml:space="preserve"> </w:t>
            </w:r>
          </w:p>
          <w:p w14:paraId="33010DF7" w14:textId="5AB4BF78" w:rsidR="006250F3" w:rsidRDefault="006250F3" w:rsidP="00F57908">
            <w:pPr>
              <w:spacing w:line="480" w:lineRule="auto"/>
            </w:pPr>
            <w:r w:rsidRPr="00B67576">
              <w:t>0.0</w:t>
            </w:r>
            <w:r w:rsidR="009A4815">
              <w:t>1</w:t>
            </w:r>
            <w:r w:rsidR="0018007E">
              <w:t>3</w:t>
            </w:r>
          </w:p>
          <w:p w14:paraId="4A81936C" w14:textId="7DB7F8CA" w:rsidR="006250F3" w:rsidRDefault="006250F3" w:rsidP="00F57908">
            <w:pPr>
              <w:spacing w:line="480" w:lineRule="auto"/>
            </w:pPr>
            <w:r w:rsidRPr="00B67576">
              <w:t>0.0</w:t>
            </w:r>
            <w:r w:rsidR="009A4815">
              <w:t>3</w:t>
            </w:r>
            <w:r w:rsidR="0018007E">
              <w:t>7</w:t>
            </w:r>
          </w:p>
          <w:p w14:paraId="68017624" w14:textId="0952E789" w:rsidR="006250F3" w:rsidRDefault="006250F3" w:rsidP="00F57908">
            <w:pPr>
              <w:spacing w:line="480" w:lineRule="auto"/>
            </w:pPr>
            <w:r w:rsidRPr="00B67576">
              <w:t>0.</w:t>
            </w:r>
            <w:r w:rsidR="009A4815">
              <w:t>156</w:t>
            </w:r>
          </w:p>
          <w:p w14:paraId="1B1E301A" w14:textId="41C71E22" w:rsidR="006250F3" w:rsidRDefault="006250F3" w:rsidP="00F57908">
            <w:pPr>
              <w:spacing w:line="480" w:lineRule="auto"/>
            </w:pPr>
            <w:r w:rsidRPr="00B67576">
              <w:t>0.</w:t>
            </w:r>
            <w:r w:rsidR="009A4815">
              <w:t>266</w:t>
            </w:r>
          </w:p>
        </w:tc>
      </w:tr>
      <w:tr w:rsidR="008D294F" w14:paraId="3D5B9B82" w14:textId="77777777" w:rsidTr="004D2166">
        <w:tc>
          <w:tcPr>
            <w:tcW w:w="1207" w:type="dxa"/>
          </w:tcPr>
          <w:p w14:paraId="4C91A465" w14:textId="77777777" w:rsidR="006250F3" w:rsidRDefault="006250F3" w:rsidP="00F57908">
            <w:pPr>
              <w:spacing w:line="480" w:lineRule="auto"/>
            </w:pPr>
            <w:r>
              <w:t>3</w:t>
            </w:r>
          </w:p>
        </w:tc>
        <w:tc>
          <w:tcPr>
            <w:tcW w:w="2757" w:type="dxa"/>
          </w:tcPr>
          <w:p w14:paraId="0A5C982D" w14:textId="7B96E8AA" w:rsidR="006250F3" w:rsidRDefault="006250F3" w:rsidP="00F57908">
            <w:pPr>
              <w:spacing w:line="480" w:lineRule="auto"/>
            </w:pPr>
            <w:r w:rsidRPr="007A3B15">
              <w:t>0.00</w:t>
            </w:r>
            <w:r w:rsidR="00EF7F86">
              <w:t>44</w:t>
            </w:r>
          </w:p>
        </w:tc>
        <w:tc>
          <w:tcPr>
            <w:tcW w:w="1934" w:type="dxa"/>
          </w:tcPr>
          <w:p w14:paraId="1D46B5E4" w14:textId="77777777" w:rsidR="006250F3" w:rsidRDefault="006250F3" w:rsidP="00F57908">
            <w:pPr>
              <w:spacing w:line="480" w:lineRule="auto"/>
            </w:pPr>
            <w:r>
              <w:t>1</w:t>
            </w:r>
            <w:r w:rsidRPr="00013D5E">
              <w:t xml:space="preserve"> </w:t>
            </w:r>
          </w:p>
          <w:p w14:paraId="3CBCA081" w14:textId="77777777" w:rsidR="006250F3" w:rsidRDefault="006250F3" w:rsidP="00F57908">
            <w:pPr>
              <w:spacing w:line="480" w:lineRule="auto"/>
            </w:pPr>
            <w:r>
              <w:t>2</w:t>
            </w:r>
          </w:p>
          <w:p w14:paraId="2B6642F1" w14:textId="77777777" w:rsidR="006250F3" w:rsidRDefault="006250F3" w:rsidP="00F57908">
            <w:pPr>
              <w:spacing w:line="480" w:lineRule="auto"/>
            </w:pPr>
            <w:r>
              <w:t>3</w:t>
            </w:r>
          </w:p>
          <w:p w14:paraId="0D22D55F" w14:textId="77777777" w:rsidR="006250F3" w:rsidRDefault="006250F3" w:rsidP="00F57908">
            <w:pPr>
              <w:spacing w:line="480" w:lineRule="auto"/>
            </w:pPr>
            <w:r>
              <w:t>4</w:t>
            </w:r>
          </w:p>
          <w:p w14:paraId="0C604B5F" w14:textId="77777777" w:rsidR="006250F3" w:rsidRDefault="006250F3" w:rsidP="00F57908">
            <w:pPr>
              <w:spacing w:line="480" w:lineRule="auto"/>
            </w:pPr>
            <w:r>
              <w:t>5</w:t>
            </w:r>
          </w:p>
          <w:p w14:paraId="65383548" w14:textId="77777777" w:rsidR="006250F3" w:rsidRDefault="006250F3" w:rsidP="00F57908">
            <w:pPr>
              <w:spacing w:line="480" w:lineRule="auto"/>
            </w:pPr>
            <w:r>
              <w:t>6</w:t>
            </w:r>
          </w:p>
          <w:p w14:paraId="3860E6B8" w14:textId="77777777" w:rsidR="006250F3" w:rsidRDefault="006250F3" w:rsidP="00F57908">
            <w:pPr>
              <w:spacing w:line="480" w:lineRule="auto"/>
            </w:pPr>
            <w:r>
              <w:lastRenderedPageBreak/>
              <w:t>7</w:t>
            </w:r>
          </w:p>
          <w:p w14:paraId="787FF955" w14:textId="77777777" w:rsidR="006250F3" w:rsidRDefault="006250F3" w:rsidP="00F57908">
            <w:pPr>
              <w:spacing w:line="480" w:lineRule="auto"/>
            </w:pPr>
            <w:r>
              <w:t>8</w:t>
            </w:r>
          </w:p>
        </w:tc>
        <w:tc>
          <w:tcPr>
            <w:tcW w:w="941" w:type="dxa"/>
          </w:tcPr>
          <w:p w14:paraId="20DF8D2D" w14:textId="77777777" w:rsidR="00595884" w:rsidRDefault="00595884" w:rsidP="00F57908">
            <w:pPr>
              <w:spacing w:line="480" w:lineRule="auto"/>
            </w:pPr>
            <w:r w:rsidRPr="00595884">
              <w:lastRenderedPageBreak/>
              <w:t>0.7094</w:t>
            </w:r>
          </w:p>
          <w:p w14:paraId="3B37BCCF" w14:textId="77777777" w:rsidR="00595884" w:rsidRDefault="00595884" w:rsidP="00F57908">
            <w:pPr>
              <w:spacing w:line="480" w:lineRule="auto"/>
            </w:pPr>
            <w:r w:rsidRPr="00595884">
              <w:t>0.2062</w:t>
            </w:r>
          </w:p>
          <w:p w14:paraId="64531349" w14:textId="77777777" w:rsidR="00595884" w:rsidRDefault="00595884" w:rsidP="00F57908">
            <w:pPr>
              <w:spacing w:line="480" w:lineRule="auto"/>
            </w:pPr>
            <w:r w:rsidRPr="00595884">
              <w:t>0.0599</w:t>
            </w:r>
          </w:p>
          <w:p w14:paraId="6217B94D" w14:textId="77777777" w:rsidR="00595884" w:rsidRDefault="00595884" w:rsidP="00F57908">
            <w:pPr>
              <w:spacing w:line="480" w:lineRule="auto"/>
            </w:pPr>
            <w:r w:rsidRPr="00595884">
              <w:t>0.0174</w:t>
            </w:r>
          </w:p>
          <w:p w14:paraId="432C9A63" w14:textId="77777777" w:rsidR="00595884" w:rsidRDefault="00595884" w:rsidP="00F57908">
            <w:pPr>
              <w:spacing w:line="480" w:lineRule="auto"/>
            </w:pPr>
            <w:r w:rsidRPr="00595884">
              <w:t>0.0051</w:t>
            </w:r>
          </w:p>
          <w:p w14:paraId="212B9285" w14:textId="77777777" w:rsidR="00595884" w:rsidRDefault="00595884" w:rsidP="00F57908">
            <w:pPr>
              <w:spacing w:line="480" w:lineRule="auto"/>
            </w:pPr>
            <w:r w:rsidRPr="00595884">
              <w:t>0.0015</w:t>
            </w:r>
          </w:p>
          <w:p w14:paraId="1FA0C7E4" w14:textId="77777777" w:rsidR="00595884" w:rsidRDefault="00595884" w:rsidP="00F57908">
            <w:pPr>
              <w:spacing w:line="480" w:lineRule="auto"/>
            </w:pPr>
            <w:r w:rsidRPr="00595884">
              <w:lastRenderedPageBreak/>
              <w:t>0.0004</w:t>
            </w:r>
          </w:p>
          <w:p w14:paraId="2101213F" w14:textId="76214BEB" w:rsidR="006250F3" w:rsidRDefault="00595884" w:rsidP="00F57908">
            <w:pPr>
              <w:spacing w:line="480" w:lineRule="auto"/>
            </w:pPr>
            <w:r w:rsidRPr="00595884">
              <w:t>0.0001</w:t>
            </w:r>
          </w:p>
        </w:tc>
        <w:tc>
          <w:tcPr>
            <w:tcW w:w="1414" w:type="dxa"/>
          </w:tcPr>
          <w:p w14:paraId="4365355E" w14:textId="77777777" w:rsidR="006250F3" w:rsidRDefault="006250F3" w:rsidP="00F57908">
            <w:pPr>
              <w:spacing w:line="480" w:lineRule="auto"/>
            </w:pPr>
            <w:r>
              <w:lastRenderedPageBreak/>
              <w:t>ISS &lt; 9</w:t>
            </w:r>
          </w:p>
          <w:p w14:paraId="1CBD3BEE" w14:textId="77777777" w:rsidR="006250F3" w:rsidRDefault="006250F3" w:rsidP="00F57908">
            <w:pPr>
              <w:spacing w:line="480" w:lineRule="auto"/>
            </w:pPr>
            <w:r>
              <w:t xml:space="preserve">10 </w:t>
            </w:r>
            <w:r>
              <w:rPr>
                <w:rFonts w:cstheme="minorHAnsi"/>
              </w:rPr>
              <w:t>≤</w:t>
            </w:r>
            <w:r>
              <w:t xml:space="preserve"> ISS </w:t>
            </w:r>
            <w:r>
              <w:rPr>
                <w:rFonts w:cstheme="minorHAnsi"/>
              </w:rPr>
              <w:t>≤</w:t>
            </w:r>
            <w:r>
              <w:t xml:space="preserve"> 15</w:t>
            </w:r>
          </w:p>
          <w:p w14:paraId="22B0D8B4" w14:textId="77777777" w:rsidR="006250F3" w:rsidRDefault="006250F3" w:rsidP="00F57908">
            <w:pPr>
              <w:spacing w:line="480" w:lineRule="auto"/>
            </w:pPr>
            <w:r>
              <w:t xml:space="preserve">16 </w:t>
            </w:r>
            <w:r>
              <w:rPr>
                <w:rFonts w:cstheme="minorHAnsi"/>
              </w:rPr>
              <w:t>≤</w:t>
            </w:r>
            <w:r>
              <w:t xml:space="preserve"> ISS </w:t>
            </w:r>
            <w:r>
              <w:rPr>
                <w:rFonts w:cstheme="minorHAnsi"/>
              </w:rPr>
              <w:t>≤</w:t>
            </w:r>
            <w:r>
              <w:t xml:space="preserve"> 24</w:t>
            </w:r>
          </w:p>
          <w:p w14:paraId="7576308D" w14:textId="77777777" w:rsidR="006250F3" w:rsidRDefault="006250F3" w:rsidP="00F57908">
            <w:pPr>
              <w:spacing w:line="480" w:lineRule="auto"/>
            </w:pPr>
            <w:r>
              <w:t xml:space="preserve">25 </w:t>
            </w:r>
            <w:r>
              <w:rPr>
                <w:rFonts w:cstheme="minorHAnsi"/>
              </w:rPr>
              <w:t>≤</w:t>
            </w:r>
            <w:r>
              <w:t xml:space="preserve"> ISS </w:t>
            </w:r>
            <w:r>
              <w:rPr>
                <w:rFonts w:cstheme="minorHAnsi"/>
              </w:rPr>
              <w:t>≤</w:t>
            </w:r>
            <w:r>
              <w:t xml:space="preserve"> 35</w:t>
            </w:r>
          </w:p>
          <w:p w14:paraId="52319625" w14:textId="77777777" w:rsidR="006250F3" w:rsidRDefault="006250F3" w:rsidP="00F57908">
            <w:pPr>
              <w:spacing w:line="480" w:lineRule="auto"/>
            </w:pPr>
            <w:r>
              <w:t>ISS &gt; 35</w:t>
            </w:r>
          </w:p>
        </w:tc>
        <w:tc>
          <w:tcPr>
            <w:tcW w:w="763" w:type="dxa"/>
          </w:tcPr>
          <w:p w14:paraId="5359EC45" w14:textId="69A875C1" w:rsidR="006250F3" w:rsidRDefault="006250F3" w:rsidP="00F57908">
            <w:pPr>
              <w:spacing w:line="480" w:lineRule="auto"/>
            </w:pPr>
            <w:r w:rsidRPr="00F37396">
              <w:t>0.0</w:t>
            </w:r>
            <w:r w:rsidR="0018007E">
              <w:t>08</w:t>
            </w:r>
          </w:p>
          <w:p w14:paraId="3BCA034F" w14:textId="007C97FB" w:rsidR="006250F3" w:rsidRDefault="006250F3" w:rsidP="00F57908">
            <w:pPr>
              <w:spacing w:line="480" w:lineRule="auto"/>
            </w:pPr>
            <w:r w:rsidRPr="00F37396">
              <w:t>0.0</w:t>
            </w:r>
            <w:r w:rsidR="0018007E">
              <w:t>12</w:t>
            </w:r>
          </w:p>
          <w:p w14:paraId="4FEDCB49" w14:textId="16CFC341" w:rsidR="006250F3" w:rsidRDefault="006250F3" w:rsidP="00F57908">
            <w:pPr>
              <w:spacing w:line="480" w:lineRule="auto"/>
            </w:pPr>
            <w:r w:rsidRPr="00F37396">
              <w:t>0.0</w:t>
            </w:r>
            <w:r w:rsidR="0018007E">
              <w:t>34</w:t>
            </w:r>
          </w:p>
          <w:p w14:paraId="709C8456" w14:textId="782A89B0" w:rsidR="006250F3" w:rsidRDefault="006250F3" w:rsidP="00F57908">
            <w:pPr>
              <w:spacing w:line="480" w:lineRule="auto"/>
            </w:pPr>
            <w:r w:rsidRPr="00F37396">
              <w:t>0.</w:t>
            </w:r>
            <w:r w:rsidR="0018007E">
              <w:t>146</w:t>
            </w:r>
          </w:p>
          <w:p w14:paraId="3F8DC8C2" w14:textId="474E4A31" w:rsidR="006250F3" w:rsidRDefault="006250F3" w:rsidP="00F57908">
            <w:pPr>
              <w:spacing w:line="480" w:lineRule="auto"/>
            </w:pPr>
            <w:r w:rsidRPr="00F37396">
              <w:t>0.</w:t>
            </w:r>
            <w:r w:rsidR="0018007E">
              <w:t>248</w:t>
            </w:r>
          </w:p>
        </w:tc>
      </w:tr>
      <w:tr w:rsidR="008D294F" w14:paraId="64F62C33" w14:textId="77777777" w:rsidTr="004D2166">
        <w:tc>
          <w:tcPr>
            <w:tcW w:w="1207" w:type="dxa"/>
          </w:tcPr>
          <w:p w14:paraId="7E69ACAE" w14:textId="77777777" w:rsidR="006250F3" w:rsidRDefault="006250F3" w:rsidP="00F57908">
            <w:pPr>
              <w:spacing w:line="480" w:lineRule="auto"/>
            </w:pPr>
            <w:r>
              <w:t>4</w:t>
            </w:r>
          </w:p>
        </w:tc>
        <w:tc>
          <w:tcPr>
            <w:tcW w:w="2757" w:type="dxa"/>
          </w:tcPr>
          <w:p w14:paraId="371282FA" w14:textId="7CE14A06" w:rsidR="006250F3" w:rsidRDefault="006250F3" w:rsidP="00F57908">
            <w:pPr>
              <w:spacing w:line="480" w:lineRule="auto"/>
            </w:pPr>
            <w:r w:rsidRPr="007A3B15">
              <w:t>0.00</w:t>
            </w:r>
            <w:r w:rsidR="00EF7F86">
              <w:t>43</w:t>
            </w:r>
          </w:p>
        </w:tc>
        <w:tc>
          <w:tcPr>
            <w:tcW w:w="1934" w:type="dxa"/>
          </w:tcPr>
          <w:p w14:paraId="5C377CB9" w14:textId="77777777" w:rsidR="006250F3" w:rsidRDefault="006250F3" w:rsidP="00F57908">
            <w:pPr>
              <w:spacing w:line="480" w:lineRule="auto"/>
            </w:pPr>
            <w:r>
              <w:t>1</w:t>
            </w:r>
            <w:r w:rsidRPr="00013D5E">
              <w:t xml:space="preserve"> </w:t>
            </w:r>
          </w:p>
          <w:p w14:paraId="57B89F1F" w14:textId="77777777" w:rsidR="006250F3" w:rsidRDefault="006250F3" w:rsidP="00F57908">
            <w:pPr>
              <w:spacing w:line="480" w:lineRule="auto"/>
            </w:pPr>
            <w:r>
              <w:t>2</w:t>
            </w:r>
          </w:p>
          <w:p w14:paraId="60BD40E6" w14:textId="77777777" w:rsidR="006250F3" w:rsidRDefault="006250F3" w:rsidP="00F57908">
            <w:pPr>
              <w:spacing w:line="480" w:lineRule="auto"/>
            </w:pPr>
            <w:r>
              <w:t>3</w:t>
            </w:r>
          </w:p>
          <w:p w14:paraId="576FB32F" w14:textId="77777777" w:rsidR="006250F3" w:rsidRDefault="006250F3" w:rsidP="00F57908">
            <w:pPr>
              <w:spacing w:line="480" w:lineRule="auto"/>
            </w:pPr>
            <w:r>
              <w:t>4</w:t>
            </w:r>
          </w:p>
          <w:p w14:paraId="733A0709" w14:textId="77777777" w:rsidR="006250F3" w:rsidRDefault="006250F3" w:rsidP="00F57908">
            <w:pPr>
              <w:spacing w:line="480" w:lineRule="auto"/>
            </w:pPr>
            <w:r>
              <w:t>5</w:t>
            </w:r>
          </w:p>
          <w:p w14:paraId="142CD2DE" w14:textId="77777777" w:rsidR="006250F3" w:rsidRDefault="006250F3" w:rsidP="00F57908">
            <w:pPr>
              <w:spacing w:line="480" w:lineRule="auto"/>
            </w:pPr>
            <w:r>
              <w:t>6</w:t>
            </w:r>
          </w:p>
          <w:p w14:paraId="16A24606" w14:textId="77777777" w:rsidR="006250F3" w:rsidRDefault="006250F3" w:rsidP="00F57908">
            <w:pPr>
              <w:spacing w:line="480" w:lineRule="auto"/>
            </w:pPr>
            <w:r>
              <w:t>7</w:t>
            </w:r>
          </w:p>
          <w:p w14:paraId="6A651092" w14:textId="77777777" w:rsidR="006250F3" w:rsidRDefault="006250F3" w:rsidP="00F57908">
            <w:pPr>
              <w:spacing w:line="480" w:lineRule="auto"/>
            </w:pPr>
            <w:r>
              <w:t>8</w:t>
            </w:r>
          </w:p>
        </w:tc>
        <w:tc>
          <w:tcPr>
            <w:tcW w:w="941" w:type="dxa"/>
          </w:tcPr>
          <w:p w14:paraId="6BA1AA9A" w14:textId="77777777" w:rsidR="00595884" w:rsidRDefault="00595884" w:rsidP="00F57908">
            <w:pPr>
              <w:spacing w:line="480" w:lineRule="auto"/>
            </w:pPr>
            <w:r w:rsidRPr="00595884">
              <w:t>0.7094</w:t>
            </w:r>
          </w:p>
          <w:p w14:paraId="341AB7E1" w14:textId="77777777" w:rsidR="00595884" w:rsidRDefault="00595884" w:rsidP="00F57908">
            <w:pPr>
              <w:spacing w:line="480" w:lineRule="auto"/>
            </w:pPr>
            <w:r w:rsidRPr="00595884">
              <w:t>0.2062</w:t>
            </w:r>
          </w:p>
          <w:p w14:paraId="000CF5CE" w14:textId="77777777" w:rsidR="00595884" w:rsidRDefault="00595884" w:rsidP="00F57908">
            <w:pPr>
              <w:spacing w:line="480" w:lineRule="auto"/>
            </w:pPr>
            <w:r w:rsidRPr="00595884">
              <w:t>0.0599</w:t>
            </w:r>
          </w:p>
          <w:p w14:paraId="0C3E82C2" w14:textId="77777777" w:rsidR="00595884" w:rsidRDefault="00595884" w:rsidP="00F57908">
            <w:pPr>
              <w:spacing w:line="480" w:lineRule="auto"/>
            </w:pPr>
            <w:r w:rsidRPr="00595884">
              <w:t>0.0174</w:t>
            </w:r>
          </w:p>
          <w:p w14:paraId="552AF251" w14:textId="77777777" w:rsidR="00595884" w:rsidRDefault="00595884" w:rsidP="00F57908">
            <w:pPr>
              <w:spacing w:line="480" w:lineRule="auto"/>
            </w:pPr>
            <w:r w:rsidRPr="00595884">
              <w:t>0.0051</w:t>
            </w:r>
          </w:p>
          <w:p w14:paraId="6B9EEA81" w14:textId="77777777" w:rsidR="00595884" w:rsidRDefault="00595884" w:rsidP="00F57908">
            <w:pPr>
              <w:spacing w:line="480" w:lineRule="auto"/>
            </w:pPr>
            <w:r w:rsidRPr="00595884">
              <w:t>0.0015</w:t>
            </w:r>
          </w:p>
          <w:p w14:paraId="4A973FC3" w14:textId="77777777" w:rsidR="00595884" w:rsidRDefault="00595884" w:rsidP="00F57908">
            <w:pPr>
              <w:spacing w:line="480" w:lineRule="auto"/>
            </w:pPr>
            <w:r w:rsidRPr="00595884">
              <w:t>0.0004</w:t>
            </w:r>
          </w:p>
          <w:p w14:paraId="36E1D0C5" w14:textId="27760112" w:rsidR="006250F3" w:rsidRDefault="00595884" w:rsidP="00F57908">
            <w:pPr>
              <w:spacing w:line="480" w:lineRule="auto"/>
            </w:pPr>
            <w:r w:rsidRPr="00595884">
              <w:t>0.0001</w:t>
            </w:r>
          </w:p>
        </w:tc>
        <w:tc>
          <w:tcPr>
            <w:tcW w:w="1414" w:type="dxa"/>
          </w:tcPr>
          <w:p w14:paraId="1012EA04" w14:textId="77777777" w:rsidR="006250F3" w:rsidRDefault="006250F3" w:rsidP="00F57908">
            <w:pPr>
              <w:spacing w:line="480" w:lineRule="auto"/>
            </w:pPr>
            <w:r>
              <w:t>ISS &lt; 9</w:t>
            </w:r>
          </w:p>
          <w:p w14:paraId="40A843C4" w14:textId="77777777" w:rsidR="006250F3" w:rsidRDefault="006250F3" w:rsidP="00F57908">
            <w:pPr>
              <w:spacing w:line="480" w:lineRule="auto"/>
            </w:pPr>
            <w:r>
              <w:t xml:space="preserve">10 </w:t>
            </w:r>
            <w:r>
              <w:rPr>
                <w:rFonts w:cstheme="minorHAnsi"/>
              </w:rPr>
              <w:t>≤</w:t>
            </w:r>
            <w:r>
              <w:t xml:space="preserve"> ISS </w:t>
            </w:r>
            <w:r>
              <w:rPr>
                <w:rFonts w:cstheme="minorHAnsi"/>
              </w:rPr>
              <w:t>≤</w:t>
            </w:r>
            <w:r>
              <w:t xml:space="preserve"> 15</w:t>
            </w:r>
          </w:p>
          <w:p w14:paraId="123C8568" w14:textId="77777777" w:rsidR="006250F3" w:rsidRDefault="006250F3" w:rsidP="00F57908">
            <w:pPr>
              <w:spacing w:line="480" w:lineRule="auto"/>
            </w:pPr>
            <w:r>
              <w:t xml:space="preserve">16 </w:t>
            </w:r>
            <w:r>
              <w:rPr>
                <w:rFonts w:cstheme="minorHAnsi"/>
              </w:rPr>
              <w:t>≤</w:t>
            </w:r>
            <w:r>
              <w:t xml:space="preserve"> ISS </w:t>
            </w:r>
            <w:r>
              <w:rPr>
                <w:rFonts w:cstheme="minorHAnsi"/>
              </w:rPr>
              <w:t>≤</w:t>
            </w:r>
            <w:r>
              <w:t xml:space="preserve"> 24</w:t>
            </w:r>
          </w:p>
          <w:p w14:paraId="36D69A08" w14:textId="77777777" w:rsidR="006250F3" w:rsidRDefault="006250F3" w:rsidP="00F57908">
            <w:pPr>
              <w:spacing w:line="480" w:lineRule="auto"/>
            </w:pPr>
            <w:r>
              <w:t xml:space="preserve">25 </w:t>
            </w:r>
            <w:r>
              <w:rPr>
                <w:rFonts w:cstheme="minorHAnsi"/>
              </w:rPr>
              <w:t>≤</w:t>
            </w:r>
            <w:r>
              <w:t xml:space="preserve"> ISS </w:t>
            </w:r>
            <w:r>
              <w:rPr>
                <w:rFonts w:cstheme="minorHAnsi"/>
              </w:rPr>
              <w:t>≤</w:t>
            </w:r>
            <w:r>
              <w:t xml:space="preserve"> 35</w:t>
            </w:r>
          </w:p>
          <w:p w14:paraId="61E00809" w14:textId="77777777" w:rsidR="006250F3" w:rsidRDefault="006250F3" w:rsidP="00F57908">
            <w:pPr>
              <w:spacing w:line="480" w:lineRule="auto"/>
            </w:pPr>
            <w:r>
              <w:t>ISS &gt; 35</w:t>
            </w:r>
          </w:p>
        </w:tc>
        <w:tc>
          <w:tcPr>
            <w:tcW w:w="763" w:type="dxa"/>
          </w:tcPr>
          <w:p w14:paraId="6AA12705" w14:textId="7636DAF3" w:rsidR="006250F3" w:rsidRDefault="006250F3" w:rsidP="00F57908">
            <w:pPr>
              <w:spacing w:line="480" w:lineRule="auto"/>
            </w:pPr>
            <w:r w:rsidRPr="00F37396">
              <w:t>0.0</w:t>
            </w:r>
            <w:r w:rsidR="009A4815">
              <w:t>08</w:t>
            </w:r>
          </w:p>
          <w:p w14:paraId="4362DE48" w14:textId="62EB38CB" w:rsidR="006250F3" w:rsidRDefault="006250F3" w:rsidP="00F57908">
            <w:pPr>
              <w:spacing w:line="480" w:lineRule="auto"/>
            </w:pPr>
            <w:r w:rsidRPr="00F37396">
              <w:t>0.0</w:t>
            </w:r>
            <w:r w:rsidR="009A4815">
              <w:t>13</w:t>
            </w:r>
          </w:p>
          <w:p w14:paraId="42F64679" w14:textId="49ACB054" w:rsidR="006250F3" w:rsidRDefault="006250F3" w:rsidP="00F57908">
            <w:pPr>
              <w:spacing w:line="480" w:lineRule="auto"/>
            </w:pPr>
            <w:r w:rsidRPr="00F37396">
              <w:t>0.0</w:t>
            </w:r>
            <w:r w:rsidR="009A4815">
              <w:t>36</w:t>
            </w:r>
          </w:p>
          <w:p w14:paraId="7CFA7362" w14:textId="1FE5B42E" w:rsidR="006250F3" w:rsidRDefault="006250F3" w:rsidP="00F57908">
            <w:pPr>
              <w:spacing w:line="480" w:lineRule="auto"/>
            </w:pPr>
            <w:r w:rsidRPr="00F37396">
              <w:t>0.</w:t>
            </w:r>
            <w:r w:rsidR="009A4815">
              <w:t>154</w:t>
            </w:r>
          </w:p>
          <w:p w14:paraId="2F29783B" w14:textId="6A00EDCC" w:rsidR="006250F3" w:rsidRDefault="006250F3" w:rsidP="00F57908">
            <w:pPr>
              <w:spacing w:line="480" w:lineRule="auto"/>
            </w:pPr>
            <w:r w:rsidRPr="00F37396">
              <w:t>0.</w:t>
            </w:r>
            <w:r w:rsidR="009A4815">
              <w:t>262</w:t>
            </w:r>
          </w:p>
        </w:tc>
      </w:tr>
      <w:tr w:rsidR="008D294F" w14:paraId="5EEF31E3" w14:textId="77777777" w:rsidTr="004D2166">
        <w:tc>
          <w:tcPr>
            <w:tcW w:w="1207" w:type="dxa"/>
          </w:tcPr>
          <w:p w14:paraId="530A8647" w14:textId="77777777" w:rsidR="006250F3" w:rsidRDefault="006250F3" w:rsidP="00F57908">
            <w:pPr>
              <w:spacing w:line="480" w:lineRule="auto"/>
            </w:pPr>
            <w:r>
              <w:t>5</w:t>
            </w:r>
          </w:p>
        </w:tc>
        <w:tc>
          <w:tcPr>
            <w:tcW w:w="2757" w:type="dxa"/>
          </w:tcPr>
          <w:p w14:paraId="55CE4542" w14:textId="78547FB9" w:rsidR="006250F3" w:rsidRDefault="006250F3" w:rsidP="00F57908">
            <w:pPr>
              <w:spacing w:line="480" w:lineRule="auto"/>
            </w:pPr>
            <w:r w:rsidRPr="007A3B15">
              <w:t>0.00</w:t>
            </w:r>
            <w:r w:rsidR="00EF7F86">
              <w:t>41</w:t>
            </w:r>
          </w:p>
        </w:tc>
        <w:tc>
          <w:tcPr>
            <w:tcW w:w="1934" w:type="dxa"/>
          </w:tcPr>
          <w:p w14:paraId="6543CB4B" w14:textId="77777777" w:rsidR="006250F3" w:rsidRDefault="006250F3" w:rsidP="00F57908">
            <w:pPr>
              <w:spacing w:line="480" w:lineRule="auto"/>
            </w:pPr>
            <w:r>
              <w:t>1</w:t>
            </w:r>
            <w:r w:rsidRPr="00013D5E">
              <w:t xml:space="preserve"> </w:t>
            </w:r>
          </w:p>
          <w:p w14:paraId="74DADFAC" w14:textId="77777777" w:rsidR="006250F3" w:rsidRDefault="006250F3" w:rsidP="00F57908">
            <w:pPr>
              <w:spacing w:line="480" w:lineRule="auto"/>
            </w:pPr>
            <w:r>
              <w:t>2</w:t>
            </w:r>
          </w:p>
          <w:p w14:paraId="0BC3CB1D" w14:textId="77777777" w:rsidR="006250F3" w:rsidRDefault="006250F3" w:rsidP="00F57908">
            <w:pPr>
              <w:spacing w:line="480" w:lineRule="auto"/>
            </w:pPr>
            <w:r>
              <w:t>3</w:t>
            </w:r>
          </w:p>
          <w:p w14:paraId="7153D44D" w14:textId="77777777" w:rsidR="006250F3" w:rsidRDefault="006250F3" w:rsidP="00F57908">
            <w:pPr>
              <w:spacing w:line="480" w:lineRule="auto"/>
            </w:pPr>
            <w:r>
              <w:t>4</w:t>
            </w:r>
          </w:p>
          <w:p w14:paraId="380473BA" w14:textId="77777777" w:rsidR="006250F3" w:rsidRDefault="006250F3" w:rsidP="00F57908">
            <w:pPr>
              <w:spacing w:line="480" w:lineRule="auto"/>
            </w:pPr>
            <w:r>
              <w:t>5</w:t>
            </w:r>
          </w:p>
          <w:p w14:paraId="1DD873D3" w14:textId="77777777" w:rsidR="006250F3" w:rsidRDefault="006250F3" w:rsidP="00F57908">
            <w:pPr>
              <w:spacing w:line="480" w:lineRule="auto"/>
            </w:pPr>
            <w:r>
              <w:t>6</w:t>
            </w:r>
          </w:p>
          <w:p w14:paraId="13E0238C" w14:textId="77777777" w:rsidR="006250F3" w:rsidRDefault="006250F3" w:rsidP="00F57908">
            <w:pPr>
              <w:spacing w:line="480" w:lineRule="auto"/>
            </w:pPr>
            <w:r>
              <w:t>7</w:t>
            </w:r>
          </w:p>
          <w:p w14:paraId="18C066B0" w14:textId="77777777" w:rsidR="006250F3" w:rsidRDefault="006250F3" w:rsidP="00F57908">
            <w:pPr>
              <w:spacing w:line="480" w:lineRule="auto"/>
            </w:pPr>
            <w:r>
              <w:t>8</w:t>
            </w:r>
          </w:p>
        </w:tc>
        <w:tc>
          <w:tcPr>
            <w:tcW w:w="941" w:type="dxa"/>
          </w:tcPr>
          <w:p w14:paraId="35B09E00" w14:textId="77777777" w:rsidR="00595884" w:rsidRDefault="00595884" w:rsidP="00F57908">
            <w:pPr>
              <w:spacing w:line="480" w:lineRule="auto"/>
            </w:pPr>
            <w:r w:rsidRPr="00595884">
              <w:t>0.76127</w:t>
            </w:r>
          </w:p>
          <w:p w14:paraId="18569257" w14:textId="77777777" w:rsidR="00595884" w:rsidRDefault="00595884" w:rsidP="00F57908">
            <w:pPr>
              <w:spacing w:line="480" w:lineRule="auto"/>
            </w:pPr>
            <w:r w:rsidRPr="00595884">
              <w:t>0.18174</w:t>
            </w:r>
          </w:p>
          <w:p w14:paraId="0778526D" w14:textId="77777777" w:rsidR="00595884" w:rsidRDefault="00595884" w:rsidP="00F57908">
            <w:pPr>
              <w:spacing w:line="480" w:lineRule="auto"/>
            </w:pPr>
            <w:r w:rsidRPr="00595884">
              <w:t>0.04339</w:t>
            </w:r>
          </w:p>
          <w:p w14:paraId="7078E798" w14:textId="77777777" w:rsidR="00595884" w:rsidRDefault="00595884" w:rsidP="00F57908">
            <w:pPr>
              <w:spacing w:line="480" w:lineRule="auto"/>
            </w:pPr>
            <w:r w:rsidRPr="00595884">
              <w:t>0.01036</w:t>
            </w:r>
          </w:p>
          <w:p w14:paraId="42362A58" w14:textId="77777777" w:rsidR="00595884" w:rsidRDefault="00595884" w:rsidP="00F57908">
            <w:pPr>
              <w:spacing w:line="480" w:lineRule="auto"/>
            </w:pPr>
            <w:r w:rsidRPr="00595884">
              <w:t>0.00247</w:t>
            </w:r>
          </w:p>
          <w:p w14:paraId="7E26EC43" w14:textId="77777777" w:rsidR="00595884" w:rsidRDefault="00595884" w:rsidP="00F57908">
            <w:pPr>
              <w:spacing w:line="480" w:lineRule="auto"/>
            </w:pPr>
            <w:r w:rsidRPr="00595884">
              <w:t>0.00059</w:t>
            </w:r>
          </w:p>
          <w:p w14:paraId="14E14216" w14:textId="77777777" w:rsidR="00595884" w:rsidRDefault="00595884" w:rsidP="00F57908">
            <w:pPr>
              <w:spacing w:line="480" w:lineRule="auto"/>
            </w:pPr>
            <w:r w:rsidRPr="00595884">
              <w:t>0.00014</w:t>
            </w:r>
          </w:p>
          <w:p w14:paraId="59D20D6E" w14:textId="6A2B0B13" w:rsidR="006250F3" w:rsidRDefault="00595884" w:rsidP="00F57908">
            <w:pPr>
              <w:spacing w:line="480" w:lineRule="auto"/>
            </w:pPr>
            <w:r>
              <w:t>0.00003</w:t>
            </w:r>
          </w:p>
        </w:tc>
        <w:tc>
          <w:tcPr>
            <w:tcW w:w="1414" w:type="dxa"/>
          </w:tcPr>
          <w:p w14:paraId="6A5A09ED" w14:textId="77777777" w:rsidR="006250F3" w:rsidRDefault="006250F3" w:rsidP="00F57908">
            <w:pPr>
              <w:spacing w:line="480" w:lineRule="auto"/>
            </w:pPr>
            <w:r>
              <w:t>ISS &lt; 9</w:t>
            </w:r>
          </w:p>
          <w:p w14:paraId="1B3BC88E" w14:textId="77777777" w:rsidR="006250F3" w:rsidRDefault="006250F3" w:rsidP="00F57908">
            <w:pPr>
              <w:spacing w:line="480" w:lineRule="auto"/>
            </w:pPr>
            <w:r>
              <w:t xml:space="preserve">10 </w:t>
            </w:r>
            <w:r>
              <w:rPr>
                <w:rFonts w:cstheme="minorHAnsi"/>
              </w:rPr>
              <w:t>≤</w:t>
            </w:r>
            <w:r>
              <w:t xml:space="preserve"> ISS </w:t>
            </w:r>
            <w:r>
              <w:rPr>
                <w:rFonts w:cstheme="minorHAnsi"/>
              </w:rPr>
              <w:t>≤</w:t>
            </w:r>
            <w:r>
              <w:t xml:space="preserve"> 15</w:t>
            </w:r>
          </w:p>
          <w:p w14:paraId="5F89A1F0" w14:textId="77777777" w:rsidR="006250F3" w:rsidRDefault="006250F3" w:rsidP="00F57908">
            <w:pPr>
              <w:spacing w:line="480" w:lineRule="auto"/>
            </w:pPr>
            <w:r>
              <w:t xml:space="preserve">16 </w:t>
            </w:r>
            <w:r>
              <w:rPr>
                <w:rFonts w:cstheme="minorHAnsi"/>
              </w:rPr>
              <w:t>≤</w:t>
            </w:r>
            <w:r>
              <w:t xml:space="preserve"> ISS </w:t>
            </w:r>
            <w:r>
              <w:rPr>
                <w:rFonts w:cstheme="minorHAnsi"/>
              </w:rPr>
              <w:t>≤</w:t>
            </w:r>
            <w:r>
              <w:t xml:space="preserve"> 24</w:t>
            </w:r>
          </w:p>
          <w:p w14:paraId="3E16506D" w14:textId="77777777" w:rsidR="006250F3" w:rsidRDefault="006250F3" w:rsidP="00F57908">
            <w:pPr>
              <w:spacing w:line="480" w:lineRule="auto"/>
            </w:pPr>
            <w:r>
              <w:t xml:space="preserve">25 </w:t>
            </w:r>
            <w:r>
              <w:rPr>
                <w:rFonts w:cstheme="minorHAnsi"/>
              </w:rPr>
              <w:t>≤</w:t>
            </w:r>
            <w:r>
              <w:t xml:space="preserve"> ISS </w:t>
            </w:r>
            <w:r>
              <w:rPr>
                <w:rFonts w:cstheme="minorHAnsi"/>
              </w:rPr>
              <w:t>≤</w:t>
            </w:r>
            <w:r>
              <w:t xml:space="preserve"> 35</w:t>
            </w:r>
          </w:p>
          <w:p w14:paraId="79183013" w14:textId="77777777" w:rsidR="006250F3" w:rsidRDefault="006250F3" w:rsidP="00F57908">
            <w:pPr>
              <w:spacing w:line="480" w:lineRule="auto"/>
            </w:pPr>
            <w:r>
              <w:t>ISS &gt; 35</w:t>
            </w:r>
          </w:p>
        </w:tc>
        <w:tc>
          <w:tcPr>
            <w:tcW w:w="763" w:type="dxa"/>
          </w:tcPr>
          <w:p w14:paraId="2FF937DF" w14:textId="1BFCAA15" w:rsidR="006250F3" w:rsidRDefault="006250F3" w:rsidP="00F57908">
            <w:pPr>
              <w:spacing w:line="480" w:lineRule="auto"/>
            </w:pPr>
            <w:r w:rsidRPr="00F37396">
              <w:t>0.0</w:t>
            </w:r>
            <w:r w:rsidR="009A4815">
              <w:t>07</w:t>
            </w:r>
            <w:r w:rsidRPr="00F37396">
              <w:t xml:space="preserve"> </w:t>
            </w:r>
          </w:p>
          <w:p w14:paraId="06E1404E" w14:textId="60E5E252" w:rsidR="006250F3" w:rsidRDefault="006250F3" w:rsidP="00F57908">
            <w:pPr>
              <w:spacing w:line="480" w:lineRule="auto"/>
            </w:pPr>
            <w:r w:rsidRPr="00F37396">
              <w:t>0.0</w:t>
            </w:r>
            <w:r w:rsidR="009A4815">
              <w:t>13</w:t>
            </w:r>
          </w:p>
          <w:p w14:paraId="0A6C9F18" w14:textId="72C5F135" w:rsidR="006250F3" w:rsidRDefault="006250F3" w:rsidP="00F57908">
            <w:pPr>
              <w:spacing w:line="480" w:lineRule="auto"/>
            </w:pPr>
            <w:r w:rsidRPr="00F37396">
              <w:t>0.0</w:t>
            </w:r>
            <w:r w:rsidR="009A4815">
              <w:t>31</w:t>
            </w:r>
          </w:p>
          <w:p w14:paraId="04201C63" w14:textId="480C5C22" w:rsidR="006250F3" w:rsidRDefault="006250F3" w:rsidP="00F57908">
            <w:pPr>
              <w:spacing w:line="480" w:lineRule="auto"/>
            </w:pPr>
            <w:r w:rsidRPr="00F37396">
              <w:t>0.</w:t>
            </w:r>
            <w:r w:rsidR="009A4815">
              <w:t>131</w:t>
            </w:r>
          </w:p>
          <w:p w14:paraId="5EEDAC13" w14:textId="5354CD44" w:rsidR="006250F3" w:rsidRDefault="006250F3" w:rsidP="00F57908">
            <w:pPr>
              <w:spacing w:line="480" w:lineRule="auto"/>
            </w:pPr>
            <w:r w:rsidRPr="00F37396">
              <w:t>0.</w:t>
            </w:r>
            <w:r w:rsidR="009A4815">
              <w:t>223</w:t>
            </w:r>
          </w:p>
        </w:tc>
      </w:tr>
      <w:tr w:rsidR="008D294F" w14:paraId="4771DFF4" w14:textId="77777777" w:rsidTr="004D2166">
        <w:tc>
          <w:tcPr>
            <w:tcW w:w="1207" w:type="dxa"/>
          </w:tcPr>
          <w:p w14:paraId="1959BB44" w14:textId="77777777" w:rsidR="006250F3" w:rsidRDefault="006250F3" w:rsidP="00F57908">
            <w:pPr>
              <w:spacing w:line="480" w:lineRule="auto"/>
            </w:pPr>
            <w:r>
              <w:t>6</w:t>
            </w:r>
          </w:p>
        </w:tc>
        <w:tc>
          <w:tcPr>
            <w:tcW w:w="2757" w:type="dxa"/>
          </w:tcPr>
          <w:p w14:paraId="2271E577" w14:textId="181C4F50" w:rsidR="006250F3" w:rsidRDefault="006250F3" w:rsidP="00F57908">
            <w:pPr>
              <w:spacing w:line="480" w:lineRule="auto"/>
            </w:pPr>
            <w:r w:rsidRPr="007A3B15">
              <w:t>0.00</w:t>
            </w:r>
            <w:r w:rsidR="00EF7F86">
              <w:t>41</w:t>
            </w:r>
          </w:p>
        </w:tc>
        <w:tc>
          <w:tcPr>
            <w:tcW w:w="1934" w:type="dxa"/>
          </w:tcPr>
          <w:p w14:paraId="067CBDD5" w14:textId="77777777" w:rsidR="006250F3" w:rsidRDefault="006250F3" w:rsidP="00F57908">
            <w:pPr>
              <w:spacing w:line="480" w:lineRule="auto"/>
            </w:pPr>
            <w:r>
              <w:t>1</w:t>
            </w:r>
            <w:r w:rsidRPr="00013D5E">
              <w:t xml:space="preserve"> </w:t>
            </w:r>
          </w:p>
          <w:p w14:paraId="7A8B3F4F" w14:textId="77777777" w:rsidR="006250F3" w:rsidRDefault="006250F3" w:rsidP="00F57908">
            <w:pPr>
              <w:spacing w:line="480" w:lineRule="auto"/>
            </w:pPr>
            <w:r>
              <w:t>2</w:t>
            </w:r>
          </w:p>
          <w:p w14:paraId="4B08BCF9" w14:textId="77777777" w:rsidR="006250F3" w:rsidRDefault="006250F3" w:rsidP="00F57908">
            <w:pPr>
              <w:spacing w:line="480" w:lineRule="auto"/>
            </w:pPr>
            <w:r>
              <w:t>3</w:t>
            </w:r>
          </w:p>
          <w:p w14:paraId="29467F4A" w14:textId="77777777" w:rsidR="006250F3" w:rsidRDefault="006250F3" w:rsidP="00F57908">
            <w:pPr>
              <w:spacing w:line="480" w:lineRule="auto"/>
            </w:pPr>
            <w:r>
              <w:t>4</w:t>
            </w:r>
          </w:p>
          <w:p w14:paraId="108E03C4" w14:textId="77777777" w:rsidR="006250F3" w:rsidRDefault="006250F3" w:rsidP="00F57908">
            <w:pPr>
              <w:spacing w:line="480" w:lineRule="auto"/>
            </w:pPr>
            <w:r>
              <w:t>5</w:t>
            </w:r>
          </w:p>
          <w:p w14:paraId="33332D6D" w14:textId="77777777" w:rsidR="006250F3" w:rsidRDefault="006250F3" w:rsidP="00F57908">
            <w:pPr>
              <w:spacing w:line="480" w:lineRule="auto"/>
            </w:pPr>
            <w:r>
              <w:t>6</w:t>
            </w:r>
          </w:p>
          <w:p w14:paraId="4D62836A" w14:textId="77777777" w:rsidR="006250F3" w:rsidRDefault="006250F3" w:rsidP="00F57908">
            <w:pPr>
              <w:spacing w:line="480" w:lineRule="auto"/>
            </w:pPr>
            <w:r>
              <w:t>7</w:t>
            </w:r>
          </w:p>
          <w:p w14:paraId="57586B06" w14:textId="77777777" w:rsidR="006250F3" w:rsidRDefault="006250F3" w:rsidP="00F57908">
            <w:pPr>
              <w:spacing w:line="480" w:lineRule="auto"/>
            </w:pPr>
            <w:r>
              <w:lastRenderedPageBreak/>
              <w:t>8</w:t>
            </w:r>
          </w:p>
        </w:tc>
        <w:tc>
          <w:tcPr>
            <w:tcW w:w="941" w:type="dxa"/>
          </w:tcPr>
          <w:p w14:paraId="0003AA63" w14:textId="77777777" w:rsidR="00595884" w:rsidRDefault="00595884" w:rsidP="00F57908">
            <w:pPr>
              <w:spacing w:line="480" w:lineRule="auto"/>
            </w:pPr>
            <w:r w:rsidRPr="00595884">
              <w:lastRenderedPageBreak/>
              <w:t>0.76127</w:t>
            </w:r>
          </w:p>
          <w:p w14:paraId="27AC400E" w14:textId="77777777" w:rsidR="00595884" w:rsidRDefault="00595884" w:rsidP="00F57908">
            <w:pPr>
              <w:spacing w:line="480" w:lineRule="auto"/>
            </w:pPr>
            <w:r w:rsidRPr="00595884">
              <w:t>0.18174</w:t>
            </w:r>
          </w:p>
          <w:p w14:paraId="16221362" w14:textId="77777777" w:rsidR="00595884" w:rsidRDefault="00595884" w:rsidP="00F57908">
            <w:pPr>
              <w:spacing w:line="480" w:lineRule="auto"/>
            </w:pPr>
            <w:r w:rsidRPr="00595884">
              <w:t>0.04339</w:t>
            </w:r>
          </w:p>
          <w:p w14:paraId="344E640A" w14:textId="77777777" w:rsidR="00595884" w:rsidRDefault="00595884" w:rsidP="00F57908">
            <w:pPr>
              <w:spacing w:line="480" w:lineRule="auto"/>
            </w:pPr>
            <w:r w:rsidRPr="00595884">
              <w:t>0.01036</w:t>
            </w:r>
          </w:p>
          <w:p w14:paraId="3E60B620" w14:textId="77777777" w:rsidR="00595884" w:rsidRDefault="00595884" w:rsidP="00F57908">
            <w:pPr>
              <w:spacing w:line="480" w:lineRule="auto"/>
            </w:pPr>
            <w:r w:rsidRPr="00595884">
              <w:t>0.00247</w:t>
            </w:r>
          </w:p>
          <w:p w14:paraId="1F37CDB2" w14:textId="77777777" w:rsidR="00595884" w:rsidRDefault="00595884" w:rsidP="00F57908">
            <w:pPr>
              <w:spacing w:line="480" w:lineRule="auto"/>
            </w:pPr>
            <w:r w:rsidRPr="00595884">
              <w:t>0.00059</w:t>
            </w:r>
          </w:p>
          <w:p w14:paraId="3ADADC36" w14:textId="77777777" w:rsidR="00595884" w:rsidRDefault="00595884" w:rsidP="00F57908">
            <w:pPr>
              <w:spacing w:line="480" w:lineRule="auto"/>
            </w:pPr>
            <w:r w:rsidRPr="00595884">
              <w:t>0.00014</w:t>
            </w:r>
          </w:p>
          <w:p w14:paraId="2B086834" w14:textId="793EE672" w:rsidR="006250F3" w:rsidRDefault="00595884" w:rsidP="00F57908">
            <w:pPr>
              <w:spacing w:line="480" w:lineRule="auto"/>
            </w:pPr>
            <w:r>
              <w:lastRenderedPageBreak/>
              <w:t>0.00003</w:t>
            </w:r>
          </w:p>
        </w:tc>
        <w:tc>
          <w:tcPr>
            <w:tcW w:w="1414" w:type="dxa"/>
          </w:tcPr>
          <w:p w14:paraId="7C92647C" w14:textId="77777777" w:rsidR="006250F3" w:rsidRDefault="006250F3" w:rsidP="00F57908">
            <w:pPr>
              <w:spacing w:line="480" w:lineRule="auto"/>
            </w:pPr>
            <w:r>
              <w:lastRenderedPageBreak/>
              <w:t>ISS &lt; 9</w:t>
            </w:r>
          </w:p>
          <w:p w14:paraId="1725E1D6" w14:textId="77777777" w:rsidR="006250F3" w:rsidRDefault="006250F3" w:rsidP="00F57908">
            <w:pPr>
              <w:spacing w:line="480" w:lineRule="auto"/>
            </w:pPr>
            <w:r>
              <w:t xml:space="preserve">10 </w:t>
            </w:r>
            <w:r>
              <w:rPr>
                <w:rFonts w:cstheme="minorHAnsi"/>
              </w:rPr>
              <w:t>≤</w:t>
            </w:r>
            <w:r>
              <w:t xml:space="preserve"> ISS </w:t>
            </w:r>
            <w:r>
              <w:rPr>
                <w:rFonts w:cstheme="minorHAnsi"/>
              </w:rPr>
              <w:t>≤</w:t>
            </w:r>
            <w:r>
              <w:t xml:space="preserve"> 15</w:t>
            </w:r>
          </w:p>
          <w:p w14:paraId="23557ABA" w14:textId="77777777" w:rsidR="006250F3" w:rsidRDefault="006250F3" w:rsidP="00F57908">
            <w:pPr>
              <w:spacing w:line="480" w:lineRule="auto"/>
            </w:pPr>
            <w:r>
              <w:t xml:space="preserve">16 </w:t>
            </w:r>
            <w:r>
              <w:rPr>
                <w:rFonts w:cstheme="minorHAnsi"/>
              </w:rPr>
              <w:t>≤</w:t>
            </w:r>
            <w:r>
              <w:t xml:space="preserve"> ISS </w:t>
            </w:r>
            <w:r>
              <w:rPr>
                <w:rFonts w:cstheme="minorHAnsi"/>
              </w:rPr>
              <w:t>≤</w:t>
            </w:r>
            <w:r>
              <w:t xml:space="preserve"> 24</w:t>
            </w:r>
          </w:p>
          <w:p w14:paraId="2151FCF3" w14:textId="77777777" w:rsidR="006250F3" w:rsidRDefault="006250F3" w:rsidP="00F57908">
            <w:pPr>
              <w:spacing w:line="480" w:lineRule="auto"/>
            </w:pPr>
            <w:r>
              <w:t xml:space="preserve">25 </w:t>
            </w:r>
            <w:r>
              <w:rPr>
                <w:rFonts w:cstheme="minorHAnsi"/>
              </w:rPr>
              <w:t>≤</w:t>
            </w:r>
            <w:r>
              <w:t xml:space="preserve"> ISS </w:t>
            </w:r>
            <w:r>
              <w:rPr>
                <w:rFonts w:cstheme="minorHAnsi"/>
              </w:rPr>
              <w:t>≤</w:t>
            </w:r>
            <w:r>
              <w:t xml:space="preserve"> 35</w:t>
            </w:r>
          </w:p>
          <w:p w14:paraId="6161C5C6" w14:textId="77777777" w:rsidR="006250F3" w:rsidRDefault="006250F3" w:rsidP="00F57908">
            <w:pPr>
              <w:keepNext/>
              <w:spacing w:line="480" w:lineRule="auto"/>
            </w:pPr>
            <w:r>
              <w:t>ISS &gt; 35</w:t>
            </w:r>
          </w:p>
        </w:tc>
        <w:tc>
          <w:tcPr>
            <w:tcW w:w="763" w:type="dxa"/>
          </w:tcPr>
          <w:p w14:paraId="7EED326A" w14:textId="3585DA9C" w:rsidR="006250F3" w:rsidRDefault="006250F3" w:rsidP="00F57908">
            <w:pPr>
              <w:keepNext/>
              <w:spacing w:line="480" w:lineRule="auto"/>
            </w:pPr>
            <w:r w:rsidRPr="00F37396">
              <w:t>0.0</w:t>
            </w:r>
            <w:r w:rsidR="009A4815">
              <w:t>06</w:t>
            </w:r>
          </w:p>
          <w:p w14:paraId="6CB40584" w14:textId="5CE3B2A4" w:rsidR="006250F3" w:rsidRDefault="006250F3" w:rsidP="00F57908">
            <w:pPr>
              <w:keepNext/>
              <w:spacing w:line="480" w:lineRule="auto"/>
            </w:pPr>
            <w:r w:rsidRPr="00F37396">
              <w:t>0.0</w:t>
            </w:r>
            <w:r w:rsidR="009A4815">
              <w:t>09</w:t>
            </w:r>
          </w:p>
          <w:p w14:paraId="51448047" w14:textId="368EB308" w:rsidR="006250F3" w:rsidRDefault="006250F3" w:rsidP="00F57908">
            <w:pPr>
              <w:keepNext/>
              <w:spacing w:line="480" w:lineRule="auto"/>
            </w:pPr>
            <w:r w:rsidRPr="00F37396">
              <w:t>0.0</w:t>
            </w:r>
            <w:r w:rsidR="009A4815">
              <w:t>27</w:t>
            </w:r>
          </w:p>
          <w:p w14:paraId="4BFA1037" w14:textId="0D6FA833" w:rsidR="006250F3" w:rsidRDefault="006250F3" w:rsidP="00F57908">
            <w:pPr>
              <w:keepNext/>
              <w:spacing w:line="480" w:lineRule="auto"/>
            </w:pPr>
            <w:r w:rsidRPr="00F37396">
              <w:t>0.</w:t>
            </w:r>
            <w:r w:rsidR="009A4815">
              <w:t>114</w:t>
            </w:r>
          </w:p>
          <w:p w14:paraId="534CE173" w14:textId="3E1DE029" w:rsidR="006250F3" w:rsidRDefault="006250F3" w:rsidP="00F57908">
            <w:pPr>
              <w:keepNext/>
              <w:spacing w:line="480" w:lineRule="auto"/>
            </w:pPr>
            <w:r w:rsidRPr="00F37396">
              <w:t>0.</w:t>
            </w:r>
            <w:r w:rsidR="009A4815">
              <w:t>194</w:t>
            </w:r>
          </w:p>
        </w:tc>
      </w:tr>
    </w:tbl>
    <w:p w14:paraId="2EB0D445" w14:textId="700E3DDB" w:rsidR="006250F3" w:rsidRPr="006250F3" w:rsidRDefault="006250F3" w:rsidP="00F57908">
      <w:pPr>
        <w:pStyle w:val="Caption"/>
        <w:spacing w:line="480" w:lineRule="auto"/>
      </w:pPr>
      <w:bookmarkStart w:id="6" w:name="_Ref100156561"/>
      <w:r>
        <w:t xml:space="preserve">Table A </w:t>
      </w:r>
      <w:fldSimple w:instr=" SEQ Table_A \* ARABIC ">
        <w:r w:rsidR="00DD077E">
          <w:rPr>
            <w:noProof/>
          </w:rPr>
          <w:t>4</w:t>
        </w:r>
      </w:fldSimple>
      <w:bookmarkEnd w:id="6"/>
      <w:r>
        <w:t xml:space="preserve">: </w:t>
      </w:r>
      <w:r w:rsidR="00EA5450">
        <w:t xml:space="preserve">As we had no specific calibration target for overall health seeking behaviour, other than a range of values from Zafar et al. (2018), we had to establish a parameter space </w:t>
      </w:r>
      <w:r w:rsidR="004033A5">
        <w:t>for ‘</w:t>
      </w:r>
      <w:r w:rsidR="004033A5" w:rsidRPr="004033A5">
        <w:t>rt_emergency_care_ISS_score_cut_off</w:t>
      </w:r>
      <w:r w:rsidR="004033A5">
        <w:t>’, a parameter which influences the overall level of health seeking behaviour in the model.</w:t>
      </w:r>
      <w:r w:rsidR="004033A5" w:rsidRPr="004033A5">
        <w:t xml:space="preserve"> </w:t>
      </w:r>
      <w:r w:rsidR="004033A5">
        <w:t>For each value of ‘rt</w:t>
      </w:r>
      <w:r w:rsidR="004033A5" w:rsidRPr="004033A5">
        <w:t>_emergency_care_ISS_score_cut_off</w:t>
      </w:r>
      <w:r w:rsidR="004033A5">
        <w:t>’,</w:t>
      </w:r>
      <w:r w:rsidR="004033A5" w:rsidRPr="004033A5">
        <w:t xml:space="preserve"> </w:t>
      </w:r>
      <w:r w:rsidR="004033A5">
        <w:t>we had to calibrate specific parts of the model to match our model’s outputs to the other calibration targets, such as the overall incidence of road traffic injuries, the average number of injuries per person in hospital, and the overall level of in-hospital mortality. This table shows the parameter value used for ‘</w:t>
      </w:r>
      <w:r w:rsidR="004033A5" w:rsidRPr="004033A5">
        <w:t>base_rate_injrti</w:t>
      </w:r>
      <w:r w:rsidR="004033A5">
        <w:t>’, ‘</w:t>
      </w:r>
      <w:r w:rsidR="004033A5" w:rsidRPr="004033A5">
        <w:t>number_of_injured_body_regions_distribution</w:t>
      </w:r>
      <w:r w:rsidR="004033A5">
        <w:t>’</w:t>
      </w:r>
      <w:r w:rsidR="000F0B4D">
        <w:t>, ‘</w:t>
      </w:r>
      <w:r w:rsidR="000F0B4D" w:rsidRPr="000F0B4D">
        <w:t>prob_death_iss_less_than_9</w:t>
      </w:r>
      <w:r w:rsidR="000F0B4D">
        <w:t>’,  ‘</w:t>
      </w:r>
      <w:r w:rsidR="000F0B4D" w:rsidRPr="000F0B4D">
        <w:t>prob_death_iss_10_15</w:t>
      </w:r>
      <w:r w:rsidR="000F0B4D">
        <w:t>’, ‘</w:t>
      </w:r>
      <w:r w:rsidR="000F0B4D" w:rsidRPr="000F0B4D">
        <w:t>prob_death_iss_16_24</w:t>
      </w:r>
      <w:r w:rsidR="000F0B4D">
        <w:t>’, ‘</w:t>
      </w:r>
      <w:r w:rsidR="000F0B4D" w:rsidRPr="000F0B4D">
        <w:t>prob_death_iss_25_35</w:t>
      </w:r>
      <w:r w:rsidR="000F0B4D">
        <w:t>’ and ‘</w:t>
      </w:r>
      <w:r w:rsidR="000F0B4D" w:rsidRPr="000F0B4D">
        <w:t>prob_death_iss_35_plus</w:t>
      </w:r>
      <w:r w:rsidR="000F0B4D">
        <w:t>’ for each value of ‘rt</w:t>
      </w:r>
      <w:r w:rsidR="000F0B4D" w:rsidRPr="004033A5">
        <w:t>_emergency_care_ISS_score_cut_off</w:t>
      </w:r>
      <w:r w:rsidR="000F0B4D">
        <w:t>’ in our simulations.</w:t>
      </w:r>
    </w:p>
    <w:sectPr w:rsidR="006250F3" w:rsidRPr="006250F3" w:rsidSect="00F57908">
      <w:footerReference w:type="default" r:id="rId8"/>
      <w:pgSz w:w="11906" w:h="16838"/>
      <w:pgMar w:top="1440" w:right="1440" w:bottom="1440" w:left="1440"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B349635" w14:textId="77777777" w:rsidR="00A81E55" w:rsidRDefault="00A81E55" w:rsidP="003F463E">
      <w:pPr>
        <w:spacing w:after="0" w:line="240" w:lineRule="auto"/>
      </w:pPr>
      <w:r>
        <w:separator/>
      </w:r>
    </w:p>
  </w:endnote>
  <w:endnote w:type="continuationSeparator" w:id="0">
    <w:p w14:paraId="0320B45E" w14:textId="77777777" w:rsidR="00A81E55" w:rsidRDefault="00A81E55" w:rsidP="003F463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27324376"/>
      <w:docPartObj>
        <w:docPartGallery w:val="Page Numbers (Bottom of Page)"/>
        <w:docPartUnique/>
      </w:docPartObj>
    </w:sdtPr>
    <w:sdtEndPr>
      <w:rPr>
        <w:noProof/>
      </w:rPr>
    </w:sdtEndPr>
    <w:sdtContent>
      <w:p w14:paraId="182F18BE" w14:textId="6351929C" w:rsidR="00182206" w:rsidRDefault="00182206">
        <w:pPr>
          <w:pStyle w:val="Footer"/>
          <w:jc w:val="right"/>
        </w:pPr>
        <w:r>
          <w:fldChar w:fldCharType="begin"/>
        </w:r>
        <w:r>
          <w:instrText xml:space="preserve"> PAGE   \* MERGEFORMAT </w:instrText>
        </w:r>
        <w:r>
          <w:fldChar w:fldCharType="separate"/>
        </w:r>
        <w:r w:rsidR="009B0825">
          <w:rPr>
            <w:noProof/>
          </w:rPr>
          <w:t>1</w:t>
        </w:r>
        <w:r>
          <w:rPr>
            <w:noProof/>
          </w:rPr>
          <w:fldChar w:fldCharType="end"/>
        </w:r>
      </w:p>
    </w:sdtContent>
  </w:sdt>
  <w:p w14:paraId="034C9B4D" w14:textId="77777777" w:rsidR="00182206" w:rsidRDefault="0018220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B877D7E" w14:textId="77777777" w:rsidR="00A81E55" w:rsidRDefault="00A81E55" w:rsidP="003F463E">
      <w:pPr>
        <w:spacing w:after="0" w:line="240" w:lineRule="auto"/>
      </w:pPr>
      <w:r>
        <w:separator/>
      </w:r>
    </w:p>
  </w:footnote>
  <w:footnote w:type="continuationSeparator" w:id="0">
    <w:p w14:paraId="662DE94A" w14:textId="77777777" w:rsidR="00A81E55" w:rsidRDefault="00A81E55" w:rsidP="003F463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77F1216"/>
    <w:multiLevelType w:val="hybridMultilevel"/>
    <w:tmpl w:val="B6E4F1A8"/>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7116F7F"/>
    <w:multiLevelType w:val="hybridMultilevel"/>
    <w:tmpl w:val="77F69B2C"/>
    <w:lvl w:ilvl="0" w:tplc="C598FF08">
      <w:start w:val="8"/>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FC42333"/>
    <w:multiLevelType w:val="hybridMultilevel"/>
    <w:tmpl w:val="B6E4F1A8"/>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65069F7"/>
    <w:multiLevelType w:val="hybridMultilevel"/>
    <w:tmpl w:val="D6F4E1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8C91548"/>
    <w:multiLevelType w:val="hybridMultilevel"/>
    <w:tmpl w:val="5CD60BC0"/>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509702A7"/>
    <w:multiLevelType w:val="hybridMultilevel"/>
    <w:tmpl w:val="B6E4F1A8"/>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5C806DDF"/>
    <w:multiLevelType w:val="hybridMultilevel"/>
    <w:tmpl w:val="B6E4F1A8"/>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616E765F"/>
    <w:multiLevelType w:val="hybridMultilevel"/>
    <w:tmpl w:val="BAB41E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62720467"/>
    <w:multiLevelType w:val="hybridMultilevel"/>
    <w:tmpl w:val="359E7A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68F66686"/>
    <w:multiLevelType w:val="hybridMultilevel"/>
    <w:tmpl w:val="B6E4F1A8"/>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73211949"/>
    <w:multiLevelType w:val="hybridMultilevel"/>
    <w:tmpl w:val="B6E4F1A8"/>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743F5943"/>
    <w:multiLevelType w:val="hybridMultilevel"/>
    <w:tmpl w:val="487081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774614ED"/>
    <w:multiLevelType w:val="hybridMultilevel"/>
    <w:tmpl w:val="B6E4F1A8"/>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7AA43A59"/>
    <w:multiLevelType w:val="hybridMultilevel"/>
    <w:tmpl w:val="B6E4F1A8"/>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4"/>
  </w:num>
  <w:num w:numId="2">
    <w:abstractNumId w:val="3"/>
  </w:num>
  <w:num w:numId="3">
    <w:abstractNumId w:val="7"/>
  </w:num>
  <w:num w:numId="4">
    <w:abstractNumId w:val="5"/>
  </w:num>
  <w:num w:numId="5">
    <w:abstractNumId w:val="10"/>
  </w:num>
  <w:num w:numId="6">
    <w:abstractNumId w:val="12"/>
  </w:num>
  <w:num w:numId="7">
    <w:abstractNumId w:val="13"/>
  </w:num>
  <w:num w:numId="8">
    <w:abstractNumId w:val="6"/>
  </w:num>
  <w:num w:numId="9">
    <w:abstractNumId w:val="2"/>
  </w:num>
  <w:num w:numId="10">
    <w:abstractNumId w:val="9"/>
  </w:num>
  <w:num w:numId="11">
    <w:abstractNumId w:val="0"/>
  </w:num>
  <w:num w:numId="12">
    <w:abstractNumId w:val="8"/>
  </w:num>
  <w:num w:numId="13">
    <w:abstractNumId w:val="11"/>
  </w:num>
  <w:num w:numId="1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A1AC0"/>
    <w:rsid w:val="000002E4"/>
    <w:rsid w:val="00001F37"/>
    <w:rsid w:val="000266F7"/>
    <w:rsid w:val="00026C35"/>
    <w:rsid w:val="000348BD"/>
    <w:rsid w:val="00040D3F"/>
    <w:rsid w:val="00041226"/>
    <w:rsid w:val="00043E62"/>
    <w:rsid w:val="00045C0A"/>
    <w:rsid w:val="000653B2"/>
    <w:rsid w:val="000672FD"/>
    <w:rsid w:val="00084361"/>
    <w:rsid w:val="00094A16"/>
    <w:rsid w:val="000A36C9"/>
    <w:rsid w:val="000A60AE"/>
    <w:rsid w:val="000B5A90"/>
    <w:rsid w:val="000B654C"/>
    <w:rsid w:val="000C50D4"/>
    <w:rsid w:val="000C550B"/>
    <w:rsid w:val="000D2494"/>
    <w:rsid w:val="000D5049"/>
    <w:rsid w:val="000D647C"/>
    <w:rsid w:val="000E3CF4"/>
    <w:rsid w:val="000E6614"/>
    <w:rsid w:val="000F0798"/>
    <w:rsid w:val="000F0B4D"/>
    <w:rsid w:val="000F280D"/>
    <w:rsid w:val="00100D29"/>
    <w:rsid w:val="00100DDE"/>
    <w:rsid w:val="00101600"/>
    <w:rsid w:val="0011178C"/>
    <w:rsid w:val="001126D7"/>
    <w:rsid w:val="00116A15"/>
    <w:rsid w:val="00123F23"/>
    <w:rsid w:val="00137F57"/>
    <w:rsid w:val="00143C04"/>
    <w:rsid w:val="0014403D"/>
    <w:rsid w:val="00155A2A"/>
    <w:rsid w:val="0017658D"/>
    <w:rsid w:val="00177C90"/>
    <w:rsid w:val="0018007E"/>
    <w:rsid w:val="0018073F"/>
    <w:rsid w:val="00182206"/>
    <w:rsid w:val="00186604"/>
    <w:rsid w:val="00191B0D"/>
    <w:rsid w:val="001B2A4A"/>
    <w:rsid w:val="001B553A"/>
    <w:rsid w:val="001B55B3"/>
    <w:rsid w:val="001D3D2D"/>
    <w:rsid w:val="001D6126"/>
    <w:rsid w:val="001E251D"/>
    <w:rsid w:val="001E3E8D"/>
    <w:rsid w:val="001E48CD"/>
    <w:rsid w:val="001F082D"/>
    <w:rsid w:val="001F2687"/>
    <w:rsid w:val="001F3AD8"/>
    <w:rsid w:val="001F3F03"/>
    <w:rsid w:val="001F55C9"/>
    <w:rsid w:val="001F56AE"/>
    <w:rsid w:val="00206E96"/>
    <w:rsid w:val="00207271"/>
    <w:rsid w:val="00216234"/>
    <w:rsid w:val="0021624A"/>
    <w:rsid w:val="002210D2"/>
    <w:rsid w:val="00231D35"/>
    <w:rsid w:val="00232E58"/>
    <w:rsid w:val="00235F9A"/>
    <w:rsid w:val="00241C8B"/>
    <w:rsid w:val="002433BC"/>
    <w:rsid w:val="00246C94"/>
    <w:rsid w:val="00250E74"/>
    <w:rsid w:val="00250F86"/>
    <w:rsid w:val="0025488A"/>
    <w:rsid w:val="00255047"/>
    <w:rsid w:val="002561CC"/>
    <w:rsid w:val="002643BB"/>
    <w:rsid w:val="00266266"/>
    <w:rsid w:val="002715E0"/>
    <w:rsid w:val="00272238"/>
    <w:rsid w:val="00273DE6"/>
    <w:rsid w:val="00283C8A"/>
    <w:rsid w:val="00284EDC"/>
    <w:rsid w:val="00293B19"/>
    <w:rsid w:val="002A017B"/>
    <w:rsid w:val="002A1103"/>
    <w:rsid w:val="002A16B3"/>
    <w:rsid w:val="002A4091"/>
    <w:rsid w:val="002A4AFE"/>
    <w:rsid w:val="002C1D08"/>
    <w:rsid w:val="002D37D3"/>
    <w:rsid w:val="002E2147"/>
    <w:rsid w:val="002E35D8"/>
    <w:rsid w:val="002E3A6B"/>
    <w:rsid w:val="002E6D84"/>
    <w:rsid w:val="002F54E1"/>
    <w:rsid w:val="002F7A04"/>
    <w:rsid w:val="0030386D"/>
    <w:rsid w:val="003051F1"/>
    <w:rsid w:val="003056F0"/>
    <w:rsid w:val="003213FC"/>
    <w:rsid w:val="00321D78"/>
    <w:rsid w:val="003231EA"/>
    <w:rsid w:val="00327D90"/>
    <w:rsid w:val="00334472"/>
    <w:rsid w:val="00340988"/>
    <w:rsid w:val="0034756E"/>
    <w:rsid w:val="0035679D"/>
    <w:rsid w:val="00364691"/>
    <w:rsid w:val="003748B8"/>
    <w:rsid w:val="00376F4B"/>
    <w:rsid w:val="003B1B35"/>
    <w:rsid w:val="003C0859"/>
    <w:rsid w:val="003C6BAD"/>
    <w:rsid w:val="003D0932"/>
    <w:rsid w:val="003D4707"/>
    <w:rsid w:val="003D5BE0"/>
    <w:rsid w:val="003D5C29"/>
    <w:rsid w:val="003F463E"/>
    <w:rsid w:val="004033A5"/>
    <w:rsid w:val="0040527F"/>
    <w:rsid w:val="00405A4A"/>
    <w:rsid w:val="00405DF6"/>
    <w:rsid w:val="00415BB8"/>
    <w:rsid w:val="00424BDA"/>
    <w:rsid w:val="00430FA8"/>
    <w:rsid w:val="004373D4"/>
    <w:rsid w:val="004429BC"/>
    <w:rsid w:val="00446DC7"/>
    <w:rsid w:val="0045436B"/>
    <w:rsid w:val="00457B05"/>
    <w:rsid w:val="00460EC2"/>
    <w:rsid w:val="004627E8"/>
    <w:rsid w:val="00463D06"/>
    <w:rsid w:val="00473B6E"/>
    <w:rsid w:val="00474EF7"/>
    <w:rsid w:val="0047642F"/>
    <w:rsid w:val="00484117"/>
    <w:rsid w:val="0048500D"/>
    <w:rsid w:val="004934B8"/>
    <w:rsid w:val="00497BCA"/>
    <w:rsid w:val="004A3BED"/>
    <w:rsid w:val="004A57C6"/>
    <w:rsid w:val="004A723D"/>
    <w:rsid w:val="004B64A6"/>
    <w:rsid w:val="004B7CF6"/>
    <w:rsid w:val="004C0CF0"/>
    <w:rsid w:val="004D2166"/>
    <w:rsid w:val="004D4027"/>
    <w:rsid w:val="004D6C6B"/>
    <w:rsid w:val="004F3BB6"/>
    <w:rsid w:val="004F58B4"/>
    <w:rsid w:val="00501012"/>
    <w:rsid w:val="00503C72"/>
    <w:rsid w:val="005140DB"/>
    <w:rsid w:val="00514C10"/>
    <w:rsid w:val="005161D9"/>
    <w:rsid w:val="00522DE9"/>
    <w:rsid w:val="00527620"/>
    <w:rsid w:val="0053020E"/>
    <w:rsid w:val="00531764"/>
    <w:rsid w:val="00536FA8"/>
    <w:rsid w:val="00544738"/>
    <w:rsid w:val="005479C7"/>
    <w:rsid w:val="005663C2"/>
    <w:rsid w:val="0056690E"/>
    <w:rsid w:val="005744DC"/>
    <w:rsid w:val="00576217"/>
    <w:rsid w:val="005805B0"/>
    <w:rsid w:val="00581BDB"/>
    <w:rsid w:val="00586629"/>
    <w:rsid w:val="005910F1"/>
    <w:rsid w:val="00592873"/>
    <w:rsid w:val="00593AF7"/>
    <w:rsid w:val="00595884"/>
    <w:rsid w:val="00596D60"/>
    <w:rsid w:val="005A1A01"/>
    <w:rsid w:val="005B2332"/>
    <w:rsid w:val="005B62F5"/>
    <w:rsid w:val="005B6961"/>
    <w:rsid w:val="005C12ED"/>
    <w:rsid w:val="005C377A"/>
    <w:rsid w:val="005C42D4"/>
    <w:rsid w:val="005C6827"/>
    <w:rsid w:val="005D44F7"/>
    <w:rsid w:val="005E0E84"/>
    <w:rsid w:val="005E631D"/>
    <w:rsid w:val="005F20BF"/>
    <w:rsid w:val="005F25B1"/>
    <w:rsid w:val="005F50C6"/>
    <w:rsid w:val="0060040E"/>
    <w:rsid w:val="00605D7E"/>
    <w:rsid w:val="00605E79"/>
    <w:rsid w:val="0061291E"/>
    <w:rsid w:val="006230B6"/>
    <w:rsid w:val="006250F3"/>
    <w:rsid w:val="00637C27"/>
    <w:rsid w:val="00637FB1"/>
    <w:rsid w:val="0064697E"/>
    <w:rsid w:val="00651767"/>
    <w:rsid w:val="00654993"/>
    <w:rsid w:val="00654DB0"/>
    <w:rsid w:val="006561E3"/>
    <w:rsid w:val="0066013E"/>
    <w:rsid w:val="00661974"/>
    <w:rsid w:val="00661D64"/>
    <w:rsid w:val="006704CB"/>
    <w:rsid w:val="006711B5"/>
    <w:rsid w:val="0067296A"/>
    <w:rsid w:val="00681250"/>
    <w:rsid w:val="00685A2E"/>
    <w:rsid w:val="006A423E"/>
    <w:rsid w:val="006A7B4E"/>
    <w:rsid w:val="006B1B12"/>
    <w:rsid w:val="006C2B09"/>
    <w:rsid w:val="006C5B39"/>
    <w:rsid w:val="006D014B"/>
    <w:rsid w:val="006D1FC3"/>
    <w:rsid w:val="006D3F59"/>
    <w:rsid w:val="006E0A38"/>
    <w:rsid w:val="006E1523"/>
    <w:rsid w:val="006E4F79"/>
    <w:rsid w:val="006E5E83"/>
    <w:rsid w:val="00707B6D"/>
    <w:rsid w:val="00717087"/>
    <w:rsid w:val="0071725C"/>
    <w:rsid w:val="0073017B"/>
    <w:rsid w:val="00733286"/>
    <w:rsid w:val="00736456"/>
    <w:rsid w:val="007364CA"/>
    <w:rsid w:val="007408B8"/>
    <w:rsid w:val="00743AE3"/>
    <w:rsid w:val="007506C3"/>
    <w:rsid w:val="007529F7"/>
    <w:rsid w:val="00753CC5"/>
    <w:rsid w:val="00760BF4"/>
    <w:rsid w:val="00761726"/>
    <w:rsid w:val="00772238"/>
    <w:rsid w:val="0078114B"/>
    <w:rsid w:val="00782341"/>
    <w:rsid w:val="00784B2B"/>
    <w:rsid w:val="00786EEC"/>
    <w:rsid w:val="0078732E"/>
    <w:rsid w:val="00793B50"/>
    <w:rsid w:val="00794480"/>
    <w:rsid w:val="00795411"/>
    <w:rsid w:val="00796EB5"/>
    <w:rsid w:val="007A1267"/>
    <w:rsid w:val="007A13B8"/>
    <w:rsid w:val="007A1B6C"/>
    <w:rsid w:val="007B0440"/>
    <w:rsid w:val="007B4049"/>
    <w:rsid w:val="007B525A"/>
    <w:rsid w:val="007B6C6C"/>
    <w:rsid w:val="007C3861"/>
    <w:rsid w:val="007C3BE5"/>
    <w:rsid w:val="007C5285"/>
    <w:rsid w:val="007C6D58"/>
    <w:rsid w:val="007C7CEB"/>
    <w:rsid w:val="007D614E"/>
    <w:rsid w:val="007E172B"/>
    <w:rsid w:val="007E1FF8"/>
    <w:rsid w:val="007E24A4"/>
    <w:rsid w:val="007E5384"/>
    <w:rsid w:val="007F2535"/>
    <w:rsid w:val="00805014"/>
    <w:rsid w:val="008051AA"/>
    <w:rsid w:val="00805A6A"/>
    <w:rsid w:val="00813D87"/>
    <w:rsid w:val="00840460"/>
    <w:rsid w:val="00841CB3"/>
    <w:rsid w:val="008512CF"/>
    <w:rsid w:val="008820E9"/>
    <w:rsid w:val="008831C3"/>
    <w:rsid w:val="00884C24"/>
    <w:rsid w:val="00884E00"/>
    <w:rsid w:val="0089001D"/>
    <w:rsid w:val="00890407"/>
    <w:rsid w:val="00890679"/>
    <w:rsid w:val="0089219F"/>
    <w:rsid w:val="008A42BC"/>
    <w:rsid w:val="008A63E8"/>
    <w:rsid w:val="008A6CAB"/>
    <w:rsid w:val="008B2679"/>
    <w:rsid w:val="008B449A"/>
    <w:rsid w:val="008D294F"/>
    <w:rsid w:val="008E1ED3"/>
    <w:rsid w:val="008E2525"/>
    <w:rsid w:val="008E4005"/>
    <w:rsid w:val="008E5245"/>
    <w:rsid w:val="008E5351"/>
    <w:rsid w:val="0090642A"/>
    <w:rsid w:val="009110F4"/>
    <w:rsid w:val="009134B2"/>
    <w:rsid w:val="00914D21"/>
    <w:rsid w:val="00914E62"/>
    <w:rsid w:val="009219A3"/>
    <w:rsid w:val="009240D9"/>
    <w:rsid w:val="00924388"/>
    <w:rsid w:val="00930DB4"/>
    <w:rsid w:val="00935A65"/>
    <w:rsid w:val="00937331"/>
    <w:rsid w:val="00941588"/>
    <w:rsid w:val="00941F0F"/>
    <w:rsid w:val="009467F1"/>
    <w:rsid w:val="00952667"/>
    <w:rsid w:val="0095278F"/>
    <w:rsid w:val="00952D1D"/>
    <w:rsid w:val="009579E5"/>
    <w:rsid w:val="00980260"/>
    <w:rsid w:val="009840E1"/>
    <w:rsid w:val="009A2AB1"/>
    <w:rsid w:val="009A4815"/>
    <w:rsid w:val="009B0825"/>
    <w:rsid w:val="009B2BAF"/>
    <w:rsid w:val="009C366C"/>
    <w:rsid w:val="009C627D"/>
    <w:rsid w:val="009D78A9"/>
    <w:rsid w:val="009E684E"/>
    <w:rsid w:val="009E7BC1"/>
    <w:rsid w:val="00A02642"/>
    <w:rsid w:val="00A12774"/>
    <w:rsid w:val="00A12835"/>
    <w:rsid w:val="00A12F6C"/>
    <w:rsid w:val="00A162B9"/>
    <w:rsid w:val="00A17BF5"/>
    <w:rsid w:val="00A2467E"/>
    <w:rsid w:val="00A32154"/>
    <w:rsid w:val="00A3346A"/>
    <w:rsid w:val="00A353C0"/>
    <w:rsid w:val="00A35883"/>
    <w:rsid w:val="00A37F94"/>
    <w:rsid w:val="00A45758"/>
    <w:rsid w:val="00A55D1B"/>
    <w:rsid w:val="00A66E61"/>
    <w:rsid w:val="00A72833"/>
    <w:rsid w:val="00A74235"/>
    <w:rsid w:val="00A81E55"/>
    <w:rsid w:val="00A91689"/>
    <w:rsid w:val="00A91B9C"/>
    <w:rsid w:val="00A95D3A"/>
    <w:rsid w:val="00AA1B7E"/>
    <w:rsid w:val="00AB1FB4"/>
    <w:rsid w:val="00AC2B5F"/>
    <w:rsid w:val="00AC51E1"/>
    <w:rsid w:val="00AD5AD2"/>
    <w:rsid w:val="00AD7841"/>
    <w:rsid w:val="00AF0A8E"/>
    <w:rsid w:val="00AF48B7"/>
    <w:rsid w:val="00B02819"/>
    <w:rsid w:val="00B0379B"/>
    <w:rsid w:val="00B17796"/>
    <w:rsid w:val="00B21085"/>
    <w:rsid w:val="00B22597"/>
    <w:rsid w:val="00B24081"/>
    <w:rsid w:val="00B26134"/>
    <w:rsid w:val="00B26A04"/>
    <w:rsid w:val="00B51F62"/>
    <w:rsid w:val="00B54C53"/>
    <w:rsid w:val="00B60252"/>
    <w:rsid w:val="00B6184B"/>
    <w:rsid w:val="00B640C7"/>
    <w:rsid w:val="00B67BA3"/>
    <w:rsid w:val="00B76834"/>
    <w:rsid w:val="00B831C1"/>
    <w:rsid w:val="00B83571"/>
    <w:rsid w:val="00B85985"/>
    <w:rsid w:val="00B85C5F"/>
    <w:rsid w:val="00B85F5D"/>
    <w:rsid w:val="00B91A84"/>
    <w:rsid w:val="00BB3521"/>
    <w:rsid w:val="00BB6241"/>
    <w:rsid w:val="00BB7F0A"/>
    <w:rsid w:val="00BC7BD9"/>
    <w:rsid w:val="00BD046D"/>
    <w:rsid w:val="00BD1CDA"/>
    <w:rsid w:val="00BD3902"/>
    <w:rsid w:val="00BD7BC7"/>
    <w:rsid w:val="00BE0037"/>
    <w:rsid w:val="00BE0BA7"/>
    <w:rsid w:val="00BE515F"/>
    <w:rsid w:val="00BF0138"/>
    <w:rsid w:val="00C03A1D"/>
    <w:rsid w:val="00C053CA"/>
    <w:rsid w:val="00C06717"/>
    <w:rsid w:val="00C11072"/>
    <w:rsid w:val="00C11490"/>
    <w:rsid w:val="00C14503"/>
    <w:rsid w:val="00C22C11"/>
    <w:rsid w:val="00C271F5"/>
    <w:rsid w:val="00C30231"/>
    <w:rsid w:val="00C302E6"/>
    <w:rsid w:val="00C32146"/>
    <w:rsid w:val="00C45C76"/>
    <w:rsid w:val="00C50AE3"/>
    <w:rsid w:val="00C56DA5"/>
    <w:rsid w:val="00C57843"/>
    <w:rsid w:val="00C579F7"/>
    <w:rsid w:val="00C6287A"/>
    <w:rsid w:val="00C62A00"/>
    <w:rsid w:val="00C63CB3"/>
    <w:rsid w:val="00C63E76"/>
    <w:rsid w:val="00C729F6"/>
    <w:rsid w:val="00C74FA0"/>
    <w:rsid w:val="00C82049"/>
    <w:rsid w:val="00C848FD"/>
    <w:rsid w:val="00C915FC"/>
    <w:rsid w:val="00C9647B"/>
    <w:rsid w:val="00C9714C"/>
    <w:rsid w:val="00CA0AAA"/>
    <w:rsid w:val="00CA1AC0"/>
    <w:rsid w:val="00CB1DC4"/>
    <w:rsid w:val="00CB2B7D"/>
    <w:rsid w:val="00CC621E"/>
    <w:rsid w:val="00CC794C"/>
    <w:rsid w:val="00CD4715"/>
    <w:rsid w:val="00CE1F99"/>
    <w:rsid w:val="00CE4B46"/>
    <w:rsid w:val="00CE7717"/>
    <w:rsid w:val="00CF2059"/>
    <w:rsid w:val="00D026C6"/>
    <w:rsid w:val="00D06F71"/>
    <w:rsid w:val="00D146DB"/>
    <w:rsid w:val="00D152D6"/>
    <w:rsid w:val="00D2117C"/>
    <w:rsid w:val="00D21E17"/>
    <w:rsid w:val="00D2452A"/>
    <w:rsid w:val="00D25757"/>
    <w:rsid w:val="00D33943"/>
    <w:rsid w:val="00D40E66"/>
    <w:rsid w:val="00D52506"/>
    <w:rsid w:val="00D52A47"/>
    <w:rsid w:val="00D5563B"/>
    <w:rsid w:val="00D6160A"/>
    <w:rsid w:val="00D7288A"/>
    <w:rsid w:val="00D760DF"/>
    <w:rsid w:val="00DA69C2"/>
    <w:rsid w:val="00DB09C8"/>
    <w:rsid w:val="00DB6332"/>
    <w:rsid w:val="00DB6AC9"/>
    <w:rsid w:val="00DB72FB"/>
    <w:rsid w:val="00DD077E"/>
    <w:rsid w:val="00DD2ADE"/>
    <w:rsid w:val="00DD3506"/>
    <w:rsid w:val="00DD3AD2"/>
    <w:rsid w:val="00DE14B4"/>
    <w:rsid w:val="00DE17D1"/>
    <w:rsid w:val="00DE1BB1"/>
    <w:rsid w:val="00DF2083"/>
    <w:rsid w:val="00DF5989"/>
    <w:rsid w:val="00E03D28"/>
    <w:rsid w:val="00E054D7"/>
    <w:rsid w:val="00E06B4A"/>
    <w:rsid w:val="00E06FD9"/>
    <w:rsid w:val="00E15AAB"/>
    <w:rsid w:val="00E15BA1"/>
    <w:rsid w:val="00E21C30"/>
    <w:rsid w:val="00E427B1"/>
    <w:rsid w:val="00E50941"/>
    <w:rsid w:val="00E51263"/>
    <w:rsid w:val="00E51898"/>
    <w:rsid w:val="00E531BD"/>
    <w:rsid w:val="00E55561"/>
    <w:rsid w:val="00E57969"/>
    <w:rsid w:val="00E61673"/>
    <w:rsid w:val="00E660E2"/>
    <w:rsid w:val="00E72BB7"/>
    <w:rsid w:val="00E81A2B"/>
    <w:rsid w:val="00E83C1F"/>
    <w:rsid w:val="00E92656"/>
    <w:rsid w:val="00E967D5"/>
    <w:rsid w:val="00EA28FE"/>
    <w:rsid w:val="00EA5450"/>
    <w:rsid w:val="00EB0EFF"/>
    <w:rsid w:val="00EB3788"/>
    <w:rsid w:val="00EB4276"/>
    <w:rsid w:val="00EC5C5D"/>
    <w:rsid w:val="00EC6298"/>
    <w:rsid w:val="00EE20F9"/>
    <w:rsid w:val="00EE35A3"/>
    <w:rsid w:val="00EF7F86"/>
    <w:rsid w:val="00F00825"/>
    <w:rsid w:val="00F110B9"/>
    <w:rsid w:val="00F1406D"/>
    <w:rsid w:val="00F17AB0"/>
    <w:rsid w:val="00F2330A"/>
    <w:rsid w:val="00F24568"/>
    <w:rsid w:val="00F25B1C"/>
    <w:rsid w:val="00F33A87"/>
    <w:rsid w:val="00F341E5"/>
    <w:rsid w:val="00F43AC7"/>
    <w:rsid w:val="00F46304"/>
    <w:rsid w:val="00F52ED7"/>
    <w:rsid w:val="00F54D03"/>
    <w:rsid w:val="00F57908"/>
    <w:rsid w:val="00F72F56"/>
    <w:rsid w:val="00F76CB4"/>
    <w:rsid w:val="00F81665"/>
    <w:rsid w:val="00F865CE"/>
    <w:rsid w:val="00F8665F"/>
    <w:rsid w:val="00F872EA"/>
    <w:rsid w:val="00F87380"/>
    <w:rsid w:val="00F91F15"/>
    <w:rsid w:val="00FA1B73"/>
    <w:rsid w:val="00FA3035"/>
    <w:rsid w:val="00FA47A4"/>
    <w:rsid w:val="00FB4EB7"/>
    <w:rsid w:val="00FB5003"/>
    <w:rsid w:val="00FB7627"/>
    <w:rsid w:val="00FC22AF"/>
    <w:rsid w:val="00FC264A"/>
    <w:rsid w:val="00FC6600"/>
    <w:rsid w:val="00FC6EF2"/>
    <w:rsid w:val="00FD5241"/>
    <w:rsid w:val="00FE2848"/>
    <w:rsid w:val="00FF072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E37B108"/>
  <w15:docId w15:val="{7F6838F8-BB7E-4A52-97DE-B9DD74E576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C22C11"/>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0348BD"/>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0348BD"/>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F00825"/>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4F58B4"/>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F58B4"/>
    <w:rPr>
      <w:rFonts w:asciiTheme="majorHAnsi" w:eastAsiaTheme="majorEastAsia" w:hAnsiTheme="majorHAnsi" w:cstheme="majorBidi"/>
      <w:spacing w:val="-10"/>
      <w:kern w:val="28"/>
      <w:sz w:val="56"/>
      <w:szCs w:val="56"/>
    </w:rPr>
  </w:style>
  <w:style w:type="character" w:styleId="CommentReference">
    <w:name w:val="annotation reference"/>
    <w:basedOn w:val="DefaultParagraphFont"/>
    <w:uiPriority w:val="99"/>
    <w:semiHidden/>
    <w:unhideWhenUsed/>
    <w:rsid w:val="004F58B4"/>
    <w:rPr>
      <w:sz w:val="16"/>
      <w:szCs w:val="16"/>
    </w:rPr>
  </w:style>
  <w:style w:type="paragraph" w:styleId="CommentText">
    <w:name w:val="annotation text"/>
    <w:basedOn w:val="Normal"/>
    <w:link w:val="CommentTextChar"/>
    <w:uiPriority w:val="99"/>
    <w:unhideWhenUsed/>
    <w:rsid w:val="004F58B4"/>
    <w:pPr>
      <w:spacing w:line="240" w:lineRule="auto"/>
    </w:pPr>
    <w:rPr>
      <w:sz w:val="20"/>
      <w:szCs w:val="20"/>
    </w:rPr>
  </w:style>
  <w:style w:type="character" w:customStyle="1" w:styleId="CommentTextChar">
    <w:name w:val="Comment Text Char"/>
    <w:basedOn w:val="DefaultParagraphFont"/>
    <w:link w:val="CommentText"/>
    <w:uiPriority w:val="99"/>
    <w:rsid w:val="004F58B4"/>
    <w:rPr>
      <w:sz w:val="20"/>
      <w:szCs w:val="20"/>
    </w:rPr>
  </w:style>
  <w:style w:type="character" w:customStyle="1" w:styleId="Heading1Char">
    <w:name w:val="Heading 1 Char"/>
    <w:basedOn w:val="DefaultParagraphFont"/>
    <w:link w:val="Heading1"/>
    <w:uiPriority w:val="9"/>
    <w:rsid w:val="00C22C11"/>
    <w:rPr>
      <w:rFonts w:asciiTheme="majorHAnsi" w:eastAsiaTheme="majorEastAsia" w:hAnsiTheme="majorHAnsi" w:cstheme="majorBidi"/>
      <w:color w:val="2F5496" w:themeColor="accent1" w:themeShade="BF"/>
      <w:sz w:val="32"/>
      <w:szCs w:val="32"/>
    </w:rPr>
  </w:style>
  <w:style w:type="paragraph" w:styleId="Caption">
    <w:name w:val="caption"/>
    <w:basedOn w:val="Normal"/>
    <w:next w:val="Normal"/>
    <w:uiPriority w:val="35"/>
    <w:unhideWhenUsed/>
    <w:qFormat/>
    <w:rsid w:val="00C22C11"/>
    <w:pPr>
      <w:spacing w:after="200" w:line="240" w:lineRule="auto"/>
    </w:pPr>
    <w:rPr>
      <w:i/>
      <w:iCs/>
      <w:color w:val="44546A" w:themeColor="text2"/>
      <w:sz w:val="18"/>
      <w:szCs w:val="18"/>
    </w:rPr>
  </w:style>
  <w:style w:type="character" w:styleId="Hyperlink">
    <w:name w:val="Hyperlink"/>
    <w:basedOn w:val="DefaultParagraphFont"/>
    <w:uiPriority w:val="99"/>
    <w:unhideWhenUsed/>
    <w:rsid w:val="00C22C11"/>
    <w:rPr>
      <w:color w:val="0563C1" w:themeColor="hyperlink"/>
      <w:u w:val="single"/>
    </w:rPr>
  </w:style>
  <w:style w:type="character" w:customStyle="1" w:styleId="Heading2Char">
    <w:name w:val="Heading 2 Char"/>
    <w:basedOn w:val="DefaultParagraphFont"/>
    <w:link w:val="Heading2"/>
    <w:uiPriority w:val="9"/>
    <w:rsid w:val="000348BD"/>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0348BD"/>
    <w:rPr>
      <w:rFonts w:asciiTheme="majorHAnsi" w:eastAsiaTheme="majorEastAsia" w:hAnsiTheme="majorHAnsi" w:cstheme="majorBidi"/>
      <w:color w:val="1F3763" w:themeColor="accent1" w:themeShade="7F"/>
      <w:sz w:val="24"/>
      <w:szCs w:val="24"/>
    </w:rPr>
  </w:style>
  <w:style w:type="paragraph" w:styleId="CommentSubject">
    <w:name w:val="annotation subject"/>
    <w:basedOn w:val="CommentText"/>
    <w:next w:val="CommentText"/>
    <w:link w:val="CommentSubjectChar"/>
    <w:uiPriority w:val="99"/>
    <w:semiHidden/>
    <w:unhideWhenUsed/>
    <w:rsid w:val="000348BD"/>
    <w:rPr>
      <w:b/>
      <w:bCs/>
    </w:rPr>
  </w:style>
  <w:style w:type="character" w:customStyle="1" w:styleId="CommentSubjectChar">
    <w:name w:val="Comment Subject Char"/>
    <w:basedOn w:val="CommentTextChar"/>
    <w:link w:val="CommentSubject"/>
    <w:uiPriority w:val="99"/>
    <w:semiHidden/>
    <w:rsid w:val="000348BD"/>
    <w:rPr>
      <w:b/>
      <w:bCs/>
      <w:sz w:val="20"/>
      <w:szCs w:val="20"/>
    </w:rPr>
  </w:style>
  <w:style w:type="paragraph" w:styleId="ListParagraph">
    <w:name w:val="List Paragraph"/>
    <w:basedOn w:val="Normal"/>
    <w:uiPriority w:val="34"/>
    <w:qFormat/>
    <w:rsid w:val="000348BD"/>
    <w:pPr>
      <w:ind w:left="720"/>
      <w:contextualSpacing/>
    </w:pPr>
  </w:style>
  <w:style w:type="table" w:styleId="TableGrid">
    <w:name w:val="Table Grid"/>
    <w:basedOn w:val="TableNormal"/>
    <w:uiPriority w:val="39"/>
    <w:rsid w:val="000348B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
    <w:name w:val="Unresolved Mention"/>
    <w:basedOn w:val="DefaultParagraphFont"/>
    <w:uiPriority w:val="99"/>
    <w:semiHidden/>
    <w:unhideWhenUsed/>
    <w:rsid w:val="000348BD"/>
    <w:rPr>
      <w:color w:val="605E5C"/>
      <w:shd w:val="clear" w:color="auto" w:fill="E1DFDD"/>
    </w:rPr>
  </w:style>
  <w:style w:type="character" w:styleId="FollowedHyperlink">
    <w:name w:val="FollowedHyperlink"/>
    <w:basedOn w:val="DefaultParagraphFont"/>
    <w:uiPriority w:val="99"/>
    <w:semiHidden/>
    <w:unhideWhenUsed/>
    <w:rsid w:val="000348BD"/>
    <w:rPr>
      <w:color w:val="954F72" w:themeColor="followedHyperlink"/>
      <w:u w:val="single"/>
    </w:rPr>
  </w:style>
  <w:style w:type="paragraph" w:styleId="BalloonText">
    <w:name w:val="Balloon Text"/>
    <w:basedOn w:val="Normal"/>
    <w:link w:val="BalloonTextChar"/>
    <w:uiPriority w:val="99"/>
    <w:semiHidden/>
    <w:unhideWhenUsed/>
    <w:rsid w:val="000348B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348BD"/>
    <w:rPr>
      <w:rFonts w:ascii="Segoe UI" w:hAnsi="Segoe UI" w:cs="Segoe UI"/>
      <w:sz w:val="18"/>
      <w:szCs w:val="18"/>
    </w:rPr>
  </w:style>
  <w:style w:type="paragraph" w:styleId="Revision">
    <w:name w:val="Revision"/>
    <w:hidden/>
    <w:uiPriority w:val="99"/>
    <w:semiHidden/>
    <w:rsid w:val="000348BD"/>
    <w:pPr>
      <w:spacing w:after="0" w:line="240" w:lineRule="auto"/>
    </w:pPr>
  </w:style>
  <w:style w:type="paragraph" w:styleId="Header">
    <w:name w:val="header"/>
    <w:basedOn w:val="Normal"/>
    <w:link w:val="HeaderChar"/>
    <w:uiPriority w:val="99"/>
    <w:unhideWhenUsed/>
    <w:rsid w:val="003F463E"/>
    <w:pPr>
      <w:tabs>
        <w:tab w:val="center" w:pos="4513"/>
        <w:tab w:val="right" w:pos="9026"/>
      </w:tabs>
      <w:spacing w:after="0" w:line="240" w:lineRule="auto"/>
    </w:pPr>
  </w:style>
  <w:style w:type="character" w:customStyle="1" w:styleId="HeaderChar">
    <w:name w:val="Header Char"/>
    <w:basedOn w:val="DefaultParagraphFont"/>
    <w:link w:val="Header"/>
    <w:uiPriority w:val="99"/>
    <w:rsid w:val="003F463E"/>
  </w:style>
  <w:style w:type="paragraph" w:styleId="Footer">
    <w:name w:val="footer"/>
    <w:basedOn w:val="Normal"/>
    <w:link w:val="FooterChar"/>
    <w:uiPriority w:val="99"/>
    <w:unhideWhenUsed/>
    <w:rsid w:val="003F463E"/>
    <w:pPr>
      <w:tabs>
        <w:tab w:val="center" w:pos="4513"/>
        <w:tab w:val="right" w:pos="9026"/>
      </w:tabs>
      <w:spacing w:after="0" w:line="240" w:lineRule="auto"/>
    </w:pPr>
  </w:style>
  <w:style w:type="character" w:customStyle="1" w:styleId="FooterChar">
    <w:name w:val="Footer Char"/>
    <w:basedOn w:val="DefaultParagraphFont"/>
    <w:link w:val="Footer"/>
    <w:uiPriority w:val="99"/>
    <w:rsid w:val="003F463E"/>
  </w:style>
  <w:style w:type="character" w:styleId="PlaceholderText">
    <w:name w:val="Placeholder Text"/>
    <w:basedOn w:val="DefaultParagraphFont"/>
    <w:uiPriority w:val="99"/>
    <w:semiHidden/>
    <w:rsid w:val="00C57843"/>
    <w:rPr>
      <w:color w:val="808080"/>
    </w:rPr>
  </w:style>
  <w:style w:type="character" w:styleId="LineNumber">
    <w:name w:val="line number"/>
    <w:basedOn w:val="DefaultParagraphFont"/>
    <w:uiPriority w:val="99"/>
    <w:semiHidden/>
    <w:unhideWhenUsed/>
    <w:rsid w:val="00F57908"/>
  </w:style>
  <w:style w:type="character" w:customStyle="1" w:styleId="Heading4Char">
    <w:name w:val="Heading 4 Char"/>
    <w:basedOn w:val="DefaultParagraphFont"/>
    <w:link w:val="Heading4"/>
    <w:uiPriority w:val="9"/>
    <w:semiHidden/>
    <w:rsid w:val="00F00825"/>
    <w:rPr>
      <w:rFonts w:asciiTheme="majorHAnsi" w:eastAsiaTheme="majorEastAsia" w:hAnsiTheme="majorHAnsi" w:cstheme="majorBidi"/>
      <w:i/>
      <w:iCs/>
      <w:color w:val="2F5496"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1423719">
      <w:bodyDiv w:val="1"/>
      <w:marLeft w:val="0"/>
      <w:marRight w:val="0"/>
      <w:marTop w:val="0"/>
      <w:marBottom w:val="0"/>
      <w:divBdr>
        <w:top w:val="none" w:sz="0" w:space="0" w:color="auto"/>
        <w:left w:val="none" w:sz="0" w:space="0" w:color="auto"/>
        <w:bottom w:val="none" w:sz="0" w:space="0" w:color="auto"/>
        <w:right w:val="none" w:sz="0" w:space="0" w:color="auto"/>
      </w:divBdr>
    </w:div>
    <w:div w:id="209728909">
      <w:bodyDiv w:val="1"/>
      <w:marLeft w:val="0"/>
      <w:marRight w:val="0"/>
      <w:marTop w:val="0"/>
      <w:marBottom w:val="0"/>
      <w:divBdr>
        <w:top w:val="none" w:sz="0" w:space="0" w:color="auto"/>
        <w:left w:val="none" w:sz="0" w:space="0" w:color="auto"/>
        <w:bottom w:val="none" w:sz="0" w:space="0" w:color="auto"/>
        <w:right w:val="none" w:sz="0" w:space="0" w:color="auto"/>
      </w:divBdr>
    </w:div>
    <w:div w:id="722024405">
      <w:bodyDiv w:val="1"/>
      <w:marLeft w:val="0"/>
      <w:marRight w:val="0"/>
      <w:marTop w:val="0"/>
      <w:marBottom w:val="0"/>
      <w:divBdr>
        <w:top w:val="none" w:sz="0" w:space="0" w:color="auto"/>
        <w:left w:val="none" w:sz="0" w:space="0" w:color="auto"/>
        <w:bottom w:val="none" w:sz="0" w:space="0" w:color="auto"/>
        <w:right w:val="none" w:sz="0" w:space="0" w:color="auto"/>
      </w:divBdr>
    </w:div>
    <w:div w:id="727800441">
      <w:bodyDiv w:val="1"/>
      <w:marLeft w:val="0"/>
      <w:marRight w:val="0"/>
      <w:marTop w:val="0"/>
      <w:marBottom w:val="0"/>
      <w:divBdr>
        <w:top w:val="none" w:sz="0" w:space="0" w:color="auto"/>
        <w:left w:val="none" w:sz="0" w:space="0" w:color="auto"/>
        <w:bottom w:val="none" w:sz="0" w:space="0" w:color="auto"/>
        <w:right w:val="none" w:sz="0" w:space="0" w:color="auto"/>
      </w:divBdr>
    </w:div>
    <w:div w:id="739596733">
      <w:bodyDiv w:val="1"/>
      <w:marLeft w:val="0"/>
      <w:marRight w:val="0"/>
      <w:marTop w:val="0"/>
      <w:marBottom w:val="0"/>
      <w:divBdr>
        <w:top w:val="none" w:sz="0" w:space="0" w:color="auto"/>
        <w:left w:val="none" w:sz="0" w:space="0" w:color="auto"/>
        <w:bottom w:val="none" w:sz="0" w:space="0" w:color="auto"/>
        <w:right w:val="none" w:sz="0" w:space="0" w:color="auto"/>
      </w:divBdr>
    </w:div>
    <w:div w:id="743601313">
      <w:bodyDiv w:val="1"/>
      <w:marLeft w:val="0"/>
      <w:marRight w:val="0"/>
      <w:marTop w:val="0"/>
      <w:marBottom w:val="0"/>
      <w:divBdr>
        <w:top w:val="none" w:sz="0" w:space="0" w:color="auto"/>
        <w:left w:val="none" w:sz="0" w:space="0" w:color="auto"/>
        <w:bottom w:val="none" w:sz="0" w:space="0" w:color="auto"/>
        <w:right w:val="none" w:sz="0" w:space="0" w:color="auto"/>
      </w:divBdr>
    </w:div>
    <w:div w:id="932011365">
      <w:bodyDiv w:val="1"/>
      <w:marLeft w:val="0"/>
      <w:marRight w:val="0"/>
      <w:marTop w:val="0"/>
      <w:marBottom w:val="0"/>
      <w:divBdr>
        <w:top w:val="none" w:sz="0" w:space="0" w:color="auto"/>
        <w:left w:val="none" w:sz="0" w:space="0" w:color="auto"/>
        <w:bottom w:val="none" w:sz="0" w:space="0" w:color="auto"/>
        <w:right w:val="none" w:sz="0" w:space="0" w:color="auto"/>
      </w:divBdr>
    </w:div>
    <w:div w:id="1490905423">
      <w:bodyDiv w:val="1"/>
      <w:marLeft w:val="0"/>
      <w:marRight w:val="0"/>
      <w:marTop w:val="0"/>
      <w:marBottom w:val="0"/>
      <w:divBdr>
        <w:top w:val="none" w:sz="0" w:space="0" w:color="auto"/>
        <w:left w:val="none" w:sz="0" w:space="0" w:color="auto"/>
        <w:bottom w:val="none" w:sz="0" w:space="0" w:color="auto"/>
        <w:right w:val="none" w:sz="0" w:space="0" w:color="auto"/>
      </w:divBdr>
    </w:div>
    <w:div w:id="1595093594">
      <w:bodyDiv w:val="1"/>
      <w:marLeft w:val="0"/>
      <w:marRight w:val="0"/>
      <w:marTop w:val="0"/>
      <w:marBottom w:val="0"/>
      <w:divBdr>
        <w:top w:val="none" w:sz="0" w:space="0" w:color="auto"/>
        <w:left w:val="none" w:sz="0" w:space="0" w:color="auto"/>
        <w:bottom w:val="none" w:sz="0" w:space="0" w:color="auto"/>
        <w:right w:val="none" w:sz="0" w:space="0" w:color="auto"/>
      </w:divBdr>
    </w:div>
    <w:div w:id="1779178007">
      <w:bodyDiv w:val="1"/>
      <w:marLeft w:val="0"/>
      <w:marRight w:val="0"/>
      <w:marTop w:val="0"/>
      <w:marBottom w:val="0"/>
      <w:divBdr>
        <w:top w:val="none" w:sz="0" w:space="0" w:color="auto"/>
        <w:left w:val="none" w:sz="0" w:space="0" w:color="auto"/>
        <w:bottom w:val="none" w:sz="0" w:space="0" w:color="auto"/>
        <w:right w:val="none" w:sz="0" w:space="0" w:color="auto"/>
      </w:divBdr>
    </w:div>
    <w:div w:id="182801456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B76B01F-3579-484B-9FB9-A30B2B1512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169</TotalTime>
  <Pages>43</Pages>
  <Words>87486</Words>
  <Characters>498674</Characters>
  <Application>Microsoft Office Word</Application>
  <DocSecurity>0</DocSecurity>
  <Lines>4155</Lines>
  <Paragraphs>1169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584991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Robbie Manning Smith</dc:creator>
  <cp:keywords/>
  <dc:description/>
  <cp:lastModifiedBy>Bhushan Tandale</cp:lastModifiedBy>
  <cp:revision>15</cp:revision>
  <cp:lastPrinted>2022-04-05T15:08:00Z</cp:lastPrinted>
  <dcterms:created xsi:type="dcterms:W3CDTF">2022-05-26T15:08:00Z</dcterms:created>
  <dcterms:modified xsi:type="dcterms:W3CDTF">2022-06-09T13:46:00Z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7th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 6th edition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10th edition - Harvard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y fmtid="{D5CDD505-2E9C-101B-9397-08002B2CF9AE}" pid="22" name="Mendeley Document_1">
    <vt:lpwstr>True</vt:lpwstr>
  </property>
  <property fmtid="{D5CDD505-2E9C-101B-9397-08002B2CF9AE}" pid="23" name="Mendeley Unique User Id_1">
    <vt:lpwstr>74f781ee-df46-3a0e-8226-63e12e223a1d</vt:lpwstr>
  </property>
  <property fmtid="{D5CDD505-2E9C-101B-9397-08002B2CF9AE}" pid="24" name="Mendeley Citation Style_1">
    <vt:lpwstr>http://www.zotero.org/styles/chicago-author-date</vt:lpwstr>
  </property>
</Properties>
</file>