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FAF" w:rsidRDefault="00BB3FAF" w:rsidP="002B2EE4">
      <w:pPr>
        <w:jc w:val="center"/>
        <w:rPr>
          <w:rFonts w:ascii="Arial" w:eastAsia="Calibri" w:hAnsi="Arial" w:cs="Arial"/>
          <w:b/>
        </w:rPr>
      </w:pPr>
      <w:r w:rsidRPr="00BB3FAF">
        <w:rPr>
          <w:rFonts w:ascii="Arial" w:eastAsia="Calibri" w:hAnsi="Arial" w:cs="Arial"/>
          <w:b/>
        </w:rPr>
        <w:t>Appendix</w:t>
      </w:r>
    </w:p>
    <w:p w:rsidR="00BB3FAF" w:rsidRPr="009D1EE5" w:rsidRDefault="00BB3FAF" w:rsidP="00BB3FAF">
      <w:pPr>
        <w:numPr>
          <w:ilvl w:val="0"/>
          <w:numId w:val="2"/>
        </w:numPr>
        <w:contextualSpacing/>
        <w:jc w:val="both"/>
        <w:rPr>
          <w:rFonts w:ascii="Arial" w:eastAsia="Calibri" w:hAnsi="Arial" w:cs="Arial"/>
        </w:rPr>
      </w:pPr>
      <w:r w:rsidRPr="00BB3FAF">
        <w:rPr>
          <w:rFonts w:ascii="Arial" w:eastAsia="Calibri" w:hAnsi="Arial" w:cs="Arial"/>
        </w:rPr>
        <w:t xml:space="preserve">The PE data series includes 27 species, while the model consists of </w:t>
      </w:r>
      <w:r w:rsidRPr="009D1EE5">
        <w:rPr>
          <w:rFonts w:ascii="Arial" w:eastAsia="Calibri" w:hAnsi="Arial" w:cs="Arial"/>
        </w:rPr>
        <w:t>18 species. This discrepancy does not affect the results, though. Our previous publication</w:t>
      </w:r>
      <w:r w:rsidR="00D11435" w:rsidRPr="009D1EE5">
        <w:rPr>
          <w:rFonts w:ascii="Arial" w:eastAsia="Calibri" w:hAnsi="Arial" w:cs="Arial"/>
        </w:rPr>
        <w:t xml:space="preserve"> </w:t>
      </w:r>
      <w:r w:rsidR="00D11435" w:rsidRPr="009D1EE5">
        <w:rPr>
          <w:rFonts w:ascii="Arial" w:eastAsia="Calibri" w:hAnsi="Arial" w:cs="Arial"/>
        </w:rPr>
        <w:fldChar w:fldCharType="begin" w:fldLock="1"/>
      </w:r>
      <w:r w:rsidR="00D11435" w:rsidRPr="009D1EE5">
        <w:rPr>
          <w:rFonts w:ascii="Arial" w:eastAsia="Calibri" w:hAnsi="Arial" w:cs="Arial"/>
        </w:rPr>
        <w:instrText>ADDIN CSL_CITATION {"citationItems":[{"id":"ITEM-1","itemData":{"DOI":"10.1007/s10661-021-09463-7","ISBN":"0123456789","ISSN":"15732959","PMID":"34586508","abstract":"We studied the patterns of pre-collapse communities, the small-scale and the large-scale signals of collapses, and the environmental events before the collapses using four paleoecological and one modern data series. We applied and evaluated eight indicators in our analysis: the relative abundance of species, hierarchical cluster analysis, principal component analysis, total abundance, species richness, standard deviation (without a rolling window), first-order autoregression, and the relative abundance of the dominant species. We investigated the signals at the probable collapse triggering unusual environmental events and at the collapse zone boundaries, respectively. We also distinguished between pulse and step environmental events to see what signals the indicators give at these two different types of events. Our results show that first-order autoregression is not a good environmental event indicator, but it can forecast or indicate the collapse zones in climate change. The rest of the indicators are more sensitive to the pulse events than to the step events. Step events during climate change might have an essential role in initiating collapses. These events probably push the communities with low resilience beyond a critical threshold, so it is crucial to detect them. Before collapses, the total abundance and the species richness increase, the relative abundance of the species decreases. The hierarchical cluster analysis and the relative abundance of species together designate the collapse zone boundaries. We suggest that small-scale signals should be involved in analyses because they are often earlier than large-scale signals.","author":[{"dropping-particle":"","family":"Pálinkás","given":"Melinda","non-dropping-particle":"","parse-names":false,"suffix":""},{"dropping-particle":"","family":"Hufnagel","given":"Levente","non-dropping-particle":"","parse-names":false,"suffix":""}],"container-title":"Environmental Monitoring and Assessment","id":"ITEM-1","issue":"10","issued":{"date-parts":[["2021"]]},"publisher":"Springer International Publishing","title":"Distinctive patterns and signals at major environmental events and collapse zone boundaries","type":"article-journal","volume":"193"},"uris":["http://www.mendeley.com/documents/?uuid=94610542-f9e7-489e-8ef4-5066e79cf177"]}],"mendeley":{"formattedCitation":"(Pálinkás &amp; Hufnagel, 2021)","plainTextFormattedCitation":"(Pálinkás &amp; Hufnagel, 2021)","previouslyFormattedCitation":"(Pálinkás &amp; Hufnagel, 2021)"},"properties":{"noteIndex":0},"schema":"https://github.com/citation-style-language/schema/raw/master/csl-citation.json"}</w:instrText>
      </w:r>
      <w:r w:rsidR="00D11435" w:rsidRPr="009D1EE5">
        <w:rPr>
          <w:rFonts w:ascii="Arial" w:eastAsia="Calibri" w:hAnsi="Arial" w:cs="Arial"/>
        </w:rPr>
        <w:fldChar w:fldCharType="separate"/>
      </w:r>
      <w:r w:rsidR="00D11435" w:rsidRPr="009D1EE5">
        <w:rPr>
          <w:rFonts w:ascii="Arial" w:eastAsia="Calibri" w:hAnsi="Arial" w:cs="Arial"/>
          <w:noProof/>
        </w:rPr>
        <w:t>(Pálinkás &amp; Hufnagel, 2021)</w:t>
      </w:r>
      <w:r w:rsidR="00D11435" w:rsidRPr="009D1EE5">
        <w:rPr>
          <w:rFonts w:ascii="Arial" w:eastAsia="Calibri" w:hAnsi="Arial" w:cs="Arial"/>
        </w:rPr>
        <w:fldChar w:fldCharType="end"/>
      </w:r>
      <w:r w:rsidRPr="009D1EE5">
        <w:rPr>
          <w:rFonts w:ascii="Arial" w:eastAsia="Calibri" w:hAnsi="Arial" w:cs="Arial"/>
        </w:rPr>
        <w:t xml:space="preserve"> revealed that mainly the dominant species bring about the large-scale signals (except</w:t>
      </w:r>
      <w:r w:rsidR="00D11435" w:rsidRPr="009D1EE5">
        <w:rPr>
          <w:rFonts w:ascii="Arial" w:eastAsia="Calibri" w:hAnsi="Arial" w:cs="Arial"/>
        </w:rPr>
        <w:t xml:space="preserve"> in the case of</w:t>
      </w:r>
      <w:r w:rsidRPr="009D1EE5">
        <w:rPr>
          <w:rFonts w:ascii="Arial" w:eastAsia="Calibri" w:hAnsi="Arial" w:cs="Arial"/>
        </w:rPr>
        <w:t xml:space="preserve"> AR1), while the small-scale signals are caused by the environmental indicator species and the dominant species. Hence, a similar number of species produce comparable results.    </w:t>
      </w:r>
    </w:p>
    <w:p w:rsidR="00BB3FAF" w:rsidRPr="009D1EE5" w:rsidRDefault="00BB3FAF" w:rsidP="00BB3FAF">
      <w:pPr>
        <w:numPr>
          <w:ilvl w:val="0"/>
          <w:numId w:val="2"/>
        </w:numPr>
        <w:contextualSpacing/>
        <w:jc w:val="both"/>
        <w:rPr>
          <w:rFonts w:ascii="Arial" w:eastAsia="Calibri" w:hAnsi="Arial" w:cs="Arial"/>
        </w:rPr>
      </w:pPr>
      <w:r w:rsidRPr="009D1EE5">
        <w:rPr>
          <w:rFonts w:ascii="Arial" w:eastAsia="Calibri" w:hAnsi="Arial" w:cs="Arial"/>
        </w:rPr>
        <w:t xml:space="preserve">We did not use the temperature data of the PETM event. </w:t>
      </w:r>
      <w:r w:rsidR="00240DAA" w:rsidRPr="009D1EE5">
        <w:rPr>
          <w:rFonts w:ascii="Arial" w:eastAsia="Calibri" w:hAnsi="Arial" w:cs="Arial"/>
        </w:rPr>
        <w:t>Instead</w:t>
      </w:r>
      <w:r w:rsidRPr="009D1EE5">
        <w:rPr>
          <w:rFonts w:ascii="Arial" w:eastAsia="Calibri" w:hAnsi="Arial" w:cs="Arial"/>
        </w:rPr>
        <w:t>, we focused on creating a community pattern with small- and large-scale</w:t>
      </w:r>
      <w:r w:rsidR="00D11435" w:rsidRPr="009D1EE5">
        <w:rPr>
          <w:rFonts w:ascii="Arial" w:eastAsia="Calibri" w:hAnsi="Arial" w:cs="Arial"/>
        </w:rPr>
        <w:t xml:space="preserve"> signals in our model</w:t>
      </w:r>
      <w:r w:rsidR="00240DAA" w:rsidRPr="009D1EE5">
        <w:rPr>
          <w:rFonts w:ascii="Arial" w:eastAsia="Calibri" w:hAnsi="Arial" w:cs="Arial"/>
        </w:rPr>
        <w:t>,</w:t>
      </w:r>
      <w:r w:rsidR="00D11435" w:rsidRPr="009D1EE5">
        <w:rPr>
          <w:rFonts w:ascii="Arial" w:eastAsia="Calibri" w:hAnsi="Arial" w:cs="Arial"/>
        </w:rPr>
        <w:t xml:space="preserve"> similar to</w:t>
      </w:r>
      <w:r w:rsidRPr="009D1EE5">
        <w:rPr>
          <w:rFonts w:ascii="Arial" w:eastAsia="Calibri" w:hAnsi="Arial" w:cs="Arial"/>
        </w:rPr>
        <w:t xml:space="preserve"> the PE data series. So we adjusted the temperature changes to the community pattern in our model.   </w:t>
      </w:r>
    </w:p>
    <w:p w:rsidR="00BB3FAF" w:rsidRPr="009D1EE5" w:rsidRDefault="00BB3FAF" w:rsidP="00BB3FAF">
      <w:pPr>
        <w:numPr>
          <w:ilvl w:val="0"/>
          <w:numId w:val="2"/>
        </w:numPr>
        <w:contextualSpacing/>
        <w:jc w:val="both"/>
        <w:rPr>
          <w:rFonts w:ascii="Arial" w:eastAsia="Calibri" w:hAnsi="Arial" w:cs="Arial"/>
        </w:rPr>
      </w:pPr>
      <w:r w:rsidRPr="009D1EE5">
        <w:rPr>
          <w:rFonts w:ascii="Arial" w:eastAsia="Calibri" w:hAnsi="Arial" w:cs="Arial"/>
        </w:rPr>
        <w:t>The pre-collapse and the collapse communities of the PE data series belong to the PETM event</w:t>
      </w:r>
      <w:r w:rsidR="00240DAA" w:rsidRPr="009D1EE5">
        <w:rPr>
          <w:rFonts w:ascii="Arial" w:eastAsia="Calibri" w:hAnsi="Arial" w:cs="Arial"/>
        </w:rPr>
        <w:t>,</w:t>
      </w:r>
      <w:r w:rsidRPr="009D1EE5">
        <w:rPr>
          <w:rFonts w:ascii="Arial" w:eastAsia="Calibri" w:hAnsi="Arial" w:cs="Arial"/>
        </w:rPr>
        <w:t xml:space="preserve"> while the recovery community </w:t>
      </w:r>
      <w:r w:rsidR="00240DAA" w:rsidRPr="009D1EE5">
        <w:rPr>
          <w:rFonts w:ascii="Arial" w:eastAsia="Calibri" w:hAnsi="Arial" w:cs="Arial"/>
        </w:rPr>
        <w:t>results from</w:t>
      </w:r>
      <w:r w:rsidRPr="009D1EE5">
        <w:rPr>
          <w:rFonts w:ascii="Arial" w:eastAsia="Calibri" w:hAnsi="Arial" w:cs="Arial"/>
        </w:rPr>
        <w:t xml:space="preserve"> cooling</w:t>
      </w:r>
      <w:r w:rsidR="00D11435" w:rsidRPr="009D1EE5">
        <w:rPr>
          <w:rFonts w:ascii="Arial" w:eastAsia="Calibri" w:hAnsi="Arial" w:cs="Arial"/>
        </w:rPr>
        <w:t xml:space="preserve"> </w:t>
      </w:r>
      <w:r w:rsidR="00D11435" w:rsidRPr="009D1EE5">
        <w:rPr>
          <w:rFonts w:ascii="Arial" w:eastAsia="Calibri" w:hAnsi="Arial" w:cs="Arial"/>
        </w:rPr>
        <w:fldChar w:fldCharType="begin" w:fldLock="1"/>
      </w:r>
      <w:r w:rsidR="00835B29" w:rsidRPr="009D1EE5">
        <w:rPr>
          <w:rFonts w:ascii="Arial" w:eastAsia="Calibri" w:hAnsi="Arial" w:cs="Arial"/>
        </w:rPr>
        <w:instrText>ADDIN CSL_CITATION {"citationItems":[{"id":"ITEM-1","itemData":{"DOI":"https://doi.org/10.1016/j.palaeo.2007.02.026","author":[{"dropping-particle":"","family":"Takeda","given":"Kotaro","non-dropping-particle":"","parse-names":false,"suffix":""},{"dropping-particle":"","family":"Kaiho","given":"Kunio","non-dropping-particle":"","parse-names":false,"suffix":""}],"container-title":"Palaeogeography, Palaeoclimatology, Palaeoecology","id":"ITEM-1","issue":"2","issued":{"date-parts":[["2007"]]},"page":"175-197","title":"Faunal turnovers in the central Pacific benthic foraminifera during the Paleocene-Eocene thermal maximum","type":"article-journal","volume":"251"},"uris":["http://www.mendeley.com/documents/?uuid=bcf42dcf-3231-4d80-b9e2-d77af27bcdbe"]}],"mendeley":{"formattedCitation":"(Takeda &amp; Kaiho, 2007)","plainTextFormattedCitation":"(Takeda &amp; Kaiho, 2007)","previouslyFormattedCitation":"(Takeda &amp; Kaiho, 2007)"},"properties":{"noteIndex":0},"schema":"https://github.com/citation-style-language/schema/raw/master/csl-citation.json"}</w:instrText>
      </w:r>
      <w:r w:rsidR="00D11435" w:rsidRPr="009D1EE5">
        <w:rPr>
          <w:rFonts w:ascii="Arial" w:eastAsia="Calibri" w:hAnsi="Arial" w:cs="Arial"/>
        </w:rPr>
        <w:fldChar w:fldCharType="separate"/>
      </w:r>
      <w:r w:rsidR="00D11435" w:rsidRPr="009D1EE5">
        <w:rPr>
          <w:rFonts w:ascii="Arial" w:eastAsia="Calibri" w:hAnsi="Arial" w:cs="Arial"/>
          <w:noProof/>
        </w:rPr>
        <w:t>(Takeda &amp; Kaiho, 2007)</w:t>
      </w:r>
      <w:r w:rsidR="00D11435" w:rsidRPr="009D1EE5">
        <w:rPr>
          <w:rFonts w:ascii="Arial" w:eastAsia="Calibri" w:hAnsi="Arial" w:cs="Arial"/>
        </w:rPr>
        <w:fldChar w:fldCharType="end"/>
      </w:r>
      <w:r w:rsidR="00D11435" w:rsidRPr="009D1EE5">
        <w:rPr>
          <w:rFonts w:ascii="Arial" w:eastAsia="Calibri" w:hAnsi="Arial" w:cs="Arial"/>
        </w:rPr>
        <w:t>. We could not</w:t>
      </w:r>
      <w:r w:rsidRPr="009D1EE5">
        <w:rPr>
          <w:rFonts w:ascii="Arial" w:eastAsia="Calibri" w:hAnsi="Arial" w:cs="Arial"/>
        </w:rPr>
        <w:t xml:space="preserve"> model the latter one as our model is based on temperature </w:t>
      </w:r>
      <w:r w:rsidR="00ED4DB6" w:rsidRPr="009D1EE5">
        <w:rPr>
          <w:rFonts w:ascii="Arial" w:eastAsia="Calibri" w:hAnsi="Arial" w:cs="Arial"/>
        </w:rPr>
        <w:t>increase. However, this did</w:t>
      </w:r>
      <w:r w:rsidRPr="009D1EE5">
        <w:rPr>
          <w:rFonts w:ascii="Arial" w:eastAsia="Calibri" w:hAnsi="Arial" w:cs="Arial"/>
        </w:rPr>
        <w:t xml:space="preserve"> not affect the analysis of the pre-collapse community.  </w:t>
      </w:r>
    </w:p>
    <w:p w:rsidR="00BB3FAF" w:rsidRPr="009D1EE5" w:rsidRDefault="00BB3FAF" w:rsidP="00BB3FAF">
      <w:pPr>
        <w:numPr>
          <w:ilvl w:val="0"/>
          <w:numId w:val="2"/>
        </w:numPr>
        <w:contextualSpacing/>
        <w:jc w:val="both"/>
        <w:rPr>
          <w:rFonts w:ascii="Arial" w:eastAsia="Calibri" w:hAnsi="Arial" w:cs="Arial"/>
        </w:rPr>
      </w:pPr>
      <w:r w:rsidRPr="009D1EE5">
        <w:rPr>
          <w:rFonts w:ascii="Arial" w:eastAsia="Calibri" w:hAnsi="Arial" w:cs="Arial"/>
        </w:rPr>
        <w:t>The pattern of the period before the probable pulse event in the PE data series differs from that of the model</w:t>
      </w:r>
      <w:r w:rsidR="00240DAA" w:rsidRPr="009D1EE5">
        <w:rPr>
          <w:rFonts w:ascii="Arial" w:eastAsia="Calibri" w:hAnsi="Arial" w:cs="Arial"/>
        </w:rPr>
        <w:t>. H</w:t>
      </w:r>
      <w:r w:rsidRPr="009D1EE5">
        <w:rPr>
          <w:rFonts w:ascii="Arial" w:eastAsia="Calibri" w:hAnsi="Arial" w:cs="Arial"/>
        </w:rPr>
        <w:t>owever, this period is not the su</w:t>
      </w:r>
      <w:bookmarkStart w:id="0" w:name="_GoBack"/>
      <w:bookmarkEnd w:id="0"/>
      <w:r w:rsidRPr="009D1EE5">
        <w:rPr>
          <w:rFonts w:ascii="Arial" w:eastAsia="Calibri" w:hAnsi="Arial" w:cs="Arial"/>
        </w:rPr>
        <w:t xml:space="preserve">bject of our investigation. </w:t>
      </w:r>
    </w:p>
    <w:p w:rsidR="00BB3FAF" w:rsidRPr="009D1EE5" w:rsidRDefault="00BB3FAF" w:rsidP="00BB3FAF">
      <w:pPr>
        <w:numPr>
          <w:ilvl w:val="0"/>
          <w:numId w:val="2"/>
        </w:numPr>
        <w:contextualSpacing/>
        <w:jc w:val="both"/>
        <w:rPr>
          <w:rFonts w:ascii="Arial" w:eastAsia="Calibri" w:hAnsi="Arial" w:cs="Arial"/>
        </w:rPr>
      </w:pPr>
      <w:r w:rsidRPr="009D1EE5">
        <w:rPr>
          <w:rFonts w:ascii="Arial" w:eastAsia="Calibri" w:hAnsi="Arial" w:cs="Arial"/>
        </w:rPr>
        <w:t xml:space="preserve">The relative abundance of the pre-collapse dominant species decreases after the probable pulse event in the PE data series. We achieved this by </w:t>
      </w:r>
      <w:r w:rsidR="00240DAA" w:rsidRPr="009D1EE5">
        <w:rPr>
          <w:rFonts w:ascii="Arial" w:eastAsia="Calibri" w:hAnsi="Arial" w:cs="Arial"/>
        </w:rPr>
        <w:t>reduc</w:t>
      </w:r>
      <w:r w:rsidRPr="009D1EE5">
        <w:rPr>
          <w:rFonts w:ascii="Arial" w:eastAsia="Calibri" w:hAnsi="Arial" w:cs="Arial"/>
        </w:rPr>
        <w:t xml:space="preserve">ing the temperature in the model. </w:t>
      </w:r>
      <w:r w:rsidR="00240DAA" w:rsidRPr="009D1EE5">
        <w:rPr>
          <w:rFonts w:ascii="Arial" w:eastAsia="Calibri" w:hAnsi="Arial" w:cs="Arial"/>
        </w:rPr>
        <w:t>A temperature decrease might have caused the decrease in the relative abundance of the pre-collapse dominant species. H</w:t>
      </w:r>
      <w:r w:rsidRPr="009D1EE5">
        <w:rPr>
          <w:rFonts w:ascii="Arial" w:eastAsia="Calibri" w:hAnsi="Arial" w:cs="Arial"/>
        </w:rPr>
        <w:t xml:space="preserve">owever, we have no information about that. </w:t>
      </w:r>
    </w:p>
    <w:p w:rsidR="00BB3FAF" w:rsidRPr="00BB3FAF" w:rsidRDefault="00BB3FAF" w:rsidP="00BB3FAF">
      <w:pPr>
        <w:numPr>
          <w:ilvl w:val="0"/>
          <w:numId w:val="2"/>
        </w:numPr>
        <w:contextualSpacing/>
        <w:jc w:val="both"/>
        <w:rPr>
          <w:rFonts w:ascii="Arial" w:eastAsia="Calibri" w:hAnsi="Arial" w:cs="Arial"/>
        </w:rPr>
      </w:pPr>
      <w:r w:rsidRPr="009D1EE5">
        <w:rPr>
          <w:rFonts w:ascii="Arial" w:eastAsia="Calibri" w:hAnsi="Arial" w:cs="Arial"/>
        </w:rPr>
        <w:t xml:space="preserve">First, we intended to model only the pre-collapse and collapse communities for further analysis. However, we have found that we also need to model the recovery community so that the pre-collapse pattern of the model and that of the PE data series should be similar. Nevertheless, we focused on </w:t>
      </w:r>
      <w:r w:rsidR="00240DAA" w:rsidRPr="009D1EE5">
        <w:rPr>
          <w:rFonts w:ascii="Arial" w:eastAsia="Calibri" w:hAnsi="Arial" w:cs="Arial"/>
        </w:rPr>
        <w:t>modeling</w:t>
      </w:r>
      <w:r w:rsidR="007515E6" w:rsidRPr="009D1EE5">
        <w:rPr>
          <w:rFonts w:ascii="Arial" w:eastAsia="Calibri" w:hAnsi="Arial" w:cs="Arial"/>
        </w:rPr>
        <w:t xml:space="preserve"> </w:t>
      </w:r>
      <w:r w:rsidRPr="009D1EE5">
        <w:rPr>
          <w:rFonts w:ascii="Arial" w:eastAsia="Calibri" w:hAnsi="Arial" w:cs="Arial"/>
        </w:rPr>
        <w:t>the pre-collapse and the collapse</w:t>
      </w:r>
      <w:r w:rsidRPr="00BB3FAF">
        <w:rPr>
          <w:rFonts w:ascii="Arial" w:eastAsia="Calibri" w:hAnsi="Arial" w:cs="Arial"/>
        </w:rPr>
        <w:t xml:space="preserve"> communities, as the pre-collapse community was the main subject of our study. The pattern of the recovery community</w:t>
      </w:r>
      <w:r w:rsidR="007515E6">
        <w:rPr>
          <w:rFonts w:ascii="Arial" w:eastAsia="Calibri" w:hAnsi="Arial" w:cs="Arial"/>
        </w:rPr>
        <w:t xml:space="preserve"> in the model</w:t>
      </w:r>
      <w:r w:rsidRPr="00BB3FAF">
        <w:rPr>
          <w:rFonts w:ascii="Arial" w:eastAsia="Calibri" w:hAnsi="Arial" w:cs="Arial"/>
        </w:rPr>
        <w:t xml:space="preserve"> </w:t>
      </w:r>
      <w:r w:rsidR="008C779E" w:rsidRPr="00BB3FAF">
        <w:rPr>
          <w:rFonts w:ascii="Arial" w:eastAsia="Calibri" w:hAnsi="Arial" w:cs="Arial"/>
        </w:rPr>
        <w:t>loosely</w:t>
      </w:r>
      <w:r w:rsidRPr="00BB3FAF">
        <w:rPr>
          <w:rFonts w:ascii="Arial" w:eastAsia="Calibri" w:hAnsi="Arial" w:cs="Arial"/>
        </w:rPr>
        <w:t xml:space="preserve"> follows </w:t>
      </w:r>
      <w:r w:rsidR="00651259">
        <w:rPr>
          <w:rFonts w:ascii="Arial" w:eastAsia="Calibri" w:hAnsi="Arial" w:cs="Arial"/>
        </w:rPr>
        <w:t>the recovery community pattern</w:t>
      </w:r>
      <w:r w:rsidRPr="00BB3FAF">
        <w:rPr>
          <w:rFonts w:ascii="Arial" w:eastAsia="Calibri" w:hAnsi="Arial" w:cs="Arial"/>
        </w:rPr>
        <w:t xml:space="preserve"> of the PE data series. </w:t>
      </w:r>
    </w:p>
    <w:p w:rsidR="00545627" w:rsidRDefault="00BB3FAF" w:rsidP="00E56B8D">
      <w:pPr>
        <w:numPr>
          <w:ilvl w:val="0"/>
          <w:numId w:val="2"/>
        </w:numPr>
        <w:contextualSpacing/>
        <w:jc w:val="both"/>
        <w:rPr>
          <w:rFonts w:ascii="Arial" w:eastAsia="Calibri" w:hAnsi="Arial" w:cs="Arial"/>
        </w:rPr>
      </w:pPr>
      <w:r w:rsidRPr="00545627">
        <w:rPr>
          <w:rFonts w:ascii="Arial" w:eastAsia="Calibri" w:hAnsi="Arial" w:cs="Arial"/>
        </w:rPr>
        <w:t>To produce the pattern of the sub-dominant and the dominant species, we set thei</w:t>
      </w:r>
      <w:r w:rsidR="002540B1" w:rsidRPr="00545627">
        <w:rPr>
          <w:rFonts w:ascii="Arial" w:eastAsia="Calibri" w:hAnsi="Arial" w:cs="Arial"/>
        </w:rPr>
        <w:t xml:space="preserve">r optimum temperatures slightly </w:t>
      </w:r>
      <w:r w:rsidR="00545627" w:rsidRPr="00545627">
        <w:rPr>
          <w:rFonts w:ascii="Arial" w:eastAsia="Calibri" w:hAnsi="Arial" w:cs="Arial"/>
        </w:rPr>
        <w:t xml:space="preserve">different from </w:t>
      </w:r>
      <w:r w:rsidRPr="00545627">
        <w:rPr>
          <w:rFonts w:ascii="Arial" w:eastAsia="Calibri" w:hAnsi="Arial" w:cs="Arial"/>
        </w:rPr>
        <w:t xml:space="preserve">the optimum temperature of the community. </w:t>
      </w:r>
    </w:p>
    <w:p w:rsidR="00BB3FAF" w:rsidRPr="00545627" w:rsidRDefault="00BB3FAF" w:rsidP="00E56B8D">
      <w:pPr>
        <w:numPr>
          <w:ilvl w:val="0"/>
          <w:numId w:val="2"/>
        </w:numPr>
        <w:contextualSpacing/>
        <w:jc w:val="both"/>
        <w:rPr>
          <w:rFonts w:ascii="Arial" w:eastAsia="Calibri" w:hAnsi="Arial" w:cs="Arial"/>
        </w:rPr>
      </w:pPr>
      <w:r w:rsidRPr="00545627">
        <w:rPr>
          <w:rFonts w:ascii="Arial" w:eastAsia="Calibri" w:hAnsi="Arial" w:cs="Arial"/>
        </w:rPr>
        <w:t>We applied</w:t>
      </w:r>
      <w:r w:rsidR="00240DAA">
        <w:rPr>
          <w:rFonts w:ascii="Arial" w:eastAsia="Calibri" w:hAnsi="Arial" w:cs="Arial"/>
        </w:rPr>
        <w:t xml:space="preserve"> a</w:t>
      </w:r>
      <w:r w:rsidRPr="00545627">
        <w:rPr>
          <w:rFonts w:ascii="Arial" w:eastAsia="Calibri" w:hAnsi="Arial" w:cs="Arial"/>
        </w:rPr>
        <w:t xml:space="preserve"> detection limit</w:t>
      </w:r>
      <w:r w:rsidR="00CB3B6E">
        <w:rPr>
          <w:rFonts w:ascii="Arial" w:eastAsia="Calibri" w:hAnsi="Arial" w:cs="Arial"/>
        </w:rPr>
        <w:t xml:space="preserve"> (DL=1.145)</w:t>
      </w:r>
      <w:r w:rsidRPr="00545627">
        <w:rPr>
          <w:rFonts w:ascii="Arial" w:eastAsia="Calibri" w:hAnsi="Arial" w:cs="Arial"/>
        </w:rPr>
        <w:t xml:space="preserve"> in the case of species richness to create the pattern of the indicator.</w:t>
      </w:r>
    </w:p>
    <w:p w:rsidR="00BB3FAF" w:rsidRPr="00BB3FAF" w:rsidRDefault="00BB3FAF" w:rsidP="00BB3FAF">
      <w:pPr>
        <w:ind w:left="720"/>
        <w:contextualSpacing/>
        <w:jc w:val="center"/>
        <w:rPr>
          <w:rFonts w:ascii="Arial" w:eastAsia="Times New Roman" w:hAnsi="Arial" w:cs="Arial"/>
        </w:rPr>
      </w:pPr>
      <m:oMathPara>
        <m:oMath>
          <m:r>
            <w:rPr>
              <w:rFonts w:ascii="Cambria Math" w:eastAsia="Calibri" w:hAnsi="Cambria Math" w:cs="Arial"/>
            </w:rPr>
            <m:t xml:space="preserve">presence/absence data for </m:t>
          </m:r>
          <m:sSub>
            <m:sSubPr>
              <m:ctrlPr>
                <w:rPr>
                  <w:rFonts w:ascii="Cambria Math" w:eastAsia="Calibri" w:hAnsi="Cambria Math" w:cs="Arial"/>
                  <w:i/>
                </w:rPr>
              </m:ctrlPr>
            </m:sSubPr>
            <m:e>
              <m:r>
                <w:rPr>
                  <w:rFonts w:ascii="Cambria Math" w:eastAsia="Calibri" w:hAnsi="Cambria Math" w:cs="Arial"/>
                </w:rPr>
                <m:t>N</m:t>
              </m:r>
            </m:e>
            <m:sub>
              <m:r>
                <w:rPr>
                  <w:rFonts w:ascii="Cambria Math" w:eastAsia="Calibri" w:hAnsi="Cambria Math" w:cs="Arial"/>
                </w:rPr>
                <m:t>t</m:t>
              </m:r>
            </m:sub>
          </m:sSub>
          <m:r>
            <w:rPr>
              <w:rFonts w:ascii="Cambria Math" w:eastAsia="Calibri" w:hAnsi="Cambria Math" w:cs="Arial"/>
            </w:rPr>
            <m:t>=IF</m:t>
          </m:r>
          <m:d>
            <m:dPr>
              <m:ctrlPr>
                <w:rPr>
                  <w:rFonts w:ascii="Cambria Math" w:eastAsia="Calibri" w:hAnsi="Cambria Math" w:cs="Arial"/>
                  <w:i/>
                </w:rPr>
              </m:ctrlPr>
            </m:dPr>
            <m:e>
              <m:sSub>
                <m:sSubPr>
                  <m:ctrlPr>
                    <w:rPr>
                      <w:rFonts w:ascii="Cambria Math" w:eastAsia="Calibri" w:hAnsi="Cambria Math" w:cs="Arial"/>
                      <w:i/>
                    </w:rPr>
                  </m:ctrlPr>
                </m:sSubPr>
                <m:e>
                  <m:r>
                    <w:rPr>
                      <w:rFonts w:ascii="Cambria Math" w:eastAsia="Calibri" w:hAnsi="Cambria Math" w:cs="Arial"/>
                    </w:rPr>
                    <m:t>N</m:t>
                  </m:r>
                </m:e>
                <m:sub>
                  <m:r>
                    <w:rPr>
                      <w:rFonts w:ascii="Cambria Math" w:eastAsia="Calibri" w:hAnsi="Cambria Math" w:cs="Arial"/>
                    </w:rPr>
                    <m:t>t</m:t>
                  </m:r>
                </m:sub>
              </m:sSub>
              <m:r>
                <w:rPr>
                  <w:rFonts w:ascii="Cambria Math" w:eastAsia="Calibri" w:hAnsi="Cambria Math" w:cs="Arial"/>
                </w:rPr>
                <m:t>&gt;DL,1,0</m:t>
              </m:r>
            </m:e>
          </m:d>
          <m:r>
            <w:rPr>
              <w:rFonts w:ascii="Cambria Math" w:eastAsia="Calibri" w:hAnsi="Cambria Math" w:cs="Arial"/>
            </w:rPr>
            <m:t xml:space="preserve"> </m:t>
          </m:r>
        </m:oMath>
      </m:oMathPara>
    </w:p>
    <w:p w:rsidR="00BB3FAF" w:rsidRPr="00BB3FAF" w:rsidRDefault="00BB3FAF" w:rsidP="00BB3FAF">
      <w:pPr>
        <w:jc w:val="both"/>
        <w:rPr>
          <w:rFonts w:ascii="Arial" w:eastAsia="Calibri" w:hAnsi="Arial" w:cs="Arial"/>
        </w:rPr>
      </w:pPr>
      <w:r w:rsidRPr="00BB3FAF">
        <w:rPr>
          <w:rFonts w:ascii="Arial" w:eastAsia="Calibri" w:hAnsi="Arial" w:cs="Arial"/>
        </w:rPr>
        <w:t xml:space="preserve">           , where</w:t>
      </w:r>
    </w:p>
    <w:p w:rsidR="00BB3FAF" w:rsidRPr="00BB3FAF" w:rsidRDefault="00BB3FAF" w:rsidP="00BB3FAF">
      <w:pPr>
        <w:jc w:val="both"/>
        <w:rPr>
          <w:rFonts w:ascii="Arial" w:eastAsia="Calibri" w:hAnsi="Arial" w:cs="Arial"/>
        </w:rPr>
      </w:pPr>
      <w:r w:rsidRPr="00BB3FAF">
        <w:rPr>
          <w:rFonts w:ascii="Arial" w:eastAsia="Calibri" w:hAnsi="Arial" w:cs="Arial"/>
        </w:rPr>
        <w:t xml:space="preserve">           N = number of individuals in the population </w:t>
      </w:r>
    </w:p>
    <w:p w:rsidR="00BB3FAF" w:rsidRPr="00BB3FAF" w:rsidRDefault="00BB3FAF" w:rsidP="00BB3FAF">
      <w:pPr>
        <w:jc w:val="both"/>
        <w:rPr>
          <w:rFonts w:ascii="Arial" w:eastAsia="Calibri" w:hAnsi="Arial" w:cs="Arial"/>
        </w:rPr>
      </w:pPr>
      <w:r w:rsidRPr="00BB3FAF">
        <w:rPr>
          <w:rFonts w:ascii="Arial" w:eastAsia="Calibri" w:hAnsi="Arial" w:cs="Arial"/>
        </w:rPr>
        <w:t xml:space="preserve">            t = time</w:t>
      </w:r>
    </w:p>
    <w:p w:rsidR="00BB3FAF" w:rsidRPr="00BB3FAF" w:rsidRDefault="00BB3FAF" w:rsidP="00BB3FAF">
      <w:pPr>
        <w:jc w:val="both"/>
        <w:rPr>
          <w:rFonts w:ascii="Arial" w:eastAsia="Calibri" w:hAnsi="Arial" w:cs="Arial"/>
        </w:rPr>
      </w:pPr>
      <w:r w:rsidRPr="00BB3FAF">
        <w:rPr>
          <w:rFonts w:ascii="Arial" w:eastAsia="Calibri" w:hAnsi="Arial" w:cs="Arial"/>
        </w:rPr>
        <w:t xml:space="preserve">            DL = detection limit</w:t>
      </w:r>
    </w:p>
    <w:p w:rsidR="00BB3FAF" w:rsidRPr="00BB3FAF" w:rsidRDefault="00BB3FAF" w:rsidP="00BB3FAF">
      <w:pPr>
        <w:jc w:val="center"/>
        <w:rPr>
          <w:rFonts w:ascii="Arial" w:eastAsia="Calibri" w:hAnsi="Arial" w:cs="Arial"/>
        </w:rPr>
      </w:pPr>
      <m:oMathPara>
        <m:oMath>
          <m:r>
            <w:rPr>
              <w:rFonts w:ascii="Cambria Math" w:eastAsia="Calibri" w:hAnsi="Cambria Math" w:cs="Arial"/>
            </w:rPr>
            <m:t xml:space="preserve">species richness= </m:t>
          </m:r>
          <m:nary>
            <m:naryPr>
              <m:chr m:val="∑"/>
              <m:limLoc m:val="undOvr"/>
              <m:subHide m:val="1"/>
              <m:supHide m:val="1"/>
              <m:ctrlPr>
                <w:rPr>
                  <w:rFonts w:ascii="Cambria Math" w:eastAsia="Calibri" w:hAnsi="Cambria Math" w:cs="Arial"/>
                  <w:i/>
                </w:rPr>
              </m:ctrlPr>
            </m:naryPr>
            <m:sub/>
            <m:sup/>
            <m:e>
              <m:r>
                <w:rPr>
                  <w:rFonts w:ascii="Cambria Math" w:eastAsia="Calibri" w:hAnsi="Cambria Math" w:cs="Arial"/>
                </w:rPr>
                <m:t xml:space="preserve">s*(presence/absence data for </m:t>
              </m:r>
              <m:sSub>
                <m:sSubPr>
                  <m:ctrlPr>
                    <w:rPr>
                      <w:rFonts w:ascii="Cambria Math" w:eastAsia="Calibri" w:hAnsi="Cambria Math" w:cs="Arial"/>
                      <w:i/>
                    </w:rPr>
                  </m:ctrlPr>
                </m:sSubPr>
                <m:e>
                  <m:r>
                    <w:rPr>
                      <w:rFonts w:ascii="Cambria Math" w:eastAsia="Calibri" w:hAnsi="Cambria Math" w:cs="Arial"/>
                    </w:rPr>
                    <m:t>N</m:t>
                  </m:r>
                </m:e>
                <m:sub>
                  <m:r>
                    <w:rPr>
                      <w:rFonts w:ascii="Cambria Math" w:eastAsia="Calibri" w:hAnsi="Cambria Math" w:cs="Arial"/>
                    </w:rPr>
                    <m:t>t</m:t>
                  </m:r>
                </m:sub>
              </m:sSub>
            </m:e>
          </m:nary>
          <m:r>
            <w:rPr>
              <w:rFonts w:ascii="Cambria Math" w:eastAsia="Calibri" w:hAnsi="Cambria Math" w:cs="Arial"/>
            </w:rPr>
            <m:t>)</m:t>
          </m:r>
        </m:oMath>
      </m:oMathPara>
    </w:p>
    <w:p w:rsidR="00BB3FAF" w:rsidRPr="00BB3FAF" w:rsidRDefault="00BB3FAF" w:rsidP="00BB3FAF">
      <w:pPr>
        <w:ind w:left="630"/>
        <w:jc w:val="both"/>
        <w:rPr>
          <w:rFonts w:ascii="Arial" w:eastAsia="Calibri" w:hAnsi="Arial" w:cs="Arial"/>
        </w:rPr>
      </w:pPr>
      <w:r w:rsidRPr="00BB3FAF">
        <w:rPr>
          <w:rFonts w:ascii="Arial" w:eastAsia="Calibri" w:hAnsi="Arial" w:cs="Arial"/>
        </w:rPr>
        <w:t>, where</w:t>
      </w:r>
    </w:p>
    <w:p w:rsidR="00BB3FAF" w:rsidRDefault="00BB3FAF" w:rsidP="00BB3FAF">
      <w:pPr>
        <w:ind w:left="630"/>
        <w:jc w:val="both"/>
        <w:rPr>
          <w:rFonts w:ascii="Arial" w:eastAsia="Calibri" w:hAnsi="Arial" w:cs="Arial"/>
        </w:rPr>
      </w:pPr>
      <w:r w:rsidRPr="00BB3FAF">
        <w:rPr>
          <w:rFonts w:ascii="Arial" w:eastAsia="Calibri" w:hAnsi="Arial" w:cs="Arial"/>
        </w:rPr>
        <w:t>s = total number of different species</w:t>
      </w:r>
    </w:p>
    <w:p w:rsidR="00835B29" w:rsidRPr="00835B29" w:rsidRDefault="00835B29" w:rsidP="00835B29">
      <w:pPr>
        <w:jc w:val="both"/>
        <w:rPr>
          <w:rFonts w:ascii="Arial" w:eastAsia="Calibri" w:hAnsi="Arial" w:cs="Arial"/>
          <w:b/>
        </w:rPr>
      </w:pPr>
      <w:r>
        <w:rPr>
          <w:rFonts w:ascii="Arial" w:eastAsia="Calibri" w:hAnsi="Arial" w:cs="Arial"/>
          <w:b/>
        </w:rPr>
        <w:lastRenderedPageBreak/>
        <w:t>References</w:t>
      </w:r>
    </w:p>
    <w:p w:rsidR="00835B29" w:rsidRPr="00835B29" w:rsidRDefault="00835B29" w:rsidP="00835B29">
      <w:pPr>
        <w:widowControl w:val="0"/>
        <w:autoSpaceDE w:val="0"/>
        <w:autoSpaceDN w:val="0"/>
        <w:adjustRightInd w:val="0"/>
        <w:spacing w:line="240" w:lineRule="auto"/>
        <w:ind w:left="480" w:hanging="480"/>
        <w:rPr>
          <w:rFonts w:ascii="Arial" w:hAnsi="Arial" w:cs="Arial"/>
          <w:noProof/>
          <w:szCs w:val="24"/>
        </w:rPr>
      </w:pPr>
      <w:r>
        <w:rPr>
          <w:rFonts w:ascii="Arial" w:eastAsia="Calibri" w:hAnsi="Arial" w:cs="Arial"/>
        </w:rPr>
        <w:fldChar w:fldCharType="begin" w:fldLock="1"/>
      </w:r>
      <w:r>
        <w:rPr>
          <w:rFonts w:ascii="Arial" w:eastAsia="Calibri" w:hAnsi="Arial" w:cs="Arial"/>
        </w:rPr>
        <w:instrText xml:space="preserve">ADDIN Mendeley Bibliography CSL_BIBLIOGRAPHY </w:instrText>
      </w:r>
      <w:r>
        <w:rPr>
          <w:rFonts w:ascii="Arial" w:eastAsia="Calibri" w:hAnsi="Arial" w:cs="Arial"/>
        </w:rPr>
        <w:fldChar w:fldCharType="separate"/>
      </w:r>
      <w:r w:rsidRPr="00835B29">
        <w:rPr>
          <w:rFonts w:ascii="Arial" w:hAnsi="Arial" w:cs="Arial"/>
          <w:noProof/>
          <w:szCs w:val="24"/>
        </w:rPr>
        <w:t xml:space="preserve">Pálinkás, M., &amp; Hufnagel, L. (2021). Distinctive patterns and signals at major environmental events and collapse zone boundaries. </w:t>
      </w:r>
      <w:r w:rsidRPr="00835B29">
        <w:rPr>
          <w:rFonts w:ascii="Arial" w:hAnsi="Arial" w:cs="Arial"/>
          <w:i/>
          <w:iCs/>
          <w:noProof/>
          <w:szCs w:val="24"/>
        </w:rPr>
        <w:t>Environmental Monitoring and Assessment</w:t>
      </w:r>
      <w:r w:rsidRPr="00835B29">
        <w:rPr>
          <w:rFonts w:ascii="Arial" w:hAnsi="Arial" w:cs="Arial"/>
          <w:noProof/>
          <w:szCs w:val="24"/>
        </w:rPr>
        <w:t xml:space="preserve">, </w:t>
      </w:r>
      <w:r w:rsidRPr="00835B29">
        <w:rPr>
          <w:rFonts w:ascii="Arial" w:hAnsi="Arial" w:cs="Arial"/>
          <w:i/>
          <w:iCs/>
          <w:noProof/>
          <w:szCs w:val="24"/>
        </w:rPr>
        <w:t>193</w:t>
      </w:r>
      <w:r w:rsidRPr="00835B29">
        <w:rPr>
          <w:rFonts w:ascii="Arial" w:hAnsi="Arial" w:cs="Arial"/>
          <w:noProof/>
          <w:szCs w:val="24"/>
        </w:rPr>
        <w:t>(10). https://doi.org/10.1007/s10661-021-09463-7</w:t>
      </w:r>
    </w:p>
    <w:p w:rsidR="00835B29" w:rsidRPr="00835B29" w:rsidRDefault="00835B29" w:rsidP="00835B29">
      <w:pPr>
        <w:widowControl w:val="0"/>
        <w:autoSpaceDE w:val="0"/>
        <w:autoSpaceDN w:val="0"/>
        <w:adjustRightInd w:val="0"/>
        <w:spacing w:line="240" w:lineRule="auto"/>
        <w:ind w:left="480" w:hanging="480"/>
        <w:rPr>
          <w:rFonts w:ascii="Arial" w:hAnsi="Arial" w:cs="Arial"/>
          <w:noProof/>
        </w:rPr>
      </w:pPr>
      <w:r w:rsidRPr="00835B29">
        <w:rPr>
          <w:rFonts w:ascii="Arial" w:hAnsi="Arial" w:cs="Arial"/>
          <w:noProof/>
          <w:szCs w:val="24"/>
        </w:rPr>
        <w:t xml:space="preserve">Takeda, K., &amp; Kaiho, K. (2007). Faunal turnovers in the central Pacific benthic foraminifera during the Paleocene-Eocene thermal maximum. </w:t>
      </w:r>
      <w:r w:rsidRPr="00835B29">
        <w:rPr>
          <w:rFonts w:ascii="Arial" w:hAnsi="Arial" w:cs="Arial"/>
          <w:i/>
          <w:iCs/>
          <w:noProof/>
          <w:szCs w:val="24"/>
        </w:rPr>
        <w:t>Palaeogeography, Palaeoclimatology, Palaeoecology</w:t>
      </w:r>
      <w:r w:rsidRPr="00835B29">
        <w:rPr>
          <w:rFonts w:ascii="Arial" w:hAnsi="Arial" w:cs="Arial"/>
          <w:noProof/>
          <w:szCs w:val="24"/>
        </w:rPr>
        <w:t xml:space="preserve">, </w:t>
      </w:r>
      <w:r w:rsidRPr="00835B29">
        <w:rPr>
          <w:rFonts w:ascii="Arial" w:hAnsi="Arial" w:cs="Arial"/>
          <w:i/>
          <w:iCs/>
          <w:noProof/>
          <w:szCs w:val="24"/>
        </w:rPr>
        <w:t>251</w:t>
      </w:r>
      <w:r w:rsidRPr="00835B29">
        <w:rPr>
          <w:rFonts w:ascii="Arial" w:hAnsi="Arial" w:cs="Arial"/>
          <w:noProof/>
          <w:szCs w:val="24"/>
        </w:rPr>
        <w:t>(2), 175–197. https://doi.org/https://doi.org/10.1016/j.palaeo.2007.02.026</w:t>
      </w:r>
    </w:p>
    <w:p w:rsidR="00835B29" w:rsidRPr="00BB3FAF" w:rsidRDefault="00835B29" w:rsidP="00BB3FAF">
      <w:pPr>
        <w:ind w:left="630"/>
        <w:jc w:val="both"/>
        <w:rPr>
          <w:rFonts w:ascii="Arial" w:eastAsia="Calibri" w:hAnsi="Arial" w:cs="Arial"/>
        </w:rPr>
      </w:pPr>
      <w:r>
        <w:rPr>
          <w:rFonts w:ascii="Arial" w:eastAsia="Calibri" w:hAnsi="Arial" w:cs="Arial"/>
        </w:rPr>
        <w:fldChar w:fldCharType="end"/>
      </w:r>
    </w:p>
    <w:sectPr w:rsidR="00835B29" w:rsidRPr="00BB3F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C33EF"/>
    <w:multiLevelType w:val="hybridMultilevel"/>
    <w:tmpl w:val="64824152"/>
    <w:lvl w:ilvl="0" w:tplc="E5FCA6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980677F"/>
    <w:multiLevelType w:val="hybridMultilevel"/>
    <w:tmpl w:val="B65C6F0E"/>
    <w:lvl w:ilvl="0" w:tplc="21A05C8A">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EyMTK2tDC2MDA1NLNQ0lEKTi0uzszPAykwrAUAJwWgLCwAAAA="/>
  </w:docVars>
  <w:rsids>
    <w:rsidRoot w:val="00BB3FAF"/>
    <w:rsid w:val="001D1C45"/>
    <w:rsid w:val="00240DAA"/>
    <w:rsid w:val="002540B1"/>
    <w:rsid w:val="002B2EE4"/>
    <w:rsid w:val="005361E1"/>
    <w:rsid w:val="00545627"/>
    <w:rsid w:val="00651259"/>
    <w:rsid w:val="007515E6"/>
    <w:rsid w:val="00835B29"/>
    <w:rsid w:val="008C779E"/>
    <w:rsid w:val="009D1EE5"/>
    <w:rsid w:val="00BB3FAF"/>
    <w:rsid w:val="00C90A9F"/>
    <w:rsid w:val="00CB3B6E"/>
    <w:rsid w:val="00D11435"/>
    <w:rsid w:val="00E30C1F"/>
    <w:rsid w:val="00ED4DB6"/>
    <w:rsid w:val="00F61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7F255"/>
  <w15:chartTrackingRefBased/>
  <w15:docId w15:val="{F6E2E422-48A3-4D06-ABF9-EEEED64DE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DF7420-C2E1-45DC-8DBA-5B3D3B7D3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1066</Words>
  <Characters>6080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plinka</dc:creator>
  <cp:keywords/>
  <dc:description/>
  <cp:lastModifiedBy>plinka</cp:lastModifiedBy>
  <cp:revision>18</cp:revision>
  <dcterms:created xsi:type="dcterms:W3CDTF">2022-04-11T10:05:00Z</dcterms:created>
  <dcterms:modified xsi:type="dcterms:W3CDTF">2022-04-25T10:32:00Z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http://www.zotero.org/styles/springer-socpsych-author-date</vt:lpwstr>
  </property>
  <property fmtid="{D5CDD505-2E9C-101B-9397-08002B2CF9AE}" pid="21" name="Mendeley Recent Style Name 9_1">
    <vt:lpwstr>Springer - SocPsych (author-date)</vt:lpwstr>
  </property>
  <property fmtid="{D5CDD505-2E9C-101B-9397-08002B2CF9AE}" pid="22" name="Mendeley Document_1">
    <vt:lpwstr>True</vt:lpwstr>
  </property>
  <property fmtid="{D5CDD505-2E9C-101B-9397-08002B2CF9AE}" pid="23" name="Mendeley Unique User Id_1">
    <vt:lpwstr>1a44b623-5de3-346e-b276-b0c3f23015a2</vt:lpwstr>
  </property>
  <property fmtid="{D5CDD505-2E9C-101B-9397-08002B2CF9AE}" pid="24" name="Mendeley Citation Style_1">
    <vt:lpwstr>http://www.zotero.org/styles/apa</vt:lpwstr>
  </property>
</Properties>
</file>