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238F56" w14:textId="2B75DFA1" w:rsidR="00B059A5" w:rsidRDefault="00487471" w:rsidP="00A935DE">
      <w:pPr>
        <w:pStyle w:val="Rubrik"/>
        <w:spacing w:line="276" w:lineRule="auto"/>
      </w:pPr>
      <w:r w:rsidRPr="00487471">
        <w:t>Supplem</w:t>
      </w:r>
      <w:r>
        <w:t>en</w:t>
      </w:r>
      <w:r w:rsidRPr="00487471">
        <w:t>tary material</w:t>
      </w:r>
      <w:r w:rsidR="00B059A5">
        <w:t xml:space="preserve">: </w:t>
      </w:r>
      <w:r w:rsidR="00A935DE" w:rsidRPr="00211C20">
        <w:t>Changes in non-oscillatory features of the cortical sensorimotor rhythm in Parkinson's disease across age</w:t>
      </w:r>
    </w:p>
    <w:p w14:paraId="6410F6A8" w14:textId="77777777" w:rsidR="00A935DE" w:rsidRPr="00A935DE" w:rsidRDefault="00A935DE" w:rsidP="00A935DE"/>
    <w:p w14:paraId="6905066F" w14:textId="77777777" w:rsidR="00A935DE" w:rsidRPr="00A935DE" w:rsidRDefault="00A935DE" w:rsidP="00A935DE">
      <w:pPr>
        <w:rPr>
          <w:b/>
          <w:sz w:val="24"/>
          <w:szCs w:val="24"/>
        </w:rPr>
      </w:pPr>
      <w:r w:rsidRPr="00A935DE">
        <w:rPr>
          <w:b/>
          <w:sz w:val="24"/>
          <w:szCs w:val="24"/>
        </w:rPr>
        <w:t>Authors</w:t>
      </w:r>
    </w:p>
    <w:p w14:paraId="00D4C691" w14:textId="77777777" w:rsidR="00A935DE" w:rsidRPr="00A935DE" w:rsidRDefault="00A935DE" w:rsidP="00A935DE">
      <w:pPr>
        <w:rPr>
          <w:sz w:val="24"/>
          <w:szCs w:val="24"/>
        </w:rPr>
      </w:pPr>
      <w:r w:rsidRPr="00A935DE">
        <w:rPr>
          <w:sz w:val="24"/>
          <w:szCs w:val="24"/>
        </w:rPr>
        <w:t>Mikkel C. Vinding* 1), Allison Eriksson 1)2), Cassia Man Ting Low 1)3), Josefine Waldthaler 4)5), Daniel Ferreira 6,7), Martin Ingvar 1), Per Svenningsson 4), Daniel Lundqvist 1).</w:t>
      </w:r>
    </w:p>
    <w:p w14:paraId="7DD24DE9" w14:textId="77777777" w:rsidR="00A935DE" w:rsidRPr="00A935DE" w:rsidRDefault="00A935DE" w:rsidP="00A935DE">
      <w:pPr>
        <w:rPr>
          <w:sz w:val="24"/>
          <w:szCs w:val="24"/>
        </w:rPr>
      </w:pPr>
    </w:p>
    <w:p w14:paraId="0803EE6B" w14:textId="77777777" w:rsidR="00A935DE" w:rsidRPr="00A935DE" w:rsidRDefault="00A935DE" w:rsidP="00A935DE">
      <w:pPr>
        <w:rPr>
          <w:b/>
          <w:sz w:val="24"/>
          <w:szCs w:val="24"/>
        </w:rPr>
      </w:pPr>
      <w:r w:rsidRPr="00A935DE">
        <w:rPr>
          <w:b/>
          <w:sz w:val="24"/>
          <w:szCs w:val="24"/>
        </w:rPr>
        <w:t>Affiliations</w:t>
      </w:r>
    </w:p>
    <w:p w14:paraId="19DE26CF" w14:textId="77777777" w:rsidR="00A935DE" w:rsidRPr="00A935DE" w:rsidRDefault="00A935DE" w:rsidP="00A935DE">
      <w:pPr>
        <w:pStyle w:val="Liststycke"/>
        <w:numPr>
          <w:ilvl w:val="0"/>
          <w:numId w:val="2"/>
        </w:numPr>
        <w:rPr>
          <w:lang w:val="en-GB"/>
        </w:rPr>
      </w:pPr>
      <w:r w:rsidRPr="00A935DE">
        <w:rPr>
          <w:lang w:val="en-GB"/>
        </w:rPr>
        <w:t>NatMEG, Department of Clinical Neuroscience, Karolinska Institutet, Sweden.</w:t>
      </w:r>
    </w:p>
    <w:p w14:paraId="7A83A5EB" w14:textId="77777777" w:rsidR="00A935DE" w:rsidRPr="00A935DE" w:rsidRDefault="00A935DE" w:rsidP="00A935DE">
      <w:pPr>
        <w:pStyle w:val="Liststycke"/>
        <w:numPr>
          <w:ilvl w:val="0"/>
          <w:numId w:val="2"/>
        </w:numPr>
        <w:rPr>
          <w:lang w:val="en-GB"/>
        </w:rPr>
      </w:pPr>
      <w:r w:rsidRPr="00A935DE">
        <w:rPr>
          <w:lang w:val="en-GB"/>
        </w:rPr>
        <w:t>Department of Women's and Children's Health, Uppsala University, Sweden.</w:t>
      </w:r>
    </w:p>
    <w:p w14:paraId="27811698" w14:textId="77777777" w:rsidR="00A935DE" w:rsidRPr="00A935DE" w:rsidRDefault="00A935DE" w:rsidP="00A935DE">
      <w:pPr>
        <w:pStyle w:val="Liststycke"/>
        <w:numPr>
          <w:ilvl w:val="0"/>
          <w:numId w:val="2"/>
        </w:numPr>
        <w:rPr>
          <w:lang w:val="en-GB"/>
        </w:rPr>
      </w:pPr>
      <w:r w:rsidRPr="00A935DE">
        <w:rPr>
          <w:lang w:val="en-GB"/>
        </w:rPr>
        <w:t>Cognitive Neuroimaging Centre, Lee Kong Chien School of Medicine, Nanyang Technological University, Singapore.</w:t>
      </w:r>
    </w:p>
    <w:p w14:paraId="1E4C8031" w14:textId="77777777" w:rsidR="00A935DE" w:rsidRPr="00A935DE" w:rsidRDefault="00A935DE" w:rsidP="00A935DE">
      <w:pPr>
        <w:pStyle w:val="Liststycke"/>
        <w:numPr>
          <w:ilvl w:val="0"/>
          <w:numId w:val="2"/>
        </w:numPr>
        <w:rPr>
          <w:lang w:val="en-GB"/>
        </w:rPr>
      </w:pPr>
      <w:r w:rsidRPr="00A935DE">
        <w:rPr>
          <w:lang w:val="en-GB"/>
        </w:rPr>
        <w:t>Section of Neurology, Department of Clinical Neuroscience, Karolinska Institutet, Sweden.</w:t>
      </w:r>
    </w:p>
    <w:p w14:paraId="77DE8966" w14:textId="77777777" w:rsidR="00A935DE" w:rsidRPr="00A935DE" w:rsidRDefault="00A935DE" w:rsidP="00A935DE">
      <w:pPr>
        <w:pStyle w:val="Liststycke"/>
        <w:numPr>
          <w:ilvl w:val="0"/>
          <w:numId w:val="2"/>
        </w:numPr>
        <w:rPr>
          <w:lang w:val="en-GB"/>
        </w:rPr>
      </w:pPr>
      <w:r w:rsidRPr="00A935DE">
        <w:rPr>
          <w:lang w:val="en-GB"/>
        </w:rPr>
        <w:t>Department of Neurology, University Hospital Marburg, Marburg, Germany.</w:t>
      </w:r>
    </w:p>
    <w:p w14:paraId="2F4A17B3" w14:textId="77777777" w:rsidR="00A935DE" w:rsidRPr="00A935DE" w:rsidRDefault="00A935DE" w:rsidP="00A935DE">
      <w:pPr>
        <w:pStyle w:val="Liststycke"/>
        <w:numPr>
          <w:ilvl w:val="0"/>
          <w:numId w:val="2"/>
        </w:numPr>
        <w:rPr>
          <w:lang w:val="en-GB"/>
        </w:rPr>
      </w:pPr>
      <w:r w:rsidRPr="00A935DE">
        <w:rPr>
          <w:lang w:val="en-GB"/>
        </w:rPr>
        <w:t>Division of Clinical Geriatrics, Center for Alzheimer's Research, Department of Neurobiology, Care Sciences, and Society, Karolinska Institutet, Stockholm, Sweden.</w:t>
      </w:r>
    </w:p>
    <w:p w14:paraId="487BFB6E" w14:textId="77777777" w:rsidR="00A935DE" w:rsidRPr="00A935DE" w:rsidRDefault="00A935DE" w:rsidP="00A935DE">
      <w:pPr>
        <w:pStyle w:val="Liststycke"/>
        <w:numPr>
          <w:ilvl w:val="0"/>
          <w:numId w:val="2"/>
        </w:numPr>
        <w:rPr>
          <w:lang w:val="en-GB"/>
        </w:rPr>
      </w:pPr>
      <w:r w:rsidRPr="00A935DE">
        <w:rPr>
          <w:lang w:val="en-GB"/>
        </w:rPr>
        <w:t>Department of Radiology, Mayo Clinic, Rochester, MN, USA.</w:t>
      </w:r>
    </w:p>
    <w:p w14:paraId="6EDD5FEB" w14:textId="0BD27BFD" w:rsidR="00B059A5" w:rsidRPr="00B059A5" w:rsidRDefault="00B059A5" w:rsidP="00A935DE">
      <w:pPr>
        <w:pStyle w:val="Liststycke"/>
        <w:rPr>
          <w:lang w:val="en-GB"/>
        </w:rPr>
      </w:pPr>
      <w:r>
        <w:br w:type="page"/>
      </w:r>
    </w:p>
    <w:p w14:paraId="0C796181" w14:textId="25F80290" w:rsidR="002C4763" w:rsidRDefault="006D67FC" w:rsidP="002C4763">
      <w:pPr>
        <w:pStyle w:val="Rubrik1"/>
      </w:pPr>
      <w:r>
        <w:lastRenderedPageBreak/>
        <w:t>Model coefficients from regression analysis</w:t>
      </w:r>
    </w:p>
    <w:p w14:paraId="7DB46DD3" w14:textId="46DE7C90" w:rsidR="002C4763" w:rsidRPr="002C4763" w:rsidRDefault="00825BEF" w:rsidP="002C4763">
      <w:pPr>
        <w:pStyle w:val="Rubrik2"/>
      </w:pPr>
      <w:r>
        <w:t xml:space="preserve">Regression coefficients for </w:t>
      </w:r>
      <w:r w:rsidR="002C4763">
        <w:t>group, age, sex, and cortical thickness</w:t>
      </w:r>
    </w:p>
    <w:p w14:paraId="43420FFD" w14:textId="189EBF91" w:rsidR="006D67FC" w:rsidRDefault="006D67FC" w:rsidP="001A5BBE">
      <w:pPr>
        <w:spacing w:line="360" w:lineRule="auto"/>
      </w:pPr>
      <w:r w:rsidRPr="00DB6706">
        <w:t xml:space="preserve">Table </w:t>
      </w:r>
      <w:r w:rsidR="00825BEF">
        <w:t>S</w:t>
      </w:r>
      <w:r w:rsidR="008215A5">
        <w:fldChar w:fldCharType="begin"/>
      </w:r>
      <w:r w:rsidR="008215A5">
        <w:instrText xml:space="preserve"> SEQ Table \* ARABIC </w:instrText>
      </w:r>
      <w:r w:rsidR="008215A5">
        <w:fldChar w:fldCharType="separate"/>
      </w:r>
      <w:r>
        <w:rPr>
          <w:noProof/>
        </w:rPr>
        <w:t>1</w:t>
      </w:r>
      <w:r w:rsidR="008215A5">
        <w:rPr>
          <w:noProof/>
        </w:rPr>
        <w:fldChar w:fldCharType="end"/>
      </w:r>
      <w:r w:rsidRPr="00DB6706">
        <w:t xml:space="preserve">: regression coefficients and 95% CI for the regression models of the sensorimotor signal features (Table 2) with Group, Age, Sex, and Cortical Thickness. Values in red indicate </w:t>
      </w:r>
      <w:r w:rsidR="002C5A01">
        <w:t>factors with Bayes Factor &gt; 3 in the model comparison</w:t>
      </w:r>
      <w:r w:rsidR="002C5A01" w:rsidRPr="00DB6706">
        <w:t xml:space="preserve"> </w:t>
      </w:r>
      <w:r w:rsidRPr="00DB6706">
        <w:t>(see main text). LL: lower limit, UL: upper limit.</w:t>
      </w:r>
    </w:p>
    <w:p w14:paraId="4C50AC32" w14:textId="5EEA33DB" w:rsidR="006D67FC" w:rsidRPr="006D67FC" w:rsidRDefault="001141A7" w:rsidP="001141A7">
      <w:pPr>
        <w:spacing w:line="360" w:lineRule="auto"/>
      </w:pPr>
      <w:r w:rsidRPr="001141A7">
        <w:drawing>
          <wp:inline distT="0" distB="0" distL="0" distR="0" wp14:anchorId="14B2A1AA" wp14:editId="1591B456">
            <wp:extent cx="6175452" cy="6228271"/>
            <wp:effectExtent l="0" t="0" r="0" b="0"/>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90565" cy="6243513"/>
                    </a:xfrm>
                    <a:prstGeom prst="rect">
                      <a:avLst/>
                    </a:prstGeom>
                    <a:noFill/>
                    <a:ln>
                      <a:noFill/>
                    </a:ln>
                  </pic:spPr>
                </pic:pic>
              </a:graphicData>
            </a:graphic>
          </wp:inline>
        </w:drawing>
      </w:r>
    </w:p>
    <w:p w14:paraId="52A6DCBB" w14:textId="77777777" w:rsidR="00487471" w:rsidRPr="00487471" w:rsidRDefault="00487471" w:rsidP="00487471"/>
    <w:p w14:paraId="666EC926" w14:textId="77777777" w:rsidR="00487471" w:rsidRDefault="00487471" w:rsidP="00487471">
      <w:pPr>
        <w:keepNext/>
        <w:jc w:val="center"/>
      </w:pPr>
      <w:r>
        <w:rPr>
          <w:noProof/>
          <w:lang w:eastAsia="en-GB"/>
        </w:rPr>
        <w:lastRenderedPageBreak/>
        <w:drawing>
          <wp:inline distT="0" distB="0" distL="0" distR="0" wp14:anchorId="0ADB8448" wp14:editId="226E6DF6">
            <wp:extent cx="5406288" cy="6756430"/>
            <wp:effectExtent l="0" t="0" r="4445" b="6350"/>
            <wp:docPr id="74" name="Bildobjekt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sd_age_plot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18944" cy="6772247"/>
                    </a:xfrm>
                    <a:prstGeom prst="rect">
                      <a:avLst/>
                    </a:prstGeom>
                  </pic:spPr>
                </pic:pic>
              </a:graphicData>
            </a:graphic>
          </wp:inline>
        </w:drawing>
      </w:r>
    </w:p>
    <w:p w14:paraId="4327A121" w14:textId="142B6BAA" w:rsidR="00487471" w:rsidRPr="00F53A15" w:rsidRDefault="00487471" w:rsidP="006D67FC">
      <w:pPr>
        <w:pStyle w:val="Beskrivning"/>
        <w:rPr>
          <w:lang w:val="en-GB"/>
        </w:rPr>
      </w:pPr>
      <w:r>
        <w:t xml:space="preserve">Figure </w:t>
      </w:r>
      <w:r w:rsidR="00825BEF">
        <w:t>S1</w:t>
      </w:r>
      <w:r>
        <w:t>: PSD feature over age for PD patients (blue) and healthy controls (red) split between females (solid lines) and males (dashed lines). The lines are the group-level predicted trends of the regression models. Shaded areas represent the 95% CI of th</w:t>
      </w:r>
      <w:bookmarkStart w:id="0" w:name="_GoBack"/>
      <w:bookmarkEnd w:id="0"/>
      <w:r>
        <w:t>e model prediction.</w:t>
      </w:r>
    </w:p>
    <w:p w14:paraId="625D3F29" w14:textId="77777777" w:rsidR="00487471" w:rsidRDefault="00487471" w:rsidP="00487471"/>
    <w:p w14:paraId="2E4CEF5F" w14:textId="77777777" w:rsidR="00487471" w:rsidRDefault="00487471" w:rsidP="00487471"/>
    <w:p w14:paraId="5887E36E" w14:textId="77777777" w:rsidR="00487471" w:rsidRDefault="00487471" w:rsidP="00487471">
      <w:pPr>
        <w:keepNext/>
        <w:jc w:val="center"/>
      </w:pPr>
      <w:r>
        <w:rPr>
          <w:noProof/>
          <w:lang w:eastAsia="en-GB"/>
        </w:rPr>
        <w:lastRenderedPageBreak/>
        <w:drawing>
          <wp:inline distT="0" distB="0" distL="0" distR="0" wp14:anchorId="017D4BDD" wp14:editId="759ED685">
            <wp:extent cx="5762445" cy="4801021"/>
            <wp:effectExtent l="0" t="0" r="0" b="0"/>
            <wp:docPr id="75" name="Bildobjekt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burst_age_plot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9904" cy="4807236"/>
                    </a:xfrm>
                    <a:prstGeom prst="rect">
                      <a:avLst/>
                    </a:prstGeom>
                  </pic:spPr>
                </pic:pic>
              </a:graphicData>
            </a:graphic>
          </wp:inline>
        </w:drawing>
      </w:r>
    </w:p>
    <w:p w14:paraId="7636BEB7" w14:textId="6CFD891B" w:rsidR="002C4763" w:rsidRDefault="00487471" w:rsidP="001A5BBE">
      <w:pPr>
        <w:pStyle w:val="Beskrivning"/>
      </w:pPr>
      <w:r>
        <w:t xml:space="preserve">Figure </w:t>
      </w:r>
      <w:r w:rsidR="00825BEF">
        <w:t>S</w:t>
      </w:r>
      <w:r>
        <w:fldChar w:fldCharType="begin"/>
      </w:r>
      <w:r>
        <w:instrText xml:space="preserve"> SEQ Figure \* ARABIC </w:instrText>
      </w:r>
      <w:r>
        <w:fldChar w:fldCharType="separate"/>
      </w:r>
      <w:r w:rsidR="006D67FC">
        <w:rPr>
          <w:noProof/>
        </w:rPr>
        <w:t>2</w:t>
      </w:r>
      <w:r>
        <w:rPr>
          <w:noProof/>
        </w:rPr>
        <w:fldChar w:fldCharType="end"/>
      </w:r>
      <w:r>
        <w:t>: Burst features over age for PD patients (blue) and healthy controls (red) split between females (solid lines) and males (dashed lines). The lines are the group-level predicted trends of the regression models. Shaded areas represent the 95% CI of the model prediction.</w:t>
      </w:r>
    </w:p>
    <w:p w14:paraId="5581C5FF" w14:textId="75832F9E" w:rsidR="001A5BBE" w:rsidRDefault="001A5BBE">
      <w:pPr>
        <w:rPr>
          <w:lang w:val="en-US"/>
        </w:rPr>
      </w:pPr>
      <w:r>
        <w:rPr>
          <w:lang w:val="en-US"/>
        </w:rPr>
        <w:br w:type="page"/>
      </w:r>
    </w:p>
    <w:p w14:paraId="71E3C626" w14:textId="50A4ABA9" w:rsidR="002C4763" w:rsidRDefault="002C4763" w:rsidP="002C4763">
      <w:pPr>
        <w:pStyle w:val="Rubrik2"/>
        <w:rPr>
          <w:lang w:val="en-US"/>
        </w:rPr>
      </w:pPr>
      <w:r>
        <w:rPr>
          <w:lang w:val="en-US"/>
        </w:rPr>
        <w:lastRenderedPageBreak/>
        <w:t xml:space="preserve">Regression </w:t>
      </w:r>
      <w:r w:rsidR="00825BEF">
        <w:rPr>
          <w:lang w:val="en-US"/>
        </w:rPr>
        <w:t xml:space="preserve">coefficients for </w:t>
      </w:r>
      <w:r w:rsidR="00825BEF">
        <w:t>clinical scores</w:t>
      </w:r>
    </w:p>
    <w:p w14:paraId="3EAB2ED8" w14:textId="39297E80" w:rsidR="00B059A5" w:rsidRDefault="00B059A5" w:rsidP="001A5BBE">
      <w:r w:rsidRPr="00DB6706">
        <w:t xml:space="preserve">Table </w:t>
      </w:r>
      <w:r w:rsidR="00825BEF">
        <w:t>S</w:t>
      </w:r>
      <w:r w:rsidR="008215A5">
        <w:fldChar w:fldCharType="begin"/>
      </w:r>
      <w:r w:rsidR="008215A5">
        <w:instrText xml:space="preserve"> SEQ Table \* ARABIC </w:instrText>
      </w:r>
      <w:r w:rsidR="008215A5">
        <w:fldChar w:fldCharType="separate"/>
      </w:r>
      <w:r w:rsidR="00825BEF">
        <w:rPr>
          <w:noProof/>
        </w:rPr>
        <w:t>2</w:t>
      </w:r>
      <w:r w:rsidR="008215A5">
        <w:rPr>
          <w:noProof/>
        </w:rPr>
        <w:fldChar w:fldCharType="end"/>
      </w:r>
      <w:r w:rsidRPr="00DB6706">
        <w:t>: Standardised regression coefficients (95% CI) for the six regression models on motor symptoms measured with the MDS-UPDRS-III. Values in bold indicate</w:t>
      </w:r>
      <w:r w:rsidR="002C5A01" w:rsidRPr="002C5A01">
        <w:t xml:space="preserve"> </w:t>
      </w:r>
      <w:r w:rsidR="002C5A01">
        <w:t>factors with Bayes Factor &gt; 3 in the model comparison</w:t>
      </w:r>
      <w:r w:rsidR="002C5A01" w:rsidRPr="00DB6706">
        <w:t>. LL: lower limit, UL: upper limit.</w:t>
      </w:r>
    </w:p>
    <w:p w14:paraId="4830FAD2" w14:textId="25225E41" w:rsidR="00B059A5" w:rsidRPr="00DB6706" w:rsidRDefault="001141A7" w:rsidP="00B059A5">
      <w:r w:rsidRPr="001141A7">
        <w:drawing>
          <wp:inline distT="0" distB="0" distL="0" distR="0" wp14:anchorId="689AE3EC" wp14:editId="32280392">
            <wp:extent cx="5760720" cy="7603467"/>
            <wp:effectExtent l="0" t="0" r="0" b="0"/>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7603467"/>
                    </a:xfrm>
                    <a:prstGeom prst="rect">
                      <a:avLst/>
                    </a:prstGeom>
                    <a:noFill/>
                    <a:ln>
                      <a:noFill/>
                    </a:ln>
                  </pic:spPr>
                </pic:pic>
              </a:graphicData>
            </a:graphic>
          </wp:inline>
        </w:drawing>
      </w:r>
    </w:p>
    <w:p w14:paraId="3C4387C9" w14:textId="77777777" w:rsidR="002C4763" w:rsidRPr="002C4763" w:rsidRDefault="002C4763" w:rsidP="002C4763">
      <w:pPr>
        <w:rPr>
          <w:lang w:val="en-US"/>
        </w:rPr>
      </w:pPr>
    </w:p>
    <w:p w14:paraId="11F7C2A4" w14:textId="5E3ADBB3" w:rsidR="00B059A5" w:rsidRDefault="00B059A5" w:rsidP="00B059A5">
      <w:pPr>
        <w:pStyle w:val="Rubrik1"/>
      </w:pPr>
      <w:r>
        <w:lastRenderedPageBreak/>
        <w:t xml:space="preserve"> Bayes factors</w:t>
      </w:r>
    </w:p>
    <w:p w14:paraId="019CB78F" w14:textId="19D21386" w:rsidR="001141A7" w:rsidRPr="00DE5CC1" w:rsidRDefault="00DE5CC1" w:rsidP="00DE5CC1">
      <w:pPr>
        <w:spacing w:line="360" w:lineRule="auto"/>
      </w:pPr>
      <w:r w:rsidRPr="00DE5CC1">
        <w:t>Table S</w:t>
      </w:r>
      <w:r>
        <w:t>3</w:t>
      </w:r>
      <w:r w:rsidRPr="00DE5CC1">
        <w:t xml:space="preserve">: </w:t>
      </w:r>
      <w:r>
        <w:t xml:space="preserve">Bayes factors </w:t>
      </w:r>
      <w:r w:rsidR="00532A7B">
        <w:t>for the analysis of the effect of</w:t>
      </w:r>
      <w:r w:rsidR="00532A7B" w:rsidRPr="00DE5CC1">
        <w:t xml:space="preserve"> Group, Age, Sex, and Cortical Thickness</w:t>
      </w:r>
      <w:r w:rsidR="00532A7B">
        <w:t xml:space="preserve"> on signal features (columns). BFs indicate </w:t>
      </w:r>
      <w:r>
        <w:t>comparisons for models with and without the factors in the rows</w:t>
      </w:r>
      <w:r w:rsidR="00532A7B">
        <w:t xml:space="preserve"> in descending order</w:t>
      </w:r>
      <w:r>
        <w:t>. Red numbers indicate BF above the threshold (BF &gt; 3) for substantial evidence for an effect</w:t>
      </w:r>
      <w:r w:rsidR="00532A7B">
        <w:t>. B</w:t>
      </w:r>
      <w:r>
        <w:t xml:space="preserve">lue numbers indicate BF below </w:t>
      </w:r>
      <w:r w:rsidRPr="00DE5CC1">
        <w:t>the threshold</w:t>
      </w:r>
      <w:r>
        <w:t xml:space="preserve"> (BF &lt; 1/3) for </w:t>
      </w:r>
      <w:r w:rsidRPr="00DE5CC1">
        <w:t>substantial evidence</w:t>
      </w:r>
      <w:r w:rsidR="00532A7B">
        <w:t xml:space="preserve"> for no effect. B</w:t>
      </w:r>
      <w:r>
        <w:t>lack numbers indicate BF in the inconclusive range (1/3 &lt; BF &lt; 3).</w:t>
      </w:r>
    </w:p>
    <w:p w14:paraId="0F297E71" w14:textId="102C4B49" w:rsidR="001A5BBE" w:rsidRPr="001A5BBE" w:rsidRDefault="009F49BA" w:rsidP="001A5BBE">
      <w:r w:rsidRPr="001141A7">
        <w:drawing>
          <wp:inline distT="0" distB="0" distL="0" distR="0" wp14:anchorId="0E50D656" wp14:editId="6E9F3CC3">
            <wp:extent cx="6245320" cy="2286000"/>
            <wp:effectExtent l="0" t="0" r="3175"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58008" cy="2290644"/>
                    </a:xfrm>
                    <a:prstGeom prst="rect">
                      <a:avLst/>
                    </a:prstGeom>
                    <a:noFill/>
                    <a:ln>
                      <a:noFill/>
                    </a:ln>
                  </pic:spPr>
                </pic:pic>
              </a:graphicData>
            </a:graphic>
          </wp:inline>
        </w:drawing>
      </w:r>
    </w:p>
    <w:p w14:paraId="14C45B43" w14:textId="77777777" w:rsidR="009F49BA" w:rsidRDefault="009F49BA" w:rsidP="00DE5CC1">
      <w:pPr>
        <w:spacing w:line="360" w:lineRule="auto"/>
      </w:pPr>
    </w:p>
    <w:p w14:paraId="0D043373" w14:textId="0734EF13" w:rsidR="00532A7B" w:rsidRPr="00DE5CC1" w:rsidRDefault="00532A7B" w:rsidP="00DE5CC1">
      <w:pPr>
        <w:spacing w:line="360" w:lineRule="auto"/>
      </w:pPr>
      <w:r w:rsidRPr="00DE5CC1">
        <w:t>Table S</w:t>
      </w:r>
      <w:r>
        <w:t>4</w:t>
      </w:r>
      <w:r w:rsidRPr="00DE5CC1">
        <w:t xml:space="preserve">: </w:t>
      </w:r>
      <w:r>
        <w:t xml:space="preserve">Bayes factors for the analysis of signal features on clinical ratings of motor symptoms in the PD group. BFs indicate comparisons for models with and without the factors in the rows in descending order. Red numbers indicate BF above the threshold (BF &gt; 3) for substantial evidence for an effect. Blue numbers indicate BF below </w:t>
      </w:r>
      <w:r w:rsidRPr="00DE5CC1">
        <w:t>the threshold</w:t>
      </w:r>
      <w:r>
        <w:t xml:space="preserve"> (BF &lt; 1/3) for </w:t>
      </w:r>
      <w:r w:rsidRPr="00DE5CC1">
        <w:t>substantial evidence</w:t>
      </w:r>
      <w:r>
        <w:t xml:space="preserve"> for no effect. Black numbers indicate BF in the inconclusive range (1/3 &lt; BF &lt; 3).</w:t>
      </w:r>
    </w:p>
    <w:p w14:paraId="438CDA78" w14:textId="7F8934D2" w:rsidR="001A5BBE" w:rsidRPr="00B059A5" w:rsidRDefault="001A5BBE" w:rsidP="00B059A5">
      <w:r w:rsidRPr="001A5BBE">
        <w:rPr>
          <w:noProof/>
          <w:lang w:eastAsia="en-GB"/>
        </w:rPr>
        <w:drawing>
          <wp:inline distT="0" distB="0" distL="0" distR="0" wp14:anchorId="07F2DF16" wp14:editId="1B30925E">
            <wp:extent cx="6205805" cy="2829464"/>
            <wp:effectExtent l="0" t="0" r="5080" b="9525"/>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15148" cy="2833724"/>
                    </a:xfrm>
                    <a:prstGeom prst="rect">
                      <a:avLst/>
                    </a:prstGeom>
                    <a:noFill/>
                    <a:ln>
                      <a:noFill/>
                    </a:ln>
                  </pic:spPr>
                </pic:pic>
              </a:graphicData>
            </a:graphic>
          </wp:inline>
        </w:drawing>
      </w:r>
    </w:p>
    <w:p w14:paraId="43EE8AFE" w14:textId="39FCE7C1" w:rsidR="007E3058" w:rsidRDefault="007E3058" w:rsidP="001A5BBE">
      <w:pPr>
        <w:pStyle w:val="Rubrik1"/>
      </w:pPr>
      <w:r>
        <w:lastRenderedPageBreak/>
        <w:t>Correlation between variables</w:t>
      </w:r>
    </w:p>
    <w:p w14:paraId="084B736B" w14:textId="167A062B" w:rsidR="007E3058" w:rsidRPr="00DB6706" w:rsidRDefault="007E3058" w:rsidP="001A5BBE">
      <w:r w:rsidRPr="00DB6706">
        <w:t xml:space="preserve">Table </w:t>
      </w:r>
      <w:r w:rsidR="008215A5">
        <w:fldChar w:fldCharType="begin"/>
      </w:r>
      <w:r w:rsidR="008215A5">
        <w:instrText xml:space="preserve"> SEQ Table \* ARABIC </w:instrText>
      </w:r>
      <w:r w:rsidR="008215A5">
        <w:fldChar w:fldCharType="separate"/>
      </w:r>
      <w:r w:rsidRPr="00DB6706">
        <w:rPr>
          <w:noProof/>
        </w:rPr>
        <w:t>5</w:t>
      </w:r>
      <w:r w:rsidR="008215A5">
        <w:rPr>
          <w:noProof/>
        </w:rPr>
        <w:fldChar w:fldCharType="end"/>
      </w:r>
      <w:r w:rsidRPr="00DB6706">
        <w:t xml:space="preserve">: Statistically significant </w:t>
      </w:r>
      <w:r w:rsidR="006B69CA">
        <w:t xml:space="preserve">(p &lt; 0.05) </w:t>
      </w:r>
      <w:r w:rsidRPr="00DB6706">
        <w:t>correlation coefficients between all main variables. Green colours indicate a positive correlation between variables, and red colours indicate a negative correlation between variables—the intensity of the colour scales with the correlation coefficient.</w:t>
      </w:r>
    </w:p>
    <w:p w14:paraId="51977E67" w14:textId="77777777" w:rsidR="007E3058" w:rsidRPr="00DB6706" w:rsidRDefault="007E3058" w:rsidP="007E3058">
      <w:pPr>
        <w:pStyle w:val="Beskrivning"/>
        <w:rPr>
          <w:lang w:val="en-GB"/>
        </w:rPr>
      </w:pPr>
      <w:r w:rsidRPr="00DB6706">
        <w:rPr>
          <w:noProof/>
          <w:lang w:val="en-GB" w:eastAsia="en-GB"/>
        </w:rPr>
        <w:drawing>
          <wp:inline distT="0" distB="0" distL="0" distR="0" wp14:anchorId="3BD9078A" wp14:editId="0D3518A1">
            <wp:extent cx="6098876" cy="5405202"/>
            <wp:effectExtent l="0" t="0" r="0" b="5080"/>
            <wp:docPr id="18" name="Bildobjekt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04677" cy="5410343"/>
                    </a:xfrm>
                    <a:prstGeom prst="rect">
                      <a:avLst/>
                    </a:prstGeom>
                    <a:noFill/>
                    <a:ln>
                      <a:noFill/>
                    </a:ln>
                  </pic:spPr>
                </pic:pic>
              </a:graphicData>
            </a:graphic>
          </wp:inline>
        </w:drawing>
      </w:r>
    </w:p>
    <w:p w14:paraId="3653A7AA" w14:textId="77777777" w:rsidR="007E3058" w:rsidRPr="007E3058" w:rsidRDefault="007E3058" w:rsidP="007E3058"/>
    <w:p w14:paraId="58843A69" w14:textId="63C1C341" w:rsidR="00BF0875" w:rsidRDefault="00BF0875" w:rsidP="00BF0875"/>
    <w:p w14:paraId="29465274" w14:textId="021ED63F" w:rsidR="007E3058" w:rsidRPr="00BF0875" w:rsidRDefault="007E3058" w:rsidP="00BF0875"/>
    <w:sectPr w:rsidR="007E3058" w:rsidRPr="00BF0875">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C2A8B0" w14:textId="77777777" w:rsidR="005173D6" w:rsidRDefault="005173D6" w:rsidP="00B059A5">
      <w:pPr>
        <w:spacing w:after="0" w:line="240" w:lineRule="auto"/>
      </w:pPr>
      <w:r>
        <w:separator/>
      </w:r>
    </w:p>
  </w:endnote>
  <w:endnote w:type="continuationSeparator" w:id="0">
    <w:p w14:paraId="66C6E093" w14:textId="77777777" w:rsidR="005173D6" w:rsidRDefault="005173D6" w:rsidP="00B05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8569304"/>
      <w:docPartObj>
        <w:docPartGallery w:val="Page Numbers (Bottom of Page)"/>
        <w:docPartUnique/>
      </w:docPartObj>
    </w:sdtPr>
    <w:sdtEndPr/>
    <w:sdtContent>
      <w:p w14:paraId="178C2B30" w14:textId="775BE115" w:rsidR="00B059A5" w:rsidRDefault="001141A7">
        <w:pPr>
          <w:pStyle w:val="Sidfot"/>
          <w:jc w:val="center"/>
        </w:pPr>
        <w:r>
          <w:t>S</w:t>
        </w:r>
        <w:r w:rsidR="00B059A5">
          <w:fldChar w:fldCharType="begin"/>
        </w:r>
        <w:r w:rsidR="00B059A5">
          <w:instrText>PAGE   \* MERGEFORMAT</w:instrText>
        </w:r>
        <w:r w:rsidR="00B059A5">
          <w:fldChar w:fldCharType="separate"/>
        </w:r>
        <w:r w:rsidR="009F49BA" w:rsidRPr="009F49BA">
          <w:rPr>
            <w:noProof/>
            <w:lang w:val="sv-SE"/>
          </w:rPr>
          <w:t>1</w:t>
        </w:r>
        <w:r w:rsidR="00B059A5">
          <w:fldChar w:fldCharType="end"/>
        </w:r>
      </w:p>
    </w:sdtContent>
  </w:sdt>
  <w:p w14:paraId="6702041F" w14:textId="77777777" w:rsidR="00B059A5" w:rsidRDefault="00B059A5">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D3010E" w14:textId="77777777" w:rsidR="005173D6" w:rsidRDefault="005173D6" w:rsidP="00B059A5">
      <w:pPr>
        <w:spacing w:after="0" w:line="240" w:lineRule="auto"/>
      </w:pPr>
      <w:r>
        <w:separator/>
      </w:r>
    </w:p>
  </w:footnote>
  <w:footnote w:type="continuationSeparator" w:id="0">
    <w:p w14:paraId="025D8F80" w14:textId="77777777" w:rsidR="005173D6" w:rsidRDefault="005173D6" w:rsidP="00B059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71770E"/>
    <w:multiLevelType w:val="hybridMultilevel"/>
    <w:tmpl w:val="2F36B7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0CF58AF"/>
    <w:multiLevelType w:val="multilevel"/>
    <w:tmpl w:val="041D0025"/>
    <w:lvl w:ilvl="0">
      <w:start w:val="1"/>
      <w:numFmt w:val="decimal"/>
      <w:pStyle w:val="Rubrik1"/>
      <w:lvlText w:val="%1"/>
      <w:lvlJc w:val="left"/>
      <w:pPr>
        <w:ind w:left="432" w:hanging="432"/>
      </w:pPr>
    </w:lvl>
    <w:lvl w:ilvl="1">
      <w:start w:val="1"/>
      <w:numFmt w:val="decimal"/>
      <w:pStyle w:val="Rubrik2"/>
      <w:lvlText w:val="%1.%2"/>
      <w:lvlJc w:val="left"/>
      <w:pPr>
        <w:ind w:left="576" w:hanging="576"/>
      </w:pPr>
    </w:lvl>
    <w:lvl w:ilvl="2">
      <w:start w:val="1"/>
      <w:numFmt w:val="decimal"/>
      <w:pStyle w:val="Rubrik3"/>
      <w:lvlText w:val="%1.%2.%3"/>
      <w:lvlJc w:val="left"/>
      <w:pPr>
        <w:ind w:left="720" w:hanging="720"/>
      </w:pPr>
    </w:lvl>
    <w:lvl w:ilvl="3">
      <w:start w:val="1"/>
      <w:numFmt w:val="decimal"/>
      <w:pStyle w:val="Rubrik4"/>
      <w:lvlText w:val="%1.%2.%3.%4"/>
      <w:lvlJc w:val="left"/>
      <w:pPr>
        <w:ind w:left="864" w:hanging="864"/>
      </w:pPr>
    </w:lvl>
    <w:lvl w:ilvl="4">
      <w:start w:val="1"/>
      <w:numFmt w:val="decimal"/>
      <w:pStyle w:val="Rubrik5"/>
      <w:lvlText w:val="%1.%2.%3.%4.%5"/>
      <w:lvlJc w:val="left"/>
      <w:pPr>
        <w:ind w:left="1008" w:hanging="1008"/>
      </w:pPr>
    </w:lvl>
    <w:lvl w:ilvl="5">
      <w:start w:val="1"/>
      <w:numFmt w:val="decimal"/>
      <w:pStyle w:val="Rubrik6"/>
      <w:lvlText w:val="%1.%2.%3.%4.%5.%6"/>
      <w:lvlJc w:val="left"/>
      <w:pPr>
        <w:ind w:left="1152" w:hanging="1152"/>
      </w:pPr>
    </w:lvl>
    <w:lvl w:ilvl="6">
      <w:start w:val="1"/>
      <w:numFmt w:val="decimal"/>
      <w:pStyle w:val="Rubrik7"/>
      <w:lvlText w:val="%1.%2.%3.%4.%5.%6.%7"/>
      <w:lvlJc w:val="left"/>
      <w:pPr>
        <w:ind w:left="1296" w:hanging="1296"/>
      </w:pPr>
    </w:lvl>
    <w:lvl w:ilvl="7">
      <w:start w:val="1"/>
      <w:numFmt w:val="decimal"/>
      <w:pStyle w:val="Rubrik8"/>
      <w:lvlText w:val="%1.%2.%3.%4.%5.%6.%7.%8"/>
      <w:lvlJc w:val="left"/>
      <w:pPr>
        <w:ind w:left="1440" w:hanging="1440"/>
      </w:pPr>
    </w:lvl>
    <w:lvl w:ilvl="8">
      <w:start w:val="1"/>
      <w:numFmt w:val="decimal"/>
      <w:pStyle w:val="Rubrik9"/>
      <w:lvlText w:val="%1.%2.%3.%4.%5.%6.%7.%8.%9"/>
      <w:lvlJc w:val="left"/>
      <w:pPr>
        <w:ind w:left="1584" w:hanging="1584"/>
      </w:pPr>
    </w:lvl>
  </w:abstractNum>
  <w:abstractNum w:abstractNumId="2" w15:restartNumberingAfterBreak="0">
    <w:nsid w:val="5C7A6F57"/>
    <w:multiLevelType w:val="hybridMultilevel"/>
    <w:tmpl w:val="7F16D046"/>
    <w:lvl w:ilvl="0" w:tplc="B8B8EB58">
      <w:numFmt w:val="bullet"/>
      <w:lvlText w:val=""/>
      <w:lvlJc w:val="left"/>
      <w:pPr>
        <w:ind w:left="1080" w:hanging="360"/>
      </w:pPr>
      <w:rPr>
        <w:rFonts w:ascii="Symbol" w:eastAsiaTheme="minorHAnsi" w:hAnsi="Symbol"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xNzU3MzMzNDIyMrBQ0lEKTi0uzszPAykwrwUARA9pbywAAAA="/>
  </w:docVars>
  <w:rsids>
    <w:rsidRoot w:val="00487471"/>
    <w:rsid w:val="000047A6"/>
    <w:rsid w:val="00026633"/>
    <w:rsid w:val="00040927"/>
    <w:rsid w:val="000437BE"/>
    <w:rsid w:val="00054163"/>
    <w:rsid w:val="0006097C"/>
    <w:rsid w:val="00060EA4"/>
    <w:rsid w:val="00072710"/>
    <w:rsid w:val="000734E8"/>
    <w:rsid w:val="00076E5A"/>
    <w:rsid w:val="00080AF5"/>
    <w:rsid w:val="000C2D81"/>
    <w:rsid w:val="000D546A"/>
    <w:rsid w:val="000E6164"/>
    <w:rsid w:val="00103D03"/>
    <w:rsid w:val="001141A7"/>
    <w:rsid w:val="001358DE"/>
    <w:rsid w:val="0014372C"/>
    <w:rsid w:val="00144837"/>
    <w:rsid w:val="00151810"/>
    <w:rsid w:val="00152EDA"/>
    <w:rsid w:val="001545BD"/>
    <w:rsid w:val="00174471"/>
    <w:rsid w:val="00180E8B"/>
    <w:rsid w:val="001A5BBE"/>
    <w:rsid w:val="001B3620"/>
    <w:rsid w:val="001B40CA"/>
    <w:rsid w:val="001C73E7"/>
    <w:rsid w:val="001E2FD5"/>
    <w:rsid w:val="00206C49"/>
    <w:rsid w:val="00227D04"/>
    <w:rsid w:val="00235ED8"/>
    <w:rsid w:val="00242D8A"/>
    <w:rsid w:val="0024358B"/>
    <w:rsid w:val="00245A12"/>
    <w:rsid w:val="00247460"/>
    <w:rsid w:val="00271899"/>
    <w:rsid w:val="002C4763"/>
    <w:rsid w:val="002C5A01"/>
    <w:rsid w:val="002C7E6F"/>
    <w:rsid w:val="002E1888"/>
    <w:rsid w:val="002E6EA6"/>
    <w:rsid w:val="002F171C"/>
    <w:rsid w:val="00314A96"/>
    <w:rsid w:val="00333320"/>
    <w:rsid w:val="003562B9"/>
    <w:rsid w:val="003566F8"/>
    <w:rsid w:val="003820ED"/>
    <w:rsid w:val="003B095D"/>
    <w:rsid w:val="003B129E"/>
    <w:rsid w:val="003B19CA"/>
    <w:rsid w:val="003C11FF"/>
    <w:rsid w:val="003C2BEC"/>
    <w:rsid w:val="003E65D4"/>
    <w:rsid w:val="004046C2"/>
    <w:rsid w:val="00423751"/>
    <w:rsid w:val="00441DAD"/>
    <w:rsid w:val="00453545"/>
    <w:rsid w:val="00472CB0"/>
    <w:rsid w:val="00487471"/>
    <w:rsid w:val="0049240C"/>
    <w:rsid w:val="004B4201"/>
    <w:rsid w:val="004B7A26"/>
    <w:rsid w:val="004C5501"/>
    <w:rsid w:val="004D251D"/>
    <w:rsid w:val="004F35F3"/>
    <w:rsid w:val="005173D6"/>
    <w:rsid w:val="0052485D"/>
    <w:rsid w:val="00532A7B"/>
    <w:rsid w:val="0054053D"/>
    <w:rsid w:val="00540738"/>
    <w:rsid w:val="00563335"/>
    <w:rsid w:val="005673DA"/>
    <w:rsid w:val="00570C71"/>
    <w:rsid w:val="00576103"/>
    <w:rsid w:val="005B2E10"/>
    <w:rsid w:val="005C1E91"/>
    <w:rsid w:val="005D03C3"/>
    <w:rsid w:val="005D0F36"/>
    <w:rsid w:val="005E4F2B"/>
    <w:rsid w:val="005E73FD"/>
    <w:rsid w:val="005F7E4B"/>
    <w:rsid w:val="00625053"/>
    <w:rsid w:val="00636EB5"/>
    <w:rsid w:val="006600CD"/>
    <w:rsid w:val="00660CD2"/>
    <w:rsid w:val="00666CEC"/>
    <w:rsid w:val="00676E6E"/>
    <w:rsid w:val="00684E34"/>
    <w:rsid w:val="00692E4D"/>
    <w:rsid w:val="00694798"/>
    <w:rsid w:val="00696B5D"/>
    <w:rsid w:val="006B269A"/>
    <w:rsid w:val="006B69CA"/>
    <w:rsid w:val="006D67FC"/>
    <w:rsid w:val="006E5EED"/>
    <w:rsid w:val="006F19C8"/>
    <w:rsid w:val="006F7A39"/>
    <w:rsid w:val="00705B13"/>
    <w:rsid w:val="007134EA"/>
    <w:rsid w:val="00743980"/>
    <w:rsid w:val="007710C4"/>
    <w:rsid w:val="007761CC"/>
    <w:rsid w:val="007817E4"/>
    <w:rsid w:val="007A7000"/>
    <w:rsid w:val="007A7E9D"/>
    <w:rsid w:val="007B2444"/>
    <w:rsid w:val="007C1CA0"/>
    <w:rsid w:val="007D00E5"/>
    <w:rsid w:val="007D0E92"/>
    <w:rsid w:val="007E2FE4"/>
    <w:rsid w:val="007E3058"/>
    <w:rsid w:val="007F4F0E"/>
    <w:rsid w:val="008215A5"/>
    <w:rsid w:val="00825BEF"/>
    <w:rsid w:val="0084253D"/>
    <w:rsid w:val="008633F6"/>
    <w:rsid w:val="00871BFA"/>
    <w:rsid w:val="008752CE"/>
    <w:rsid w:val="00875F57"/>
    <w:rsid w:val="00890229"/>
    <w:rsid w:val="00895C52"/>
    <w:rsid w:val="008C1230"/>
    <w:rsid w:val="008C3181"/>
    <w:rsid w:val="008D3D80"/>
    <w:rsid w:val="008E371E"/>
    <w:rsid w:val="008F3052"/>
    <w:rsid w:val="008F66BB"/>
    <w:rsid w:val="009023DD"/>
    <w:rsid w:val="00903576"/>
    <w:rsid w:val="00911F68"/>
    <w:rsid w:val="009368D8"/>
    <w:rsid w:val="0094311B"/>
    <w:rsid w:val="00943769"/>
    <w:rsid w:val="00961C2A"/>
    <w:rsid w:val="00994E4F"/>
    <w:rsid w:val="009A7F3F"/>
    <w:rsid w:val="009D128E"/>
    <w:rsid w:val="009F49BA"/>
    <w:rsid w:val="00A01492"/>
    <w:rsid w:val="00A30942"/>
    <w:rsid w:val="00A33D7F"/>
    <w:rsid w:val="00A70A78"/>
    <w:rsid w:val="00A807DF"/>
    <w:rsid w:val="00A85033"/>
    <w:rsid w:val="00A935DE"/>
    <w:rsid w:val="00AC65A7"/>
    <w:rsid w:val="00AF0A8D"/>
    <w:rsid w:val="00AF69AE"/>
    <w:rsid w:val="00B02FE9"/>
    <w:rsid w:val="00B059A5"/>
    <w:rsid w:val="00B300E7"/>
    <w:rsid w:val="00B47051"/>
    <w:rsid w:val="00B60E07"/>
    <w:rsid w:val="00B777AF"/>
    <w:rsid w:val="00B82BFD"/>
    <w:rsid w:val="00BD0D4F"/>
    <w:rsid w:val="00BF0875"/>
    <w:rsid w:val="00BF25B6"/>
    <w:rsid w:val="00C26568"/>
    <w:rsid w:val="00C322F1"/>
    <w:rsid w:val="00C416F5"/>
    <w:rsid w:val="00C44062"/>
    <w:rsid w:val="00C63B6C"/>
    <w:rsid w:val="00C84069"/>
    <w:rsid w:val="00CB2818"/>
    <w:rsid w:val="00CD3D83"/>
    <w:rsid w:val="00CE5A39"/>
    <w:rsid w:val="00D03C05"/>
    <w:rsid w:val="00D371BA"/>
    <w:rsid w:val="00D40198"/>
    <w:rsid w:val="00D51ADA"/>
    <w:rsid w:val="00D5373E"/>
    <w:rsid w:val="00D67AEB"/>
    <w:rsid w:val="00D86406"/>
    <w:rsid w:val="00D91503"/>
    <w:rsid w:val="00D95B9B"/>
    <w:rsid w:val="00DA035C"/>
    <w:rsid w:val="00DB2FA2"/>
    <w:rsid w:val="00DB5820"/>
    <w:rsid w:val="00DB7F54"/>
    <w:rsid w:val="00DD2179"/>
    <w:rsid w:val="00DD4A56"/>
    <w:rsid w:val="00DE3C91"/>
    <w:rsid w:val="00DE5CC1"/>
    <w:rsid w:val="00DE63CD"/>
    <w:rsid w:val="00E03BCF"/>
    <w:rsid w:val="00E127F0"/>
    <w:rsid w:val="00E16665"/>
    <w:rsid w:val="00E277FE"/>
    <w:rsid w:val="00E414A6"/>
    <w:rsid w:val="00E4193B"/>
    <w:rsid w:val="00E41AD7"/>
    <w:rsid w:val="00E47EBC"/>
    <w:rsid w:val="00E67279"/>
    <w:rsid w:val="00E725C1"/>
    <w:rsid w:val="00E756CA"/>
    <w:rsid w:val="00E83E18"/>
    <w:rsid w:val="00EA3121"/>
    <w:rsid w:val="00EA4EFE"/>
    <w:rsid w:val="00EA50A3"/>
    <w:rsid w:val="00EB35BC"/>
    <w:rsid w:val="00EE616E"/>
    <w:rsid w:val="00EF2210"/>
    <w:rsid w:val="00F1338E"/>
    <w:rsid w:val="00F2101E"/>
    <w:rsid w:val="00F37ABD"/>
    <w:rsid w:val="00F40517"/>
    <w:rsid w:val="00F471BB"/>
    <w:rsid w:val="00F47E96"/>
    <w:rsid w:val="00F5021C"/>
    <w:rsid w:val="00F51591"/>
    <w:rsid w:val="00F75BF8"/>
    <w:rsid w:val="00FA7849"/>
    <w:rsid w:val="00FB778B"/>
    <w:rsid w:val="00FD032A"/>
    <w:rsid w:val="00FD5C9C"/>
    <w:rsid w:val="00FD64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BA6AC"/>
  <w15:chartTrackingRefBased/>
  <w15:docId w15:val="{27CCB042-961B-4CC4-8791-401E0F652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Rubrik1">
    <w:name w:val="heading 1"/>
    <w:basedOn w:val="Normal"/>
    <w:next w:val="Normal"/>
    <w:link w:val="Rubrik1Char"/>
    <w:uiPriority w:val="9"/>
    <w:qFormat/>
    <w:rsid w:val="006D67FC"/>
    <w:pPr>
      <w:keepNext/>
      <w:keepLines/>
      <w:numPr>
        <w:numId w:val="1"/>
      </w:numPr>
      <w:spacing w:before="240" w:after="0"/>
      <w:outlineLvl w:val="0"/>
    </w:pPr>
    <w:rPr>
      <w:rFonts w:asciiTheme="majorHAnsi" w:eastAsiaTheme="majorEastAsia" w:hAnsiTheme="majorHAnsi" w:cstheme="majorBidi"/>
      <w:color w:val="2E74B5" w:themeColor="accent1" w:themeShade="BF"/>
      <w:sz w:val="32"/>
      <w:szCs w:val="32"/>
    </w:rPr>
  </w:style>
  <w:style w:type="paragraph" w:styleId="Rubrik2">
    <w:name w:val="heading 2"/>
    <w:basedOn w:val="Normal"/>
    <w:next w:val="Normal"/>
    <w:link w:val="Rubrik2Char"/>
    <w:uiPriority w:val="9"/>
    <w:unhideWhenUsed/>
    <w:qFormat/>
    <w:rsid w:val="006D67FC"/>
    <w:pPr>
      <w:keepNext/>
      <w:keepLines/>
      <w:numPr>
        <w:ilvl w:val="1"/>
        <w:numId w:val="1"/>
      </w:numPr>
      <w:spacing w:before="40" w:after="0"/>
      <w:outlineLvl w:val="1"/>
    </w:pPr>
    <w:rPr>
      <w:rFonts w:asciiTheme="majorHAnsi" w:eastAsiaTheme="majorEastAsia" w:hAnsiTheme="majorHAnsi" w:cstheme="majorBidi"/>
      <w:color w:val="2E74B5" w:themeColor="accent1" w:themeShade="BF"/>
      <w:sz w:val="26"/>
      <w:szCs w:val="26"/>
    </w:rPr>
  </w:style>
  <w:style w:type="paragraph" w:styleId="Rubrik3">
    <w:name w:val="heading 3"/>
    <w:basedOn w:val="Normal"/>
    <w:next w:val="Normal"/>
    <w:link w:val="Rubrik3Char"/>
    <w:uiPriority w:val="9"/>
    <w:semiHidden/>
    <w:unhideWhenUsed/>
    <w:qFormat/>
    <w:rsid w:val="006D67FC"/>
    <w:pPr>
      <w:keepNext/>
      <w:keepLines/>
      <w:numPr>
        <w:ilvl w:val="2"/>
        <w:numId w:val="1"/>
      </w:numPr>
      <w:spacing w:before="40" w:after="0"/>
      <w:outlineLvl w:val="2"/>
    </w:pPr>
    <w:rPr>
      <w:rFonts w:asciiTheme="majorHAnsi" w:eastAsiaTheme="majorEastAsia" w:hAnsiTheme="majorHAnsi" w:cstheme="majorBidi"/>
      <w:color w:val="1F4D78" w:themeColor="accent1" w:themeShade="7F"/>
      <w:sz w:val="24"/>
      <w:szCs w:val="24"/>
    </w:rPr>
  </w:style>
  <w:style w:type="paragraph" w:styleId="Rubrik4">
    <w:name w:val="heading 4"/>
    <w:basedOn w:val="Normal"/>
    <w:next w:val="Normal"/>
    <w:link w:val="Rubrik4Char"/>
    <w:uiPriority w:val="9"/>
    <w:semiHidden/>
    <w:unhideWhenUsed/>
    <w:qFormat/>
    <w:rsid w:val="006D67FC"/>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Rubrik5">
    <w:name w:val="heading 5"/>
    <w:basedOn w:val="Normal"/>
    <w:next w:val="Normal"/>
    <w:link w:val="Rubrik5Char"/>
    <w:uiPriority w:val="9"/>
    <w:semiHidden/>
    <w:unhideWhenUsed/>
    <w:qFormat/>
    <w:rsid w:val="006D67FC"/>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Rubrik6">
    <w:name w:val="heading 6"/>
    <w:basedOn w:val="Normal"/>
    <w:next w:val="Normal"/>
    <w:link w:val="Rubrik6Char"/>
    <w:uiPriority w:val="9"/>
    <w:semiHidden/>
    <w:unhideWhenUsed/>
    <w:qFormat/>
    <w:rsid w:val="006D67FC"/>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Rubrik7">
    <w:name w:val="heading 7"/>
    <w:basedOn w:val="Normal"/>
    <w:next w:val="Normal"/>
    <w:link w:val="Rubrik7Char"/>
    <w:uiPriority w:val="9"/>
    <w:semiHidden/>
    <w:unhideWhenUsed/>
    <w:qFormat/>
    <w:rsid w:val="006D67FC"/>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Rubrik8">
    <w:name w:val="heading 8"/>
    <w:basedOn w:val="Normal"/>
    <w:next w:val="Normal"/>
    <w:link w:val="Rubrik8Char"/>
    <w:uiPriority w:val="9"/>
    <w:semiHidden/>
    <w:unhideWhenUsed/>
    <w:qFormat/>
    <w:rsid w:val="006D67FC"/>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Rubrik9">
    <w:name w:val="heading 9"/>
    <w:basedOn w:val="Normal"/>
    <w:next w:val="Normal"/>
    <w:link w:val="Rubrik9Char"/>
    <w:uiPriority w:val="9"/>
    <w:semiHidden/>
    <w:unhideWhenUsed/>
    <w:qFormat/>
    <w:rsid w:val="006D67FC"/>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Rubrik">
    <w:name w:val="Title"/>
    <w:basedOn w:val="Normal"/>
    <w:next w:val="Normal"/>
    <w:link w:val="RubrikChar"/>
    <w:uiPriority w:val="10"/>
    <w:qFormat/>
    <w:rsid w:val="0048747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487471"/>
    <w:rPr>
      <w:rFonts w:asciiTheme="majorHAnsi" w:eastAsiaTheme="majorEastAsia" w:hAnsiTheme="majorHAnsi" w:cstheme="majorBidi"/>
      <w:spacing w:val="-10"/>
      <w:kern w:val="28"/>
      <w:sz w:val="56"/>
      <w:szCs w:val="56"/>
    </w:rPr>
  </w:style>
  <w:style w:type="paragraph" w:styleId="Beskrivning">
    <w:name w:val="caption"/>
    <w:basedOn w:val="Normal"/>
    <w:next w:val="Normal"/>
    <w:autoRedefine/>
    <w:uiPriority w:val="35"/>
    <w:unhideWhenUsed/>
    <w:qFormat/>
    <w:rsid w:val="006D67FC"/>
    <w:pPr>
      <w:keepNext/>
      <w:spacing w:before="240" w:after="200" w:line="276" w:lineRule="auto"/>
    </w:pPr>
    <w:rPr>
      <w:i/>
      <w:iCs/>
      <w:szCs w:val="18"/>
      <w:lang w:val="en-US"/>
    </w:rPr>
  </w:style>
  <w:style w:type="character" w:styleId="Kommentarsreferens">
    <w:name w:val="annotation reference"/>
    <w:basedOn w:val="Standardstycketeckensnitt"/>
    <w:uiPriority w:val="99"/>
    <w:semiHidden/>
    <w:unhideWhenUsed/>
    <w:rsid w:val="00487471"/>
    <w:rPr>
      <w:sz w:val="16"/>
      <w:szCs w:val="16"/>
    </w:rPr>
  </w:style>
  <w:style w:type="paragraph" w:styleId="Kommentarer">
    <w:name w:val="annotation text"/>
    <w:basedOn w:val="Normal"/>
    <w:link w:val="KommentarerChar"/>
    <w:uiPriority w:val="99"/>
    <w:unhideWhenUsed/>
    <w:rsid w:val="00487471"/>
    <w:pPr>
      <w:spacing w:line="276" w:lineRule="auto"/>
    </w:pPr>
    <w:rPr>
      <w:sz w:val="20"/>
      <w:szCs w:val="20"/>
      <w:lang w:val="en-US"/>
    </w:rPr>
  </w:style>
  <w:style w:type="character" w:customStyle="1" w:styleId="KommentarerChar">
    <w:name w:val="Kommentarer Char"/>
    <w:basedOn w:val="Standardstycketeckensnitt"/>
    <w:link w:val="Kommentarer"/>
    <w:uiPriority w:val="99"/>
    <w:rsid w:val="00487471"/>
    <w:rPr>
      <w:sz w:val="20"/>
      <w:szCs w:val="20"/>
      <w:lang w:val="en-US"/>
    </w:rPr>
  </w:style>
  <w:style w:type="paragraph" w:styleId="Ballongtext">
    <w:name w:val="Balloon Text"/>
    <w:basedOn w:val="Normal"/>
    <w:link w:val="BallongtextChar"/>
    <w:uiPriority w:val="99"/>
    <w:semiHidden/>
    <w:unhideWhenUsed/>
    <w:rsid w:val="00487471"/>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487471"/>
    <w:rPr>
      <w:rFonts w:ascii="Segoe UI" w:hAnsi="Segoe UI" w:cs="Segoe UI"/>
      <w:sz w:val="18"/>
      <w:szCs w:val="18"/>
    </w:rPr>
  </w:style>
  <w:style w:type="character" w:customStyle="1" w:styleId="Rubrik2Char">
    <w:name w:val="Rubrik 2 Char"/>
    <w:basedOn w:val="Standardstycketeckensnitt"/>
    <w:link w:val="Rubrik2"/>
    <w:uiPriority w:val="9"/>
    <w:rsid w:val="006D67FC"/>
    <w:rPr>
      <w:rFonts w:asciiTheme="majorHAnsi" w:eastAsiaTheme="majorEastAsia" w:hAnsiTheme="majorHAnsi" w:cstheme="majorBidi"/>
      <w:color w:val="2E74B5" w:themeColor="accent1" w:themeShade="BF"/>
      <w:sz w:val="26"/>
      <w:szCs w:val="26"/>
    </w:rPr>
  </w:style>
  <w:style w:type="character" w:customStyle="1" w:styleId="Rubrik1Char">
    <w:name w:val="Rubrik 1 Char"/>
    <w:basedOn w:val="Standardstycketeckensnitt"/>
    <w:link w:val="Rubrik1"/>
    <w:uiPriority w:val="9"/>
    <w:rsid w:val="006D67FC"/>
    <w:rPr>
      <w:rFonts w:asciiTheme="majorHAnsi" w:eastAsiaTheme="majorEastAsia" w:hAnsiTheme="majorHAnsi" w:cstheme="majorBidi"/>
      <w:color w:val="2E74B5" w:themeColor="accent1" w:themeShade="BF"/>
      <w:sz w:val="32"/>
      <w:szCs w:val="32"/>
    </w:rPr>
  </w:style>
  <w:style w:type="character" w:customStyle="1" w:styleId="Rubrik3Char">
    <w:name w:val="Rubrik 3 Char"/>
    <w:basedOn w:val="Standardstycketeckensnitt"/>
    <w:link w:val="Rubrik3"/>
    <w:uiPriority w:val="9"/>
    <w:semiHidden/>
    <w:rsid w:val="006D67FC"/>
    <w:rPr>
      <w:rFonts w:asciiTheme="majorHAnsi" w:eastAsiaTheme="majorEastAsia" w:hAnsiTheme="majorHAnsi" w:cstheme="majorBidi"/>
      <w:color w:val="1F4D78" w:themeColor="accent1" w:themeShade="7F"/>
      <w:sz w:val="24"/>
      <w:szCs w:val="24"/>
    </w:rPr>
  </w:style>
  <w:style w:type="character" w:customStyle="1" w:styleId="Rubrik4Char">
    <w:name w:val="Rubrik 4 Char"/>
    <w:basedOn w:val="Standardstycketeckensnitt"/>
    <w:link w:val="Rubrik4"/>
    <w:uiPriority w:val="9"/>
    <w:semiHidden/>
    <w:rsid w:val="006D67FC"/>
    <w:rPr>
      <w:rFonts w:asciiTheme="majorHAnsi" w:eastAsiaTheme="majorEastAsia" w:hAnsiTheme="majorHAnsi" w:cstheme="majorBidi"/>
      <w:i/>
      <w:iCs/>
      <w:color w:val="2E74B5" w:themeColor="accent1" w:themeShade="BF"/>
    </w:rPr>
  </w:style>
  <w:style w:type="character" w:customStyle="1" w:styleId="Rubrik5Char">
    <w:name w:val="Rubrik 5 Char"/>
    <w:basedOn w:val="Standardstycketeckensnitt"/>
    <w:link w:val="Rubrik5"/>
    <w:uiPriority w:val="9"/>
    <w:semiHidden/>
    <w:rsid w:val="006D67FC"/>
    <w:rPr>
      <w:rFonts w:asciiTheme="majorHAnsi" w:eastAsiaTheme="majorEastAsia" w:hAnsiTheme="majorHAnsi" w:cstheme="majorBidi"/>
      <w:color w:val="2E74B5" w:themeColor="accent1" w:themeShade="BF"/>
    </w:rPr>
  </w:style>
  <w:style w:type="character" w:customStyle="1" w:styleId="Rubrik6Char">
    <w:name w:val="Rubrik 6 Char"/>
    <w:basedOn w:val="Standardstycketeckensnitt"/>
    <w:link w:val="Rubrik6"/>
    <w:uiPriority w:val="9"/>
    <w:semiHidden/>
    <w:rsid w:val="006D67FC"/>
    <w:rPr>
      <w:rFonts w:asciiTheme="majorHAnsi" w:eastAsiaTheme="majorEastAsia" w:hAnsiTheme="majorHAnsi" w:cstheme="majorBidi"/>
      <w:color w:val="1F4D78" w:themeColor="accent1" w:themeShade="7F"/>
    </w:rPr>
  </w:style>
  <w:style w:type="character" w:customStyle="1" w:styleId="Rubrik7Char">
    <w:name w:val="Rubrik 7 Char"/>
    <w:basedOn w:val="Standardstycketeckensnitt"/>
    <w:link w:val="Rubrik7"/>
    <w:uiPriority w:val="9"/>
    <w:semiHidden/>
    <w:rsid w:val="006D67FC"/>
    <w:rPr>
      <w:rFonts w:asciiTheme="majorHAnsi" w:eastAsiaTheme="majorEastAsia" w:hAnsiTheme="majorHAnsi" w:cstheme="majorBidi"/>
      <w:i/>
      <w:iCs/>
      <w:color w:val="1F4D78" w:themeColor="accent1" w:themeShade="7F"/>
    </w:rPr>
  </w:style>
  <w:style w:type="character" w:customStyle="1" w:styleId="Rubrik8Char">
    <w:name w:val="Rubrik 8 Char"/>
    <w:basedOn w:val="Standardstycketeckensnitt"/>
    <w:link w:val="Rubrik8"/>
    <w:uiPriority w:val="9"/>
    <w:semiHidden/>
    <w:rsid w:val="006D67FC"/>
    <w:rPr>
      <w:rFonts w:asciiTheme="majorHAnsi" w:eastAsiaTheme="majorEastAsia" w:hAnsiTheme="majorHAnsi" w:cstheme="majorBidi"/>
      <w:color w:val="272727" w:themeColor="text1" w:themeTint="D8"/>
      <w:sz w:val="21"/>
      <w:szCs w:val="21"/>
    </w:rPr>
  </w:style>
  <w:style w:type="character" w:customStyle="1" w:styleId="Rubrik9Char">
    <w:name w:val="Rubrik 9 Char"/>
    <w:basedOn w:val="Standardstycketeckensnitt"/>
    <w:link w:val="Rubrik9"/>
    <w:uiPriority w:val="9"/>
    <w:semiHidden/>
    <w:rsid w:val="006D67FC"/>
    <w:rPr>
      <w:rFonts w:asciiTheme="majorHAnsi" w:eastAsiaTheme="majorEastAsia" w:hAnsiTheme="majorHAnsi" w:cstheme="majorBidi"/>
      <w:i/>
      <w:iCs/>
      <w:color w:val="272727" w:themeColor="text1" w:themeTint="D8"/>
      <w:sz w:val="21"/>
      <w:szCs w:val="21"/>
    </w:rPr>
  </w:style>
  <w:style w:type="paragraph" w:styleId="Sidhuvud">
    <w:name w:val="header"/>
    <w:basedOn w:val="Normal"/>
    <w:link w:val="SidhuvudChar"/>
    <w:uiPriority w:val="99"/>
    <w:unhideWhenUsed/>
    <w:rsid w:val="00B059A5"/>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B059A5"/>
  </w:style>
  <w:style w:type="paragraph" w:styleId="Sidfot">
    <w:name w:val="footer"/>
    <w:basedOn w:val="Normal"/>
    <w:link w:val="SidfotChar"/>
    <w:uiPriority w:val="99"/>
    <w:unhideWhenUsed/>
    <w:rsid w:val="00B059A5"/>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B059A5"/>
  </w:style>
  <w:style w:type="paragraph" w:styleId="Liststycke">
    <w:name w:val="List Paragraph"/>
    <w:basedOn w:val="Normal"/>
    <w:uiPriority w:val="34"/>
    <w:qFormat/>
    <w:rsid w:val="00B059A5"/>
    <w:pPr>
      <w:spacing w:before="120" w:after="120" w:line="480" w:lineRule="auto"/>
      <w:ind w:left="720"/>
      <w:contextualSpacing/>
    </w:pPr>
    <w:rPr>
      <w:rFonts w:ascii="Times New Roman" w:eastAsia="Times New Roman" w:hAnsi="Times New Roman" w:cs="Times New Roman"/>
      <w:sz w:val="24"/>
      <w:szCs w:val="24"/>
      <w:lang w:val="da-DK" w:eastAsia="da-DK"/>
    </w:rPr>
  </w:style>
  <w:style w:type="paragraph" w:styleId="Kommentarsmne">
    <w:name w:val="annotation subject"/>
    <w:basedOn w:val="Kommentarer"/>
    <w:next w:val="Kommentarer"/>
    <w:link w:val="KommentarsmneChar"/>
    <w:uiPriority w:val="99"/>
    <w:semiHidden/>
    <w:unhideWhenUsed/>
    <w:rsid w:val="00825BEF"/>
    <w:pPr>
      <w:spacing w:line="240" w:lineRule="auto"/>
    </w:pPr>
    <w:rPr>
      <w:b/>
      <w:bCs/>
      <w:lang w:val="en-GB"/>
    </w:rPr>
  </w:style>
  <w:style w:type="character" w:customStyle="1" w:styleId="KommentarsmneChar">
    <w:name w:val="Kommentarsämne Char"/>
    <w:basedOn w:val="KommentarerChar"/>
    <w:link w:val="Kommentarsmne"/>
    <w:uiPriority w:val="99"/>
    <w:semiHidden/>
    <w:rsid w:val="00825BEF"/>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150761">
      <w:bodyDiv w:val="1"/>
      <w:marLeft w:val="0"/>
      <w:marRight w:val="0"/>
      <w:marTop w:val="0"/>
      <w:marBottom w:val="0"/>
      <w:divBdr>
        <w:top w:val="none" w:sz="0" w:space="0" w:color="auto"/>
        <w:left w:val="none" w:sz="0" w:space="0" w:color="auto"/>
        <w:bottom w:val="none" w:sz="0" w:space="0" w:color="auto"/>
        <w:right w:val="none" w:sz="0" w:space="0" w:color="auto"/>
      </w:divBdr>
    </w:div>
    <w:div w:id="446703374">
      <w:bodyDiv w:val="1"/>
      <w:marLeft w:val="0"/>
      <w:marRight w:val="0"/>
      <w:marTop w:val="0"/>
      <w:marBottom w:val="0"/>
      <w:divBdr>
        <w:top w:val="none" w:sz="0" w:space="0" w:color="auto"/>
        <w:left w:val="none" w:sz="0" w:space="0" w:color="auto"/>
        <w:bottom w:val="none" w:sz="0" w:space="0" w:color="auto"/>
        <w:right w:val="none" w:sz="0" w:space="0" w:color="auto"/>
      </w:divBdr>
    </w:div>
    <w:div w:id="945313361">
      <w:bodyDiv w:val="1"/>
      <w:marLeft w:val="0"/>
      <w:marRight w:val="0"/>
      <w:marTop w:val="0"/>
      <w:marBottom w:val="0"/>
      <w:divBdr>
        <w:top w:val="none" w:sz="0" w:space="0" w:color="auto"/>
        <w:left w:val="none" w:sz="0" w:space="0" w:color="auto"/>
        <w:bottom w:val="none" w:sz="0" w:space="0" w:color="auto"/>
        <w:right w:val="none" w:sz="0" w:space="0" w:color="auto"/>
      </w:divBdr>
    </w:div>
    <w:div w:id="966353656">
      <w:bodyDiv w:val="1"/>
      <w:marLeft w:val="0"/>
      <w:marRight w:val="0"/>
      <w:marTop w:val="0"/>
      <w:marBottom w:val="0"/>
      <w:divBdr>
        <w:top w:val="none" w:sz="0" w:space="0" w:color="auto"/>
        <w:left w:val="none" w:sz="0" w:space="0" w:color="auto"/>
        <w:bottom w:val="none" w:sz="0" w:space="0" w:color="auto"/>
        <w:right w:val="none" w:sz="0" w:space="0" w:color="auto"/>
      </w:divBdr>
    </w:div>
    <w:div w:id="1208757560">
      <w:bodyDiv w:val="1"/>
      <w:marLeft w:val="0"/>
      <w:marRight w:val="0"/>
      <w:marTop w:val="0"/>
      <w:marBottom w:val="0"/>
      <w:divBdr>
        <w:top w:val="none" w:sz="0" w:space="0" w:color="auto"/>
        <w:left w:val="none" w:sz="0" w:space="0" w:color="auto"/>
        <w:bottom w:val="none" w:sz="0" w:space="0" w:color="auto"/>
        <w:right w:val="none" w:sz="0" w:space="0" w:color="auto"/>
      </w:divBdr>
    </w:div>
    <w:div w:id="1283027650">
      <w:bodyDiv w:val="1"/>
      <w:marLeft w:val="0"/>
      <w:marRight w:val="0"/>
      <w:marTop w:val="0"/>
      <w:marBottom w:val="0"/>
      <w:divBdr>
        <w:top w:val="none" w:sz="0" w:space="0" w:color="auto"/>
        <w:left w:val="none" w:sz="0" w:space="0" w:color="auto"/>
        <w:bottom w:val="none" w:sz="0" w:space="0" w:color="auto"/>
        <w:right w:val="none" w:sz="0" w:space="0" w:color="auto"/>
      </w:divBdr>
    </w:div>
    <w:div w:id="1446655802">
      <w:bodyDiv w:val="1"/>
      <w:marLeft w:val="0"/>
      <w:marRight w:val="0"/>
      <w:marTop w:val="0"/>
      <w:marBottom w:val="0"/>
      <w:divBdr>
        <w:top w:val="none" w:sz="0" w:space="0" w:color="auto"/>
        <w:left w:val="none" w:sz="0" w:space="0" w:color="auto"/>
        <w:bottom w:val="none" w:sz="0" w:space="0" w:color="auto"/>
        <w:right w:val="none" w:sz="0" w:space="0" w:color="auto"/>
      </w:divBdr>
    </w:div>
    <w:div w:id="1895923349">
      <w:bodyDiv w:val="1"/>
      <w:marLeft w:val="0"/>
      <w:marRight w:val="0"/>
      <w:marTop w:val="0"/>
      <w:marBottom w:val="0"/>
      <w:divBdr>
        <w:top w:val="none" w:sz="0" w:space="0" w:color="auto"/>
        <w:left w:val="none" w:sz="0" w:space="0" w:color="auto"/>
        <w:bottom w:val="none" w:sz="0" w:space="0" w:color="auto"/>
        <w:right w:val="none" w:sz="0" w:space="0" w:color="auto"/>
      </w:divBdr>
    </w:div>
    <w:div w:id="1903170701">
      <w:bodyDiv w:val="1"/>
      <w:marLeft w:val="0"/>
      <w:marRight w:val="0"/>
      <w:marTop w:val="0"/>
      <w:marBottom w:val="0"/>
      <w:divBdr>
        <w:top w:val="none" w:sz="0" w:space="0" w:color="auto"/>
        <w:left w:val="none" w:sz="0" w:space="0" w:color="auto"/>
        <w:bottom w:val="none" w:sz="0" w:space="0" w:color="auto"/>
        <w:right w:val="none" w:sz="0" w:space="0" w:color="auto"/>
      </w:divBdr>
    </w:div>
    <w:div w:id="1972319789">
      <w:bodyDiv w:val="1"/>
      <w:marLeft w:val="0"/>
      <w:marRight w:val="0"/>
      <w:marTop w:val="0"/>
      <w:marBottom w:val="0"/>
      <w:divBdr>
        <w:top w:val="none" w:sz="0" w:space="0" w:color="auto"/>
        <w:left w:val="none" w:sz="0" w:space="0" w:color="auto"/>
        <w:bottom w:val="none" w:sz="0" w:space="0" w:color="auto"/>
        <w:right w:val="none" w:sz="0" w:space="0" w:color="auto"/>
      </w:divBdr>
    </w:div>
    <w:div w:id="1990594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7</Pages>
  <Words>544</Words>
  <Characters>3105</Characters>
  <Application>Microsoft Office Word</Application>
  <DocSecurity>0</DocSecurity>
  <Lines>25</Lines>
  <Paragraphs>7</Paragraphs>
  <ScaleCrop>false</ScaleCrop>
  <HeadingPairs>
    <vt:vector size="2" baseType="variant">
      <vt:variant>
        <vt:lpstr>Rubrik</vt:lpstr>
      </vt:variant>
      <vt:variant>
        <vt:i4>1</vt:i4>
      </vt:variant>
    </vt:vector>
  </HeadingPairs>
  <TitlesOfParts>
    <vt:vector size="1" baseType="lpstr">
      <vt:lpstr/>
    </vt:vector>
  </TitlesOfParts>
  <Company>Hewlett-Packard</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Mikkel Vinding</dc:creator>
  <cp:keywords/>
  <dc:description/>
  <cp:lastModifiedBy>Mikkel Vinding</cp:lastModifiedBy>
  <cp:revision>18</cp:revision>
  <dcterms:created xsi:type="dcterms:W3CDTF">2021-05-14T14:22:00Z</dcterms:created>
  <dcterms:modified xsi:type="dcterms:W3CDTF">2022-05-27T07:38:00Z</dcterms:modified>
</cp:coreProperties>
</file>