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2681"/>
        <w:tblW w:w="15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1283"/>
        <w:gridCol w:w="834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</w:tblGrid>
      <w:tr w:rsidR="00CE038D" w:rsidRPr="00D707E7" w:rsidTr="003178BD">
        <w:trPr>
          <w:trHeight w:val="624"/>
        </w:trPr>
        <w:tc>
          <w:tcPr>
            <w:tcW w:w="15209" w:type="dxa"/>
            <w:gridSpan w:val="16"/>
            <w:vAlign w:val="center"/>
          </w:tcPr>
          <w:p w:rsidR="00CE038D" w:rsidRPr="00D707E7" w:rsidRDefault="00CE038D" w:rsidP="003178BD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 xml:space="preserve">Additional file 10 Table S5 </w:t>
            </w: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 xml:space="preserve"> 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Knockdown rate (%) at time intervals post-application in wild insecticide-resistant </w:t>
            </w:r>
            <w:r w:rsidRPr="00D707E7">
              <w:rPr>
                <w:rFonts w:ascii="Times New Roman" w:hAnsi="Times New Roman"/>
                <w:i/>
                <w:color w:val="000000"/>
                <w:sz w:val="20"/>
                <w:lang w:eastAsia="de-CH"/>
              </w:rPr>
              <w:t>Aedes aegypti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 and </w:t>
            </w:r>
            <w:r w:rsidRPr="00D707E7">
              <w:rPr>
                <w:rFonts w:ascii="Times New Roman" w:hAnsi="Times New Roman"/>
                <w:i/>
                <w:color w:val="000000"/>
                <w:sz w:val="20"/>
                <w:lang w:eastAsia="de-CH"/>
              </w:rPr>
              <w:t>Culex quinquefasciatus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 Abidjan strains exposed to indoor ULV space spray of Fludora Co-Max EW and K-Othrine EC</w:t>
            </w:r>
          </w:p>
        </w:tc>
      </w:tr>
      <w:tr w:rsidR="00CE038D" w:rsidRPr="00D707E7" w:rsidTr="003178BD">
        <w:trPr>
          <w:trHeight w:val="340"/>
        </w:trPr>
        <w:tc>
          <w:tcPr>
            <w:tcW w:w="2263" w:type="dxa"/>
            <w:vMerge w:val="restart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Treatment arm</w:t>
            </w:r>
          </w:p>
        </w:tc>
        <w:tc>
          <w:tcPr>
            <w:tcW w:w="1283" w:type="dxa"/>
            <w:vMerge w:val="restart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Checkpoint</w:t>
            </w:r>
          </w:p>
        </w:tc>
        <w:tc>
          <w:tcPr>
            <w:tcW w:w="5832" w:type="dxa"/>
            <w:gridSpan w:val="7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i/>
                <w:color w:val="000000"/>
                <w:sz w:val="20"/>
                <w:lang w:eastAsia="de-CH"/>
              </w:rPr>
              <w:t>Aedes aegypti</w:t>
            </w:r>
          </w:p>
        </w:tc>
        <w:tc>
          <w:tcPr>
            <w:tcW w:w="5831" w:type="dxa"/>
            <w:gridSpan w:val="7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i/>
                <w:color w:val="000000"/>
                <w:sz w:val="20"/>
                <w:lang w:eastAsia="de-CH"/>
              </w:rPr>
              <w:t>Culex quinquefasciatus</w:t>
            </w: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Merge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Merge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40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 min</w:t>
            </w: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40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 min</w:t>
            </w: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Fludora Co-Max EW</w:t>
            </w: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Ceiling</w:t>
            </w: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99.6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99.6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Mid-height</w:t>
            </w: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92.1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Floor</w:t>
            </w: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</w:t>
            </w: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val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99.9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99.9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100.0</w:t>
            </w: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97.1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99.5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99.5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99.5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99.5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99.7</w:t>
            </w: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K-Othrine EC</w:t>
            </w: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Ceiling</w:t>
            </w: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92.1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92.1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94.2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96.3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97.1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98.8</w:t>
            </w: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92.1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995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96.3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98.8</w:t>
            </w: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Mid-height</w:t>
            </w: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90.8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94.2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95.8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97.5</w:t>
            </w: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87.5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95.8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97.7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97.5</w:t>
            </w: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Floor</w:t>
            </w: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94.2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93.8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95.8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99.2</w:t>
            </w: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92.1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97.1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99.6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99.6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 xml:space="preserve">Total </w:t>
            </w: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val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91.5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92.4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94.1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96.3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97.1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98.9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98.5</w:t>
            </w: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81.8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85.7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93.1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395.4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97.4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99.0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98.8</w:t>
            </w: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Untreated control</w:t>
            </w: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Ceiling</w:t>
            </w: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Mid-height</w:t>
            </w: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Floor</w:t>
            </w: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</w:tr>
      <w:tr w:rsidR="00CE038D" w:rsidRPr="00D707E7" w:rsidTr="003178BD">
        <w:trPr>
          <w:trHeight w:val="312"/>
        </w:trPr>
        <w:tc>
          <w:tcPr>
            <w:tcW w:w="226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28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834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val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</w:tr>
      <w:tr w:rsidR="00CE038D" w:rsidRPr="00D707E7" w:rsidTr="003178BD">
        <w:trPr>
          <w:trHeight w:val="280"/>
        </w:trPr>
        <w:tc>
          <w:tcPr>
            <w:tcW w:w="15209" w:type="dxa"/>
            <w:gridSpan w:val="16"/>
            <w:tcBorders>
              <w:left w:val="nil"/>
              <w:bottom w:val="nil"/>
              <w:right w:val="nil"/>
            </w:tcBorders>
            <w:vAlign w:val="center"/>
          </w:tcPr>
          <w:p w:rsidR="00CE038D" w:rsidRPr="00D707E7" w:rsidRDefault="00CE038D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%, percentage; min, minute; ULV, ultra-low volume. A total number of 600 adult females of each mosquito species </w:t>
            </w:r>
            <w:proofErr w:type="gramStart"/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were tested</w:t>
            </w:r>
            <w:proofErr w:type="gramEnd"/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 per treatment arm.</w:t>
            </w:r>
          </w:p>
        </w:tc>
      </w:tr>
    </w:tbl>
    <w:p w:rsidR="00BB01B3" w:rsidRPr="003B643C" w:rsidRDefault="00BB01B3" w:rsidP="005621EA">
      <w:pPr>
        <w:rPr>
          <w:rFonts w:cs="Arial"/>
        </w:rPr>
      </w:pPr>
    </w:p>
    <w:sectPr w:rsidR="00BB01B3" w:rsidRPr="003B643C" w:rsidSect="00CE038D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38D"/>
    <w:rsid w:val="000230D4"/>
    <w:rsid w:val="003B643C"/>
    <w:rsid w:val="005621EA"/>
    <w:rsid w:val="00756888"/>
    <w:rsid w:val="007F48CF"/>
    <w:rsid w:val="00B913E1"/>
    <w:rsid w:val="00BB01B3"/>
    <w:rsid w:val="00CE038D"/>
    <w:rsid w:val="00E2165A"/>
    <w:rsid w:val="00EB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E01D0D8-A2F5-47C7-936B-EA6712B1E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38D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 Zahouli Julien Zahouli</dc:creator>
  <cp:keywords/>
  <dc:description/>
  <cp:lastModifiedBy>Bi Zahouli Julien Zahouli</cp:lastModifiedBy>
  <cp:revision>2</cp:revision>
  <dcterms:created xsi:type="dcterms:W3CDTF">2022-05-26T23:10:00Z</dcterms:created>
  <dcterms:modified xsi:type="dcterms:W3CDTF">2022-05-26T23:10:00Z</dcterms:modified>
</cp:coreProperties>
</file>