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bottomFromText="200" w:vertAnchor="page" w:horzAnchor="page" w:tblpX="696" w:tblpY="2081"/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1430"/>
        <w:gridCol w:w="834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</w:tblGrid>
      <w:tr w:rsidR="008B33DF" w:rsidRPr="00D707E7" w:rsidTr="003178BD">
        <w:trPr>
          <w:trHeight w:val="567"/>
        </w:trPr>
        <w:tc>
          <w:tcPr>
            <w:tcW w:w="1549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Additional file 6: </w:t>
            </w: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Table 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</w:t>
            </w: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1 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Knockdown rate (%) at time intervals post-application in the wild insecticide-resistant </w:t>
            </w:r>
            <w:r w:rsidRPr="00D707E7">
              <w:rPr>
                <w:rFonts w:ascii="Times New Roman" w:hAnsi="Times New Roman"/>
                <w:i/>
                <w:color w:val="000000"/>
                <w:sz w:val="20"/>
                <w:lang w:eastAsia="de-CH"/>
              </w:rPr>
              <w:t>Aedes aegypti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and </w:t>
            </w:r>
            <w:r w:rsidRPr="00D707E7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Culex quinquefasciatus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Abidjan strains exposed to outdoor ULV space spray of Fludora Co-Max EW and K-Othrine EC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Treatment arm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Checkpoint</w:t>
            </w:r>
          </w:p>
        </w:tc>
        <w:tc>
          <w:tcPr>
            <w:tcW w:w="58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i/>
                <w:color w:val="000000"/>
                <w:sz w:val="20"/>
                <w:lang w:eastAsia="de-CH"/>
              </w:rPr>
              <w:t>Aedes aegypti</w:t>
            </w:r>
          </w:p>
        </w:tc>
        <w:tc>
          <w:tcPr>
            <w:tcW w:w="58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i/>
                <w:color w:val="000000"/>
                <w:sz w:val="20"/>
                <w:lang w:eastAsia="de-CH"/>
              </w:rPr>
              <w:t>Culex quinquefasciatus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50 min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 min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Fludora Co-Max EW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98.0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97.7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95.0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90.7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96.0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98.7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99.1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81.0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88.7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97.7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98.0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K-Othrine EC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46.7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41.7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48.3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30.0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31.7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41.7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38.3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40.0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46.7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81.7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88.3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95.0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30.0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38.3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40.0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38.3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48.3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65.0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78.3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46.0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48.0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53.0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54.3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55.0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58.7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63.3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74.3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78.0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78.3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82.3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86.7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91.3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94.0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Untreated control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</w:tr>
      <w:tr w:rsidR="008B33DF" w:rsidRPr="00D707E7" w:rsidTr="003178BD">
        <w:trPr>
          <w:trHeight w:val="3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3DF" w:rsidRPr="00D707E7" w:rsidRDefault="008B33DF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</w:tr>
      <w:tr w:rsidR="008B33DF" w:rsidRPr="00D707E7" w:rsidTr="003178BD">
        <w:trPr>
          <w:trHeight w:val="340"/>
        </w:trPr>
        <w:tc>
          <w:tcPr>
            <w:tcW w:w="15498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B33DF" w:rsidRPr="00D707E7" w:rsidRDefault="008B33DF" w:rsidP="003178BD">
            <w:pPr>
              <w:rPr>
                <w:rFonts w:ascii="Times New Roman" w:hAnsi="Times New Roman"/>
                <w:color w:val="000000"/>
                <w:sz w:val="18"/>
                <w:szCs w:val="18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18"/>
                <w:szCs w:val="18"/>
                <w:lang w:eastAsia="de-CH"/>
              </w:rPr>
              <w:t xml:space="preserve">%, percentage; m, meter; min, minute; 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ULV, ultra-low volume</w:t>
            </w:r>
            <w:r w:rsidRPr="00D707E7">
              <w:rPr>
                <w:rFonts w:ascii="Times New Roman" w:hAnsi="Times New Roman"/>
                <w:color w:val="000000"/>
                <w:sz w:val="18"/>
                <w:szCs w:val="18"/>
                <w:lang w:eastAsia="de-CH"/>
              </w:rPr>
              <w:t>. A total number of 300 adult females of each mosquito species were tested.</w:t>
            </w:r>
          </w:p>
        </w:tc>
      </w:tr>
    </w:tbl>
    <w:p w:rsidR="00BB01B3" w:rsidRPr="003B643C" w:rsidRDefault="00BB01B3" w:rsidP="005621EA">
      <w:pPr>
        <w:rPr>
          <w:rFonts w:cs="Arial"/>
        </w:rPr>
      </w:pPr>
    </w:p>
    <w:sectPr w:rsidR="00BB01B3" w:rsidRPr="003B643C" w:rsidSect="00233DA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DAF"/>
    <w:rsid w:val="000230D4"/>
    <w:rsid w:val="00233DAF"/>
    <w:rsid w:val="003B643C"/>
    <w:rsid w:val="005621EA"/>
    <w:rsid w:val="005A12C8"/>
    <w:rsid w:val="00756888"/>
    <w:rsid w:val="007F48CF"/>
    <w:rsid w:val="008B33DF"/>
    <w:rsid w:val="00B913E1"/>
    <w:rsid w:val="00BB01B3"/>
    <w:rsid w:val="00EB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801395C-3722-4D80-932C-95D77A057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3DF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Zahouli Julien Zahouli</dc:creator>
  <cp:keywords/>
  <dc:description/>
  <cp:lastModifiedBy>Bi Zahouli Julien Zahouli</cp:lastModifiedBy>
  <cp:revision>2</cp:revision>
  <dcterms:created xsi:type="dcterms:W3CDTF">2022-05-26T23:03:00Z</dcterms:created>
  <dcterms:modified xsi:type="dcterms:W3CDTF">2022-05-26T23:03:00Z</dcterms:modified>
</cp:coreProperties>
</file>