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line="360" w:lineRule="auto"/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36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36"/>
          <w:lang w:val="en-US" w:eastAsia="zh-CN" w:bidi="ar-SA"/>
        </w:rPr>
        <w:t>Lnc-PLA2G4A-4 facilitates the progression of hepatocellular carcinoma by Inducing Versican Expression via sponging miR-23b-3p</w:t>
      </w:r>
    </w:p>
    <w:p>
      <w:pPr>
        <w:widowControl/>
        <w:jc w:val="left"/>
        <w:rPr>
          <w:rFonts w:hint="eastAsia"/>
          <w:b/>
          <w:bCs/>
          <w:sz w:val="28"/>
          <w:szCs w:val="36"/>
        </w:rPr>
      </w:pPr>
    </w:p>
    <w:p>
      <w:pPr>
        <w:widowControl/>
        <w:jc w:val="left"/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Supplementary information</w:t>
      </w:r>
    </w:p>
    <w:p/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cs="Times New Roman" w:eastAsiaTheme="minorEastAsia"/>
          <w:color w:val="000000"/>
          <w:lang w:val="en-US" w:eastAsia="zh-CN"/>
        </w:rPr>
      </w:pPr>
      <w:r>
        <w:rPr>
          <w:rFonts w:hint="eastAsia"/>
          <w:b/>
          <w:bCs/>
          <w:sz w:val="28"/>
          <w:szCs w:val="36"/>
        </w:rPr>
        <w:t>Supplementary</w:t>
      </w:r>
      <w:r>
        <w:rPr>
          <w:rFonts w:hint="eastAsia"/>
          <w:b/>
          <w:bCs/>
          <w:sz w:val="28"/>
          <w:szCs w:val="36"/>
          <w:lang w:val="en-US" w:eastAsia="zh-CN"/>
        </w:rPr>
        <w:t xml:space="preserve"> Table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ascii="Arial" w:hAnsi="Arial" w:cs="Times New Roman"/>
          <w:color w:val="000000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ascii="Arial" w:hAnsi="Arial" w:cs="Times New Roman"/>
          <w:color w:val="000000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ascii="Arial" w:hAnsi="Arial" w:cs="Times New Roman"/>
          <w:color w:val="000000"/>
          <w:lang w:val="en-US"/>
        </w:rPr>
      </w:pPr>
    </w:p>
    <w:p>
      <w:pPr>
        <w:pStyle w:val="3"/>
        <w:keepNext/>
        <w:widowControl/>
        <w:jc w:val="both"/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36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36"/>
          <w:lang w:val="en-US" w:eastAsia="zh-CN" w:bidi="ar-SA"/>
        </w:rPr>
        <w:t>Supplementary Table S1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36"/>
          <w:lang w:val="en-US" w:eastAsia="zh-CN" w:bidi="ar-SA"/>
        </w:rPr>
        <w:t>:</w:t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36"/>
          <w:lang w:val="en-US" w:eastAsia="zh-CN" w:bidi="ar-SA"/>
        </w:rPr>
        <w:t xml:space="preserve"> Primer sequences used in RT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36"/>
          <w:lang w:val="en-US" w:eastAsia="zh-CN" w:bidi="ar-SA"/>
        </w:rPr>
        <w:t>-</w:t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36"/>
          <w:lang w:val="en-US" w:eastAsia="zh-CN" w:bidi="ar-SA"/>
        </w:rPr>
        <w:t xml:space="preserve">qPCR. </w:t>
      </w:r>
    </w:p>
    <w:tbl>
      <w:tblPr>
        <w:tblStyle w:val="4"/>
        <w:tblW w:w="9005" w:type="dxa"/>
        <w:tblInd w:w="-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8"/>
        <w:gridCol w:w="3489"/>
        <w:gridCol w:w="36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186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sz w:val="22"/>
                <w:szCs w:val="22"/>
                <w:highlight w:val="yellow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"/>
              </w:rPr>
              <w:t>Gene name</w:t>
            </w:r>
          </w:p>
        </w:tc>
        <w:tc>
          <w:tcPr>
            <w:tcW w:w="3489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"/>
              </w:rPr>
              <w:t>Forward primer</w:t>
            </w:r>
            <w:r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"/>
              </w:rPr>
              <w:t>5’</w:t>
            </w:r>
            <w:r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"/>
              </w:rPr>
              <w:t>3’</w:t>
            </w:r>
            <w:r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"/>
              </w:rPr>
              <w:t>）</w:t>
            </w:r>
          </w:p>
        </w:tc>
        <w:tc>
          <w:tcPr>
            <w:tcW w:w="364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"/>
              </w:rPr>
              <w:t>Reverse primer</w:t>
            </w:r>
            <w:r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"/>
              </w:rPr>
              <w:t>5’</w:t>
            </w:r>
            <w:r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"/>
              </w:rPr>
              <w:t>3’</w:t>
            </w:r>
            <w:r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</w:trPr>
        <w:tc>
          <w:tcPr>
            <w:tcW w:w="186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"/>
              </w:rPr>
              <w:t>Lnc-PLA2G4A-4</w:t>
            </w:r>
          </w:p>
        </w:tc>
        <w:tc>
          <w:tcPr>
            <w:tcW w:w="3489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"/>
              </w:rPr>
              <w:t>ATCACAAAGAACATACGGGAG</w:t>
            </w:r>
          </w:p>
        </w:tc>
        <w:tc>
          <w:tcPr>
            <w:tcW w:w="364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"/>
              </w:rPr>
              <w:t>CCATTTCTTCAGGCATCAGCA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exact"/>
        </w:trPr>
        <w:tc>
          <w:tcPr>
            <w:tcW w:w="186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"/>
              </w:rPr>
              <w:t>Versican</w:t>
            </w:r>
          </w:p>
        </w:tc>
        <w:tc>
          <w:tcPr>
            <w:tcW w:w="3489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"/>
              </w:rPr>
              <w:t>CCCCAGTAAATTCACCTTCGAG</w:t>
            </w:r>
          </w:p>
        </w:tc>
        <w:tc>
          <w:tcPr>
            <w:tcW w:w="3648" w:type="dxa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"/>
              </w:rPr>
              <w:t>CCGTAATCGCACTGGTCA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6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"/>
              </w:rPr>
              <w:t>18S rRNA</w:t>
            </w:r>
          </w:p>
        </w:tc>
        <w:tc>
          <w:tcPr>
            <w:tcW w:w="348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"/>
              </w:rPr>
              <w:t>AGAAACGGCTACCACATCCA</w:t>
            </w:r>
          </w:p>
        </w:tc>
        <w:tc>
          <w:tcPr>
            <w:tcW w:w="364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"/>
              </w:rPr>
              <w:t>CACCAGACTTGCCCTCCA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lang w:val="en-US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1F5562"/>
    <w:rsid w:val="3B736540"/>
    <w:rsid w:val="405D27AC"/>
    <w:rsid w:val="452E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widowControl w:val="0"/>
      <w:suppressLineNumbers w:val="0"/>
      <w:spacing w:before="340" w:beforeAutospacing="0" w:after="330" w:afterAutospacing="0" w:line="576" w:lineRule="auto"/>
      <w:ind w:left="0" w:right="0"/>
      <w:jc w:val="both"/>
      <w:outlineLvl w:val="0"/>
    </w:pPr>
    <w:rPr>
      <w:rFonts w:hint="default" w:ascii="Calibri" w:hAnsi="Calibri" w:eastAsia="宋体" w:cs="Times New Roman"/>
      <w:b/>
      <w:kern w:val="44"/>
      <w:sz w:val="4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semiHidden/>
    <w:unhideWhenUsed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ascii="Calibri Light" w:hAnsi="Calibri Light" w:eastAsia="黑体" w:cs="Times New Roman"/>
      <w:kern w:val="2"/>
      <w:sz w:val="20"/>
      <w:szCs w:val="20"/>
      <w:lang w:val="en-US" w:eastAsia="zh-CN" w:bidi="ar"/>
    </w:rPr>
  </w:style>
  <w:style w:type="character" w:customStyle="1" w:styleId="6">
    <w:name w:val="标题 1 字符"/>
    <w:basedOn w:val="5"/>
    <w:link w:val="2"/>
    <w:uiPriority w:val="0"/>
    <w:rPr>
      <w:rFonts w:hint="default" w:ascii="Calibri" w:hAnsi="Calibri" w:eastAsia="宋体" w:cs="Times New Roman"/>
      <w:b/>
      <w:kern w:val="44"/>
      <w:sz w:val="4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400</Characters>
  <Lines>0</Lines>
  <Paragraphs>0</Paragraphs>
  <TotalTime>3</TotalTime>
  <ScaleCrop>false</ScaleCrop>
  <LinksUpToDate>false</LinksUpToDate>
  <CharactersWithSpaces>427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2022-04-19T03:31:00Z</dcterms:created>
  <dc:creator>Hui Zhang</dc:creator>
  <cp:keywords>Gastric cancer,Metastasis,lnc-LEMGC,DNA-PKcs</cp:keywords>
  <cp:lastModifiedBy>赵必星</cp:lastModifiedBy>
  <dcterms:modified xsi:type="dcterms:W3CDTF">2022-04-19T03:53:50Z</dcterms:modified>
  <dc:subject>Cancer Letters, 524 (2022) 82-90. doi:10.1016/j.canlet.2021.09.042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5B8F93CF864646659E7F78B6A7B4137C</vt:lpwstr>
  </property>
</Properties>
</file>