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BC6CA" w14:textId="7DDB48A8" w:rsidR="00CE3099" w:rsidRPr="00C55199" w:rsidRDefault="004E78D3" w:rsidP="00816402">
      <w:r w:rsidRPr="00C55199">
        <w:t xml:space="preserve">Supporting File </w:t>
      </w:r>
    </w:p>
    <w:p w14:paraId="35FF8115" w14:textId="77777777" w:rsidR="00393632" w:rsidRDefault="00393632" w:rsidP="00816402">
      <w:pPr>
        <w:jc w:val="center"/>
        <w:rPr>
          <w:sz w:val="32"/>
          <w:szCs w:val="28"/>
        </w:rPr>
      </w:pPr>
      <w:r>
        <w:rPr>
          <w:sz w:val="32"/>
          <w:szCs w:val="28"/>
        </w:rPr>
        <w:t>Bioelectronic Screening Platform for Real-Time Monitoring of Tumour-derived Extracellular Vesicle-Induced Epithelial-to-Mesenchymal Transition</w:t>
      </w:r>
    </w:p>
    <w:p w14:paraId="2607E443" w14:textId="77777777" w:rsidR="00393632" w:rsidRDefault="00393632" w:rsidP="00816402"/>
    <w:p w14:paraId="17CCABD2" w14:textId="77777777" w:rsidR="00393632" w:rsidRDefault="00393632" w:rsidP="00816402">
      <w:r>
        <w:t xml:space="preserve">Walther. </w:t>
      </w:r>
      <w:r w:rsidRPr="00691C86">
        <w:t>C. Traberg</w:t>
      </w:r>
      <w:r w:rsidRPr="000B5F8C">
        <w:rPr>
          <w:vertAlign w:val="superscript"/>
        </w:rPr>
        <w:t>1</w:t>
      </w:r>
      <w:r w:rsidRPr="00691C86">
        <w:t>, Johana Uribe</w:t>
      </w:r>
      <w:r w:rsidRPr="000B5F8C">
        <w:rPr>
          <w:vertAlign w:val="superscript"/>
        </w:rPr>
        <w:t>2</w:t>
      </w:r>
      <w:r w:rsidRPr="00691C86">
        <w:t>, Vi</w:t>
      </w:r>
      <w:r w:rsidRPr="00FD7658">
        <w:t>cto</w:t>
      </w:r>
      <w:r>
        <w:t>r Druet</w:t>
      </w:r>
      <w:r w:rsidRPr="00751447">
        <w:rPr>
          <w:vertAlign w:val="superscript"/>
        </w:rPr>
        <w:t>3</w:t>
      </w:r>
      <w:r>
        <w:t>, Adel Hama</w:t>
      </w:r>
      <w:r w:rsidRPr="00751447">
        <w:rPr>
          <w:vertAlign w:val="superscript"/>
        </w:rPr>
        <w:t>3</w:t>
      </w:r>
      <w:r>
        <w:t xml:space="preserve">, </w:t>
      </w:r>
      <w:r w:rsidRPr="00DC37FB">
        <w:t>Chrysanthi-Maria Moysidou</w:t>
      </w:r>
      <w:r w:rsidRPr="00751447">
        <w:rPr>
          <w:vertAlign w:val="superscript"/>
        </w:rPr>
        <w:t>1</w:t>
      </w:r>
      <w:r>
        <w:t>, Miriam Huerta</w:t>
      </w:r>
      <w:r w:rsidRPr="00751447">
        <w:rPr>
          <w:vertAlign w:val="superscript"/>
        </w:rPr>
        <w:t>2</w:t>
      </w:r>
      <w:r>
        <w:t>, Reece McCoy</w:t>
      </w:r>
      <w:r w:rsidRPr="00751447">
        <w:rPr>
          <w:vertAlign w:val="superscript"/>
        </w:rPr>
        <w:t>1</w:t>
      </w:r>
      <w:r>
        <w:t xml:space="preserve">, </w:t>
      </w:r>
      <w:r w:rsidRPr="006E477D">
        <w:t>Daniel Hayward</w:t>
      </w:r>
      <w:r w:rsidRPr="00751447">
        <w:rPr>
          <w:vertAlign w:val="superscript"/>
        </w:rPr>
        <w:t>4</w:t>
      </w:r>
      <w:r>
        <w:t>, Achilleas Savva</w:t>
      </w:r>
      <w:r w:rsidRPr="00751447">
        <w:rPr>
          <w:vertAlign w:val="superscript"/>
        </w:rPr>
        <w:t>1</w:t>
      </w:r>
      <w:r>
        <w:t xml:space="preserve">, </w:t>
      </w:r>
      <w:r w:rsidRPr="00F64D73">
        <w:t>Amaury M. R. Genovese</w:t>
      </w:r>
      <w:r w:rsidRPr="00751447">
        <w:rPr>
          <w:vertAlign w:val="superscript"/>
        </w:rPr>
        <w:t>1</w:t>
      </w:r>
      <w:r>
        <w:t xml:space="preserve">, </w:t>
      </w:r>
      <w:r w:rsidRPr="00C30950">
        <w:t>Suraj Pavagada</w:t>
      </w:r>
      <w:r w:rsidRPr="00DC62FF">
        <w:rPr>
          <w:vertAlign w:val="superscript"/>
        </w:rPr>
        <w:t>1,4</w:t>
      </w:r>
      <w:r>
        <w:t xml:space="preserve">, </w:t>
      </w:r>
      <w:r w:rsidRPr="00903791">
        <w:t>Zixuan Lu</w:t>
      </w:r>
      <w:r w:rsidRPr="00DC62FF">
        <w:rPr>
          <w:vertAlign w:val="superscript"/>
        </w:rPr>
        <w:t>1</w:t>
      </w:r>
      <w:r>
        <w:t>, Anil, Koklu</w:t>
      </w:r>
      <w:r w:rsidRPr="002417C6">
        <w:rPr>
          <w:vertAlign w:val="superscript"/>
        </w:rPr>
        <w:t>3</w:t>
      </w:r>
      <w:r>
        <w:t>, Anna-Maria Pappa</w:t>
      </w:r>
      <w:r>
        <w:rPr>
          <w:vertAlign w:val="superscript"/>
        </w:rPr>
        <w:t>1,5,6</w:t>
      </w:r>
      <w:r>
        <w:t>,</w:t>
      </w:r>
      <w:r w:rsidRPr="002C31A5">
        <w:t xml:space="preserve"> Rebecca Fitzgerald</w:t>
      </w:r>
      <w:r w:rsidRPr="00DC62FF">
        <w:rPr>
          <w:vertAlign w:val="superscript"/>
        </w:rPr>
        <w:t>4</w:t>
      </w:r>
      <w:r>
        <w:t>, Sahika Inal</w:t>
      </w:r>
      <w:r w:rsidRPr="00DC62FF">
        <w:rPr>
          <w:vertAlign w:val="superscript"/>
        </w:rPr>
        <w:t>3</w:t>
      </w:r>
      <w:r>
        <w:t>, Susan Daniel</w:t>
      </w:r>
      <w:r w:rsidRPr="00DC62FF">
        <w:rPr>
          <w:vertAlign w:val="superscript"/>
        </w:rPr>
        <w:t>2</w:t>
      </w:r>
      <w:r>
        <w:t xml:space="preserve">, </w:t>
      </w:r>
      <w:r w:rsidRPr="007877CE">
        <w:t>Róisín M. Owens</w:t>
      </w:r>
      <w:r w:rsidRPr="00DC62FF">
        <w:rPr>
          <w:vertAlign w:val="superscript"/>
        </w:rPr>
        <w:t>1</w:t>
      </w:r>
    </w:p>
    <w:p w14:paraId="21E843B9" w14:textId="77777777" w:rsidR="00393632" w:rsidRDefault="00393632" w:rsidP="00816402">
      <w:r w:rsidRPr="00F204CA">
        <w:rPr>
          <w:vertAlign w:val="superscript"/>
        </w:rPr>
        <w:t>1</w:t>
      </w:r>
      <w:r>
        <w:t>Department of Chemical Engineering and Biotechnology, University of Cambridge, Cambridge CB3 0AS, United Kingdom</w:t>
      </w:r>
    </w:p>
    <w:p w14:paraId="667ADF08" w14:textId="77777777" w:rsidR="00393632" w:rsidRDefault="00393632" w:rsidP="00816402">
      <w:r w:rsidRPr="00F204CA">
        <w:rPr>
          <w:vertAlign w:val="superscript"/>
        </w:rPr>
        <w:t>2</w:t>
      </w:r>
      <w:r w:rsidRPr="00283391">
        <w:t>Robert F. Smith School of Chemical and Biomolecular Engineering, Cornell University, Olin Hall, Ithaca, New York 14853, United States.</w:t>
      </w:r>
    </w:p>
    <w:p w14:paraId="12CB130C" w14:textId="77777777" w:rsidR="00393632" w:rsidRDefault="00393632" w:rsidP="00816402">
      <w:r w:rsidRPr="00F204CA">
        <w:rPr>
          <w:vertAlign w:val="superscript"/>
        </w:rPr>
        <w:t>3</w:t>
      </w:r>
      <w:r>
        <w:t>Biological and Environmental Sciences and Engineering Division, King Abdullah University of Science and Technology (KAUST), Thuwal 3955, Kingdom of Saudi Arabia</w:t>
      </w:r>
    </w:p>
    <w:p w14:paraId="13A65E5F" w14:textId="77777777" w:rsidR="00393632" w:rsidRPr="00F204CA" w:rsidRDefault="00393632" w:rsidP="00816402">
      <w:pPr>
        <w:rPr>
          <w:vertAlign w:val="superscript"/>
        </w:rPr>
      </w:pPr>
      <w:r w:rsidRPr="00F204CA">
        <w:rPr>
          <w:vertAlign w:val="superscript"/>
        </w:rPr>
        <w:t>4</w:t>
      </w:r>
      <w:r>
        <w:t>Early Cancer Institute, University of Cambridge, Hutchison Research Centre, Cambridge, CB2 0XZ, United Kingdom</w:t>
      </w:r>
    </w:p>
    <w:p w14:paraId="707F2006" w14:textId="77777777" w:rsidR="00393632" w:rsidRDefault="00393632" w:rsidP="00816402">
      <w:r w:rsidRPr="00F204CA">
        <w:rPr>
          <w:vertAlign w:val="superscript"/>
        </w:rPr>
        <w:t>5</w:t>
      </w:r>
      <w:r>
        <w:t xml:space="preserve">Healthcare Innovation Engineering Center, Khalifa University, Abu Dhabi, United Arab Emirates </w:t>
      </w:r>
    </w:p>
    <w:p w14:paraId="42687390" w14:textId="613B2602" w:rsidR="00EF08A0" w:rsidRDefault="00393632" w:rsidP="004B59FA">
      <w:r w:rsidRPr="00BA02ED">
        <w:rPr>
          <w:vertAlign w:val="superscript"/>
        </w:rPr>
        <w:t>6</w:t>
      </w:r>
      <w:r>
        <w:t>Department of Biomedical Engineering, Khalifa University of Science and Technology, PO BOX 127788, Abu Dhabi, United Arab Emirates</w:t>
      </w:r>
      <w:r w:rsidR="00EF08A0">
        <w:br w:type="page"/>
      </w:r>
    </w:p>
    <w:p w14:paraId="57601459" w14:textId="7C539413" w:rsidR="002C555C" w:rsidRDefault="00EF08A0" w:rsidP="00332846">
      <w:pPr>
        <w:rPr>
          <w:noProof/>
        </w:rPr>
      </w:pPr>
      <w:r w:rsidRPr="00EF08A0">
        <w:rPr>
          <w:b/>
          <w:bCs/>
          <w:u w:val="single"/>
        </w:rPr>
        <w:lastRenderedPageBreak/>
        <w:t>Content</w:t>
      </w:r>
      <w:r w:rsidR="00C33E6A" w:rsidRPr="00E433BF">
        <w:rPr>
          <w:sz w:val="22"/>
          <w:szCs w:val="20"/>
        </w:rPr>
        <w:fldChar w:fldCharType="begin"/>
      </w:r>
      <w:r w:rsidR="00C33E6A" w:rsidRPr="00E433BF">
        <w:rPr>
          <w:sz w:val="22"/>
          <w:szCs w:val="20"/>
        </w:rPr>
        <w:instrText xml:space="preserve"> TOC \h \z \c "Figure" </w:instrText>
      </w:r>
      <w:r w:rsidR="00C33E6A" w:rsidRPr="00E433BF">
        <w:rPr>
          <w:sz w:val="22"/>
          <w:szCs w:val="20"/>
        </w:rPr>
        <w:fldChar w:fldCharType="separate"/>
      </w:r>
    </w:p>
    <w:p w14:paraId="1BF97D64" w14:textId="3DB7AABA" w:rsidR="002C555C" w:rsidRDefault="001037DD">
      <w:pPr>
        <w:pStyle w:val="TableofFigures"/>
        <w:tabs>
          <w:tab w:val="right" w:leader="dot" w:pos="9016"/>
        </w:tabs>
        <w:rPr>
          <w:rFonts w:asciiTheme="minorHAnsi" w:eastAsiaTheme="minorEastAsia" w:hAnsiTheme="minorHAnsi"/>
          <w:noProof/>
          <w:sz w:val="22"/>
          <w:lang w:eastAsia="en-GB"/>
        </w:rPr>
      </w:pPr>
      <w:hyperlink w:anchor="_Toc104452796" w:history="1">
        <w:r w:rsidR="002C555C" w:rsidRPr="00F329A9">
          <w:rPr>
            <w:rStyle w:val="Hyperlink"/>
            <w:b/>
            <w:bCs/>
            <w:noProof/>
          </w:rPr>
          <w:t xml:space="preserve">Supplementary Discussion 1: </w:t>
        </w:r>
        <w:r w:rsidR="002C555C" w:rsidRPr="0081567B">
          <w:rPr>
            <w:rStyle w:val="Hyperlink"/>
            <w:noProof/>
          </w:rPr>
          <w:t>A model to recapitulate TEV-driven invasive ductal carcinoma.</w:t>
        </w:r>
        <w:r w:rsidR="002C555C">
          <w:rPr>
            <w:noProof/>
            <w:webHidden/>
          </w:rPr>
          <w:tab/>
        </w:r>
        <w:r w:rsidR="002C555C">
          <w:rPr>
            <w:noProof/>
            <w:webHidden/>
          </w:rPr>
          <w:fldChar w:fldCharType="begin"/>
        </w:r>
        <w:r w:rsidR="002C555C">
          <w:rPr>
            <w:noProof/>
            <w:webHidden/>
          </w:rPr>
          <w:instrText xml:space="preserve"> PAGEREF _Toc104452796 \h </w:instrText>
        </w:r>
        <w:r w:rsidR="002C555C">
          <w:rPr>
            <w:noProof/>
            <w:webHidden/>
          </w:rPr>
        </w:r>
        <w:r w:rsidR="002C555C">
          <w:rPr>
            <w:noProof/>
            <w:webHidden/>
          </w:rPr>
          <w:fldChar w:fldCharType="separate"/>
        </w:r>
        <w:r w:rsidR="002C555C">
          <w:rPr>
            <w:noProof/>
            <w:webHidden/>
          </w:rPr>
          <w:t>4</w:t>
        </w:r>
        <w:r w:rsidR="002C555C">
          <w:rPr>
            <w:noProof/>
            <w:webHidden/>
          </w:rPr>
          <w:fldChar w:fldCharType="end"/>
        </w:r>
      </w:hyperlink>
    </w:p>
    <w:p w14:paraId="4D4C1DC0" w14:textId="7C1E1272" w:rsidR="002C555C" w:rsidRDefault="001037DD">
      <w:pPr>
        <w:pStyle w:val="TableofFigures"/>
        <w:tabs>
          <w:tab w:val="right" w:leader="dot" w:pos="9016"/>
        </w:tabs>
        <w:rPr>
          <w:rFonts w:asciiTheme="minorHAnsi" w:eastAsiaTheme="minorEastAsia" w:hAnsiTheme="minorHAnsi"/>
          <w:noProof/>
          <w:sz w:val="22"/>
          <w:lang w:eastAsia="en-GB"/>
        </w:rPr>
      </w:pPr>
      <w:hyperlink w:anchor="_Toc104452797" w:history="1">
        <w:r w:rsidR="002C555C" w:rsidRPr="00F329A9">
          <w:rPr>
            <w:rStyle w:val="Hyperlink"/>
            <w:b/>
            <w:bCs/>
            <w:noProof/>
          </w:rPr>
          <w:t>Figure S1</w:t>
        </w:r>
        <w:r w:rsidR="002C555C" w:rsidRPr="00F329A9">
          <w:rPr>
            <w:rStyle w:val="Hyperlink"/>
            <w:noProof/>
          </w:rPr>
          <w:t>: Unedited Western blots for EV characterisation, showing samples probed for EV markers CD63 and CD9, microvesicle marker annexin A1, and negative marker calreticulin.</w:t>
        </w:r>
        <w:r w:rsidR="002C555C">
          <w:rPr>
            <w:noProof/>
            <w:webHidden/>
          </w:rPr>
          <w:tab/>
        </w:r>
        <w:r w:rsidR="002C555C">
          <w:rPr>
            <w:noProof/>
            <w:webHidden/>
          </w:rPr>
          <w:fldChar w:fldCharType="begin"/>
        </w:r>
        <w:r w:rsidR="002C555C">
          <w:rPr>
            <w:noProof/>
            <w:webHidden/>
          </w:rPr>
          <w:instrText xml:space="preserve"> PAGEREF _Toc104452797 \h </w:instrText>
        </w:r>
        <w:r w:rsidR="002C555C">
          <w:rPr>
            <w:noProof/>
            <w:webHidden/>
          </w:rPr>
        </w:r>
        <w:r w:rsidR="002C555C">
          <w:rPr>
            <w:noProof/>
            <w:webHidden/>
          </w:rPr>
          <w:fldChar w:fldCharType="separate"/>
        </w:r>
        <w:r w:rsidR="002C555C">
          <w:rPr>
            <w:noProof/>
            <w:webHidden/>
          </w:rPr>
          <w:t>5</w:t>
        </w:r>
        <w:r w:rsidR="002C555C">
          <w:rPr>
            <w:noProof/>
            <w:webHidden/>
          </w:rPr>
          <w:fldChar w:fldCharType="end"/>
        </w:r>
      </w:hyperlink>
    </w:p>
    <w:p w14:paraId="7C1E1FF8" w14:textId="5D97C263" w:rsidR="002C555C" w:rsidRDefault="001037DD">
      <w:pPr>
        <w:pStyle w:val="TableofFigures"/>
        <w:tabs>
          <w:tab w:val="right" w:leader="dot" w:pos="9016"/>
        </w:tabs>
        <w:rPr>
          <w:rFonts w:asciiTheme="minorHAnsi" w:eastAsiaTheme="minorEastAsia" w:hAnsiTheme="minorHAnsi"/>
          <w:noProof/>
          <w:sz w:val="22"/>
          <w:lang w:eastAsia="en-GB"/>
        </w:rPr>
      </w:pPr>
      <w:hyperlink w:anchor="_Toc104452798" w:history="1">
        <w:r w:rsidR="002C555C" w:rsidRPr="00F329A9">
          <w:rPr>
            <w:rStyle w:val="Hyperlink"/>
            <w:b/>
            <w:bCs/>
            <w:noProof/>
          </w:rPr>
          <w:t xml:space="preserve">Supplementary Discussion </w:t>
        </w:r>
        <w:r w:rsidR="004F4F01">
          <w:rPr>
            <w:rStyle w:val="Hyperlink"/>
            <w:b/>
            <w:bCs/>
            <w:noProof/>
          </w:rPr>
          <w:t>2</w:t>
        </w:r>
        <w:r w:rsidR="002C555C" w:rsidRPr="00F329A9">
          <w:rPr>
            <w:rStyle w:val="Hyperlink"/>
            <w:b/>
            <w:bCs/>
            <w:noProof/>
          </w:rPr>
          <w:t xml:space="preserve">: </w:t>
        </w:r>
        <w:r w:rsidR="002C555C" w:rsidRPr="0081567B">
          <w:rPr>
            <w:rStyle w:val="Hyperlink"/>
            <w:noProof/>
          </w:rPr>
          <w:t>Investigating EMT requires high temporal resolution and functional readouts</w:t>
        </w:r>
        <w:r w:rsidR="002C555C">
          <w:rPr>
            <w:noProof/>
            <w:webHidden/>
          </w:rPr>
          <w:tab/>
        </w:r>
        <w:r w:rsidR="002C555C">
          <w:rPr>
            <w:noProof/>
            <w:webHidden/>
          </w:rPr>
          <w:fldChar w:fldCharType="begin"/>
        </w:r>
        <w:r w:rsidR="002C555C">
          <w:rPr>
            <w:noProof/>
            <w:webHidden/>
          </w:rPr>
          <w:instrText xml:space="preserve"> PAGEREF _Toc104452798 \h </w:instrText>
        </w:r>
        <w:r w:rsidR="002C555C">
          <w:rPr>
            <w:noProof/>
            <w:webHidden/>
          </w:rPr>
        </w:r>
        <w:r w:rsidR="002C555C">
          <w:rPr>
            <w:noProof/>
            <w:webHidden/>
          </w:rPr>
          <w:fldChar w:fldCharType="separate"/>
        </w:r>
        <w:r w:rsidR="002C555C">
          <w:rPr>
            <w:noProof/>
            <w:webHidden/>
          </w:rPr>
          <w:t>6</w:t>
        </w:r>
        <w:r w:rsidR="002C555C">
          <w:rPr>
            <w:noProof/>
            <w:webHidden/>
          </w:rPr>
          <w:fldChar w:fldCharType="end"/>
        </w:r>
      </w:hyperlink>
    </w:p>
    <w:p w14:paraId="2ABD6967" w14:textId="1C130ABE" w:rsidR="002C555C" w:rsidRDefault="001037DD">
      <w:pPr>
        <w:pStyle w:val="TableofFigures"/>
        <w:tabs>
          <w:tab w:val="right" w:leader="dot" w:pos="9016"/>
        </w:tabs>
        <w:rPr>
          <w:rFonts w:asciiTheme="minorHAnsi" w:eastAsiaTheme="minorEastAsia" w:hAnsiTheme="minorHAnsi"/>
          <w:noProof/>
          <w:sz w:val="22"/>
          <w:lang w:eastAsia="en-GB"/>
        </w:rPr>
      </w:pPr>
      <w:hyperlink w:anchor="_Toc104452799" w:history="1">
        <w:r w:rsidR="002C555C" w:rsidRPr="00F329A9">
          <w:rPr>
            <w:rStyle w:val="Hyperlink"/>
            <w:b/>
            <w:bCs/>
            <w:noProof/>
          </w:rPr>
          <w:t>Schematic S1</w:t>
        </w:r>
        <w:r w:rsidR="002C555C" w:rsidRPr="00F329A9">
          <w:rPr>
            <w:rStyle w:val="Hyperlink"/>
            <w:noProof/>
          </w:rPr>
          <w:t>: Experimental overview and design</w:t>
        </w:r>
        <w:r w:rsidR="002C555C">
          <w:rPr>
            <w:noProof/>
            <w:webHidden/>
          </w:rPr>
          <w:tab/>
        </w:r>
        <w:r w:rsidR="002C555C">
          <w:rPr>
            <w:noProof/>
            <w:webHidden/>
          </w:rPr>
          <w:fldChar w:fldCharType="begin"/>
        </w:r>
        <w:r w:rsidR="002C555C">
          <w:rPr>
            <w:noProof/>
            <w:webHidden/>
          </w:rPr>
          <w:instrText xml:space="preserve"> PAGEREF _Toc104452799 \h </w:instrText>
        </w:r>
        <w:r w:rsidR="002C555C">
          <w:rPr>
            <w:noProof/>
            <w:webHidden/>
          </w:rPr>
        </w:r>
        <w:r w:rsidR="002C555C">
          <w:rPr>
            <w:noProof/>
            <w:webHidden/>
          </w:rPr>
          <w:fldChar w:fldCharType="separate"/>
        </w:r>
        <w:r w:rsidR="002C555C">
          <w:rPr>
            <w:noProof/>
            <w:webHidden/>
          </w:rPr>
          <w:t>7</w:t>
        </w:r>
        <w:r w:rsidR="002C555C">
          <w:rPr>
            <w:noProof/>
            <w:webHidden/>
          </w:rPr>
          <w:fldChar w:fldCharType="end"/>
        </w:r>
      </w:hyperlink>
    </w:p>
    <w:p w14:paraId="3F815515" w14:textId="58BAE3F1" w:rsidR="002C555C" w:rsidRDefault="001037DD">
      <w:pPr>
        <w:pStyle w:val="TableofFigures"/>
        <w:tabs>
          <w:tab w:val="right" w:leader="dot" w:pos="9016"/>
        </w:tabs>
        <w:rPr>
          <w:rFonts w:asciiTheme="minorHAnsi" w:eastAsiaTheme="minorEastAsia" w:hAnsiTheme="minorHAnsi"/>
          <w:noProof/>
          <w:sz w:val="22"/>
          <w:lang w:eastAsia="en-GB"/>
        </w:rPr>
      </w:pPr>
      <w:hyperlink w:anchor="_Toc104452800" w:history="1">
        <w:r w:rsidR="002C555C" w:rsidRPr="00F329A9">
          <w:rPr>
            <w:rStyle w:val="Hyperlink"/>
            <w:b/>
            <w:bCs/>
            <w:noProof/>
          </w:rPr>
          <w:t>Figure S</w:t>
        </w:r>
        <w:r w:rsidR="004D35B0">
          <w:rPr>
            <w:rStyle w:val="Hyperlink"/>
            <w:b/>
            <w:bCs/>
            <w:noProof/>
          </w:rPr>
          <w:t>2</w:t>
        </w:r>
        <w:r w:rsidR="002C555C" w:rsidRPr="00F329A9">
          <w:rPr>
            <w:rStyle w:val="Hyperlink"/>
            <w:noProof/>
          </w:rPr>
          <w:t>: Cells cultured for 12 days on OECTs stained with viability/cytotoxicity kit probes (green-LIVE: calcein AM; red-DEAD: ethidium homodimer-1).</w:t>
        </w:r>
        <w:r w:rsidR="002C555C">
          <w:rPr>
            <w:noProof/>
            <w:webHidden/>
          </w:rPr>
          <w:tab/>
        </w:r>
        <w:r w:rsidR="002C555C">
          <w:rPr>
            <w:noProof/>
            <w:webHidden/>
          </w:rPr>
          <w:fldChar w:fldCharType="begin"/>
        </w:r>
        <w:r w:rsidR="002C555C">
          <w:rPr>
            <w:noProof/>
            <w:webHidden/>
          </w:rPr>
          <w:instrText xml:space="preserve"> PAGEREF _Toc104452800 \h </w:instrText>
        </w:r>
        <w:r w:rsidR="002C555C">
          <w:rPr>
            <w:noProof/>
            <w:webHidden/>
          </w:rPr>
        </w:r>
        <w:r w:rsidR="002C555C">
          <w:rPr>
            <w:noProof/>
            <w:webHidden/>
          </w:rPr>
          <w:fldChar w:fldCharType="separate"/>
        </w:r>
        <w:r w:rsidR="002C555C">
          <w:rPr>
            <w:noProof/>
            <w:webHidden/>
          </w:rPr>
          <w:t>8</w:t>
        </w:r>
        <w:r w:rsidR="002C555C">
          <w:rPr>
            <w:noProof/>
            <w:webHidden/>
          </w:rPr>
          <w:fldChar w:fldCharType="end"/>
        </w:r>
      </w:hyperlink>
    </w:p>
    <w:p w14:paraId="5FA9D71A" w14:textId="4324B584" w:rsidR="002C555C" w:rsidRDefault="001037DD">
      <w:pPr>
        <w:pStyle w:val="TableofFigures"/>
        <w:tabs>
          <w:tab w:val="right" w:leader="dot" w:pos="9016"/>
        </w:tabs>
        <w:rPr>
          <w:rFonts w:asciiTheme="minorHAnsi" w:eastAsiaTheme="minorEastAsia" w:hAnsiTheme="minorHAnsi"/>
          <w:noProof/>
          <w:sz w:val="22"/>
          <w:lang w:eastAsia="en-GB"/>
        </w:rPr>
      </w:pPr>
      <w:hyperlink w:anchor="_Toc104452801" w:history="1">
        <w:r w:rsidR="002C555C" w:rsidRPr="00F329A9">
          <w:rPr>
            <w:rStyle w:val="Hyperlink"/>
            <w:b/>
            <w:bCs/>
            <w:noProof/>
          </w:rPr>
          <w:t>Figure S</w:t>
        </w:r>
        <w:r w:rsidR="004D35B0">
          <w:rPr>
            <w:rStyle w:val="Hyperlink"/>
            <w:b/>
            <w:bCs/>
            <w:noProof/>
          </w:rPr>
          <w:t>3</w:t>
        </w:r>
        <w:r w:rsidR="002C555C" w:rsidRPr="00F329A9">
          <w:rPr>
            <w:rStyle w:val="Hyperlink"/>
            <w:noProof/>
          </w:rPr>
          <w:t xml:space="preserve">: Representative cut-off frequency and cell layer resistance, </w:t>
        </w:r>
        <m:oMath>
          <m:r>
            <w:rPr>
              <w:rStyle w:val="Hyperlink"/>
              <w:rFonts w:ascii="Cambria Math" w:hAnsi="Cambria Math"/>
              <w:noProof/>
            </w:rPr>
            <m:t>Rcell</m:t>
          </m:r>
        </m:oMath>
        <w:r w:rsidR="002C555C" w:rsidRPr="00F329A9">
          <w:rPr>
            <w:rStyle w:val="Hyperlink"/>
            <w:noProof/>
          </w:rPr>
          <w:t xml:space="preserve"> vs time plots for all conditions tested. (a) Non-treated. (b) MDA-TEV treated. (c) HEK-EV treated. (d) TGF-β1 treated. (e) Heparin treated. (f) MDA-TEV + heparin treated.</w:t>
        </w:r>
        <w:r w:rsidR="002C555C">
          <w:rPr>
            <w:noProof/>
            <w:webHidden/>
          </w:rPr>
          <w:tab/>
        </w:r>
        <w:r w:rsidR="002C555C">
          <w:rPr>
            <w:noProof/>
            <w:webHidden/>
          </w:rPr>
          <w:fldChar w:fldCharType="begin"/>
        </w:r>
        <w:r w:rsidR="002C555C">
          <w:rPr>
            <w:noProof/>
            <w:webHidden/>
          </w:rPr>
          <w:instrText xml:space="preserve"> PAGEREF _Toc104452801 \h </w:instrText>
        </w:r>
        <w:r w:rsidR="002C555C">
          <w:rPr>
            <w:noProof/>
            <w:webHidden/>
          </w:rPr>
        </w:r>
        <w:r w:rsidR="002C555C">
          <w:rPr>
            <w:noProof/>
            <w:webHidden/>
          </w:rPr>
          <w:fldChar w:fldCharType="separate"/>
        </w:r>
        <w:r w:rsidR="002C555C">
          <w:rPr>
            <w:noProof/>
            <w:webHidden/>
          </w:rPr>
          <w:t>9</w:t>
        </w:r>
        <w:r w:rsidR="002C555C">
          <w:rPr>
            <w:noProof/>
            <w:webHidden/>
          </w:rPr>
          <w:fldChar w:fldCharType="end"/>
        </w:r>
      </w:hyperlink>
    </w:p>
    <w:p w14:paraId="11ADDD6F" w14:textId="2A1F9A44" w:rsidR="002C555C" w:rsidRDefault="001037DD">
      <w:pPr>
        <w:pStyle w:val="TableofFigures"/>
        <w:tabs>
          <w:tab w:val="right" w:leader="dot" w:pos="9016"/>
        </w:tabs>
        <w:rPr>
          <w:rFonts w:asciiTheme="minorHAnsi" w:eastAsiaTheme="minorEastAsia" w:hAnsiTheme="minorHAnsi"/>
          <w:noProof/>
          <w:sz w:val="22"/>
          <w:lang w:eastAsia="en-GB"/>
        </w:rPr>
      </w:pPr>
      <w:hyperlink w:anchor="_Toc104452802" w:history="1">
        <w:r w:rsidR="002C555C" w:rsidRPr="00F329A9">
          <w:rPr>
            <w:rStyle w:val="Hyperlink"/>
            <w:b/>
            <w:bCs/>
            <w:noProof/>
          </w:rPr>
          <w:t>Figure S</w:t>
        </w:r>
        <w:r w:rsidR="004D35B0">
          <w:rPr>
            <w:rStyle w:val="Hyperlink"/>
            <w:b/>
            <w:bCs/>
            <w:noProof/>
          </w:rPr>
          <w:t>4</w:t>
        </w:r>
        <w:r w:rsidR="002C555C" w:rsidRPr="00F329A9">
          <w:rPr>
            <w:rStyle w:val="Hyperlink"/>
            <w:b/>
            <w:bCs/>
            <w:noProof/>
          </w:rPr>
          <w:t>.</w:t>
        </w:r>
        <w:r w:rsidR="002C555C" w:rsidRPr="00F329A9">
          <w:rPr>
            <w:rStyle w:val="Hyperlink"/>
            <w:noProof/>
          </w:rPr>
          <w:t xml:space="preserve"> Asymptotic regression of non-treated and MDA-TEV + heparin treated MCF10A cells, demonstrating that the normalised cut-off frequency tends towards 0.88 </w:t>
        </w:r>
        <m:oMath>
          <m:r>
            <w:rPr>
              <w:rStyle w:val="Hyperlink"/>
              <w:rFonts w:ascii="Cambria Math" w:hAnsi="Cambria Math"/>
              <w:noProof/>
            </w:rPr>
            <m:t>±</m:t>
          </m:r>
        </m:oMath>
        <w:r w:rsidR="002C555C" w:rsidRPr="00F329A9">
          <w:rPr>
            <w:rStyle w:val="Hyperlink"/>
            <w:noProof/>
          </w:rPr>
          <w:t xml:space="preserve"> 0.034 and 0.92 </w:t>
        </w:r>
        <m:oMath>
          <m:r>
            <w:rPr>
              <w:rStyle w:val="Hyperlink"/>
              <w:rFonts w:ascii="Cambria Math" w:hAnsi="Cambria Math"/>
              <w:noProof/>
            </w:rPr>
            <m:t>±</m:t>
          </m:r>
        </m:oMath>
        <w:r w:rsidR="002C555C" w:rsidRPr="00F329A9">
          <w:rPr>
            <w:rStyle w:val="Hyperlink"/>
            <w:noProof/>
          </w:rPr>
          <w:t xml:space="preserve"> 0.051, respectively. The two models are very similar, indicating that heparin treatment of cells exposed to MDA-TEVs block any malignant transformation.</w:t>
        </w:r>
        <w:r w:rsidR="002C555C">
          <w:rPr>
            <w:noProof/>
            <w:webHidden/>
          </w:rPr>
          <w:tab/>
        </w:r>
        <w:r w:rsidR="002C555C">
          <w:rPr>
            <w:noProof/>
            <w:webHidden/>
          </w:rPr>
          <w:fldChar w:fldCharType="begin"/>
        </w:r>
        <w:r w:rsidR="002C555C">
          <w:rPr>
            <w:noProof/>
            <w:webHidden/>
          </w:rPr>
          <w:instrText xml:space="preserve"> PAGEREF _Toc104452802 \h </w:instrText>
        </w:r>
        <w:r w:rsidR="002C555C">
          <w:rPr>
            <w:noProof/>
            <w:webHidden/>
          </w:rPr>
        </w:r>
        <w:r w:rsidR="002C555C">
          <w:rPr>
            <w:noProof/>
            <w:webHidden/>
          </w:rPr>
          <w:fldChar w:fldCharType="separate"/>
        </w:r>
        <w:r w:rsidR="002C555C">
          <w:rPr>
            <w:noProof/>
            <w:webHidden/>
          </w:rPr>
          <w:t>10</w:t>
        </w:r>
        <w:r w:rsidR="002C555C">
          <w:rPr>
            <w:noProof/>
            <w:webHidden/>
          </w:rPr>
          <w:fldChar w:fldCharType="end"/>
        </w:r>
      </w:hyperlink>
    </w:p>
    <w:p w14:paraId="5614AEC2" w14:textId="2638BF00" w:rsidR="002C555C" w:rsidRDefault="001037DD">
      <w:pPr>
        <w:pStyle w:val="TableofFigures"/>
        <w:tabs>
          <w:tab w:val="right" w:leader="dot" w:pos="9016"/>
        </w:tabs>
        <w:rPr>
          <w:rFonts w:asciiTheme="minorHAnsi" w:eastAsiaTheme="minorEastAsia" w:hAnsiTheme="minorHAnsi"/>
          <w:noProof/>
          <w:sz w:val="22"/>
          <w:lang w:eastAsia="en-GB"/>
        </w:rPr>
      </w:pPr>
      <w:hyperlink w:anchor="_Toc104452803" w:history="1">
        <w:r w:rsidR="002C555C" w:rsidRPr="00F329A9">
          <w:rPr>
            <w:rStyle w:val="Hyperlink"/>
            <w:b/>
            <w:bCs/>
            <w:noProof/>
          </w:rPr>
          <w:t>Figure S</w:t>
        </w:r>
        <w:r w:rsidR="004D35B0">
          <w:rPr>
            <w:rStyle w:val="Hyperlink"/>
            <w:b/>
            <w:bCs/>
            <w:noProof/>
          </w:rPr>
          <w:t>5</w:t>
        </w:r>
        <w:r w:rsidR="002C555C" w:rsidRPr="00F329A9">
          <w:rPr>
            <w:rStyle w:val="Hyperlink"/>
            <w:b/>
            <w:bCs/>
            <w:noProof/>
          </w:rPr>
          <w:t>:</w:t>
        </w:r>
        <w:r w:rsidR="002C555C" w:rsidRPr="00F329A9">
          <w:rPr>
            <w:rStyle w:val="Hyperlink"/>
            <w:noProof/>
          </w:rPr>
          <w:t xml:space="preserve"> Linear regression of MDA-TEV treatment condition and residual analysis plots.</w:t>
        </w:r>
        <w:r w:rsidR="002C555C">
          <w:rPr>
            <w:noProof/>
            <w:webHidden/>
          </w:rPr>
          <w:tab/>
        </w:r>
        <w:r w:rsidR="002C555C">
          <w:rPr>
            <w:noProof/>
            <w:webHidden/>
          </w:rPr>
          <w:fldChar w:fldCharType="begin"/>
        </w:r>
        <w:r w:rsidR="002C555C">
          <w:rPr>
            <w:noProof/>
            <w:webHidden/>
          </w:rPr>
          <w:instrText xml:space="preserve"> PAGEREF _Toc104452803 \h </w:instrText>
        </w:r>
        <w:r w:rsidR="002C555C">
          <w:rPr>
            <w:noProof/>
            <w:webHidden/>
          </w:rPr>
        </w:r>
        <w:r w:rsidR="002C555C">
          <w:rPr>
            <w:noProof/>
            <w:webHidden/>
          </w:rPr>
          <w:fldChar w:fldCharType="separate"/>
        </w:r>
        <w:r w:rsidR="002C555C">
          <w:rPr>
            <w:noProof/>
            <w:webHidden/>
          </w:rPr>
          <w:t>11</w:t>
        </w:r>
        <w:r w:rsidR="002C555C">
          <w:rPr>
            <w:noProof/>
            <w:webHidden/>
          </w:rPr>
          <w:fldChar w:fldCharType="end"/>
        </w:r>
      </w:hyperlink>
    </w:p>
    <w:p w14:paraId="72813498" w14:textId="3A8010C0" w:rsidR="002C555C" w:rsidRDefault="001037DD">
      <w:pPr>
        <w:pStyle w:val="TableofFigures"/>
        <w:tabs>
          <w:tab w:val="right" w:leader="dot" w:pos="9016"/>
        </w:tabs>
        <w:rPr>
          <w:rFonts w:asciiTheme="minorHAnsi" w:eastAsiaTheme="minorEastAsia" w:hAnsiTheme="minorHAnsi"/>
          <w:noProof/>
          <w:sz w:val="22"/>
          <w:lang w:eastAsia="en-GB"/>
        </w:rPr>
      </w:pPr>
      <w:hyperlink w:anchor="_Toc104452804" w:history="1">
        <w:r w:rsidR="002C555C" w:rsidRPr="00F329A9">
          <w:rPr>
            <w:rStyle w:val="Hyperlink"/>
            <w:b/>
            <w:bCs/>
            <w:noProof/>
          </w:rPr>
          <w:t xml:space="preserve">Supplementary Discussion </w:t>
        </w:r>
        <w:r w:rsidR="004D35B0">
          <w:rPr>
            <w:rStyle w:val="Hyperlink"/>
            <w:b/>
            <w:bCs/>
            <w:noProof/>
          </w:rPr>
          <w:t>3</w:t>
        </w:r>
        <w:r w:rsidR="002C555C" w:rsidRPr="00F329A9">
          <w:rPr>
            <w:rStyle w:val="Hyperlink"/>
            <w:b/>
            <w:bCs/>
            <w:noProof/>
          </w:rPr>
          <w:t xml:space="preserve">: </w:t>
        </w:r>
        <w:r w:rsidR="002C555C" w:rsidRPr="00191A58">
          <w:rPr>
            <w:rStyle w:val="Hyperlink"/>
            <w:noProof/>
          </w:rPr>
          <w:t>Molecular mechanisms of EMT and determining its occurrence</w:t>
        </w:r>
        <w:r w:rsidR="002C555C">
          <w:rPr>
            <w:noProof/>
            <w:webHidden/>
          </w:rPr>
          <w:tab/>
        </w:r>
        <w:r w:rsidR="002C555C">
          <w:rPr>
            <w:noProof/>
            <w:webHidden/>
          </w:rPr>
          <w:fldChar w:fldCharType="begin"/>
        </w:r>
        <w:r w:rsidR="002C555C">
          <w:rPr>
            <w:noProof/>
            <w:webHidden/>
          </w:rPr>
          <w:instrText xml:space="preserve"> PAGEREF _Toc104452804 \h </w:instrText>
        </w:r>
        <w:r w:rsidR="002C555C">
          <w:rPr>
            <w:noProof/>
            <w:webHidden/>
          </w:rPr>
        </w:r>
        <w:r w:rsidR="002C555C">
          <w:rPr>
            <w:noProof/>
            <w:webHidden/>
          </w:rPr>
          <w:fldChar w:fldCharType="separate"/>
        </w:r>
        <w:r w:rsidR="002C555C">
          <w:rPr>
            <w:noProof/>
            <w:webHidden/>
          </w:rPr>
          <w:t>12</w:t>
        </w:r>
        <w:r w:rsidR="002C555C">
          <w:rPr>
            <w:noProof/>
            <w:webHidden/>
          </w:rPr>
          <w:fldChar w:fldCharType="end"/>
        </w:r>
      </w:hyperlink>
    </w:p>
    <w:p w14:paraId="61CBAF8A" w14:textId="01A37F1D" w:rsidR="002C555C" w:rsidRDefault="001037DD">
      <w:pPr>
        <w:pStyle w:val="TableofFigures"/>
        <w:tabs>
          <w:tab w:val="right" w:leader="dot" w:pos="9016"/>
        </w:tabs>
        <w:rPr>
          <w:rFonts w:asciiTheme="minorHAnsi" w:eastAsiaTheme="minorEastAsia" w:hAnsiTheme="minorHAnsi"/>
          <w:noProof/>
          <w:sz w:val="22"/>
          <w:lang w:eastAsia="en-GB"/>
        </w:rPr>
      </w:pPr>
      <w:hyperlink w:anchor="_Toc104452805" w:history="1">
        <w:r w:rsidR="002C555C" w:rsidRPr="00F329A9">
          <w:rPr>
            <w:rStyle w:val="Hyperlink"/>
            <w:b/>
            <w:bCs/>
            <w:noProof/>
          </w:rPr>
          <w:t>Figure S</w:t>
        </w:r>
        <w:r w:rsidR="004D35B0">
          <w:rPr>
            <w:rStyle w:val="Hyperlink"/>
            <w:b/>
            <w:bCs/>
            <w:noProof/>
          </w:rPr>
          <w:t>6</w:t>
        </w:r>
        <w:r w:rsidR="002C555C" w:rsidRPr="00F329A9">
          <w:rPr>
            <w:rStyle w:val="Hyperlink"/>
            <w:b/>
            <w:bCs/>
            <w:noProof/>
          </w:rPr>
          <w:t>:</w:t>
        </w:r>
        <w:r w:rsidR="002C555C" w:rsidRPr="00F329A9">
          <w:rPr>
            <w:rStyle w:val="Hyperlink"/>
            <w:noProof/>
          </w:rPr>
          <w:t xml:space="preserve"> Immunofluorescence of E-cadherin (green), N-cadherin (red), and nuclei (blue) on MCF10A monolayer with no treatment (left column), treated with 50 μg of MDA_TEVs (middle column), or with 10 ng/mL TGFβ (right column) every 12 hours for 60 hours.</w:t>
        </w:r>
        <w:r w:rsidR="002C555C">
          <w:rPr>
            <w:noProof/>
            <w:webHidden/>
          </w:rPr>
          <w:tab/>
        </w:r>
        <w:r w:rsidR="002C555C">
          <w:rPr>
            <w:noProof/>
            <w:webHidden/>
          </w:rPr>
          <w:fldChar w:fldCharType="begin"/>
        </w:r>
        <w:r w:rsidR="002C555C">
          <w:rPr>
            <w:noProof/>
            <w:webHidden/>
          </w:rPr>
          <w:instrText xml:space="preserve"> PAGEREF _Toc104452805 \h </w:instrText>
        </w:r>
        <w:r w:rsidR="002C555C">
          <w:rPr>
            <w:noProof/>
            <w:webHidden/>
          </w:rPr>
        </w:r>
        <w:r w:rsidR="002C555C">
          <w:rPr>
            <w:noProof/>
            <w:webHidden/>
          </w:rPr>
          <w:fldChar w:fldCharType="separate"/>
        </w:r>
        <w:r w:rsidR="002C555C">
          <w:rPr>
            <w:noProof/>
            <w:webHidden/>
          </w:rPr>
          <w:t>13</w:t>
        </w:r>
        <w:r w:rsidR="002C555C">
          <w:rPr>
            <w:noProof/>
            <w:webHidden/>
          </w:rPr>
          <w:fldChar w:fldCharType="end"/>
        </w:r>
      </w:hyperlink>
    </w:p>
    <w:p w14:paraId="5E1A38F1" w14:textId="344878DF" w:rsidR="002C555C" w:rsidRDefault="001037DD">
      <w:pPr>
        <w:pStyle w:val="TableofFigures"/>
        <w:tabs>
          <w:tab w:val="right" w:leader="dot" w:pos="9016"/>
        </w:tabs>
        <w:rPr>
          <w:rFonts w:asciiTheme="minorHAnsi" w:eastAsiaTheme="minorEastAsia" w:hAnsiTheme="minorHAnsi"/>
          <w:noProof/>
          <w:sz w:val="22"/>
          <w:lang w:eastAsia="en-GB"/>
        </w:rPr>
      </w:pPr>
      <w:hyperlink w:anchor="_Toc104452806" w:history="1">
        <w:r w:rsidR="002C555C" w:rsidRPr="00F329A9">
          <w:rPr>
            <w:rStyle w:val="Hyperlink"/>
            <w:b/>
            <w:bCs/>
            <w:noProof/>
          </w:rPr>
          <w:t>Figure S</w:t>
        </w:r>
        <w:r w:rsidR="004D35B0">
          <w:rPr>
            <w:rStyle w:val="Hyperlink"/>
            <w:b/>
            <w:bCs/>
            <w:noProof/>
          </w:rPr>
          <w:t>7</w:t>
        </w:r>
        <w:r w:rsidR="002C555C" w:rsidRPr="00F329A9">
          <w:rPr>
            <w:rStyle w:val="Hyperlink"/>
            <w:b/>
            <w:bCs/>
            <w:noProof/>
          </w:rPr>
          <w:t>:</w:t>
        </w:r>
        <w:r w:rsidR="002C555C" w:rsidRPr="00F329A9">
          <w:rPr>
            <w:rStyle w:val="Hyperlink"/>
            <w:noProof/>
          </w:rPr>
          <w:t xml:space="preserve"> Unedited x/z and y/z orthogonal views (ortho-views, right) of each cell layer in the OECT channel (treatment day 9), obtained by z-stacked confocal images. Cell height was calculated using the built-in tools in the Zen software, as shown in the images.</w:t>
        </w:r>
        <w:r w:rsidR="002C555C">
          <w:rPr>
            <w:noProof/>
            <w:webHidden/>
          </w:rPr>
          <w:tab/>
        </w:r>
        <w:r w:rsidR="002C555C">
          <w:rPr>
            <w:noProof/>
            <w:webHidden/>
          </w:rPr>
          <w:fldChar w:fldCharType="begin"/>
        </w:r>
        <w:r w:rsidR="002C555C">
          <w:rPr>
            <w:noProof/>
            <w:webHidden/>
          </w:rPr>
          <w:instrText xml:space="preserve"> PAGEREF _Toc104452806 \h </w:instrText>
        </w:r>
        <w:r w:rsidR="002C555C">
          <w:rPr>
            <w:noProof/>
            <w:webHidden/>
          </w:rPr>
        </w:r>
        <w:r w:rsidR="002C555C">
          <w:rPr>
            <w:noProof/>
            <w:webHidden/>
          </w:rPr>
          <w:fldChar w:fldCharType="separate"/>
        </w:r>
        <w:r w:rsidR="002C555C">
          <w:rPr>
            <w:noProof/>
            <w:webHidden/>
          </w:rPr>
          <w:t>14</w:t>
        </w:r>
        <w:r w:rsidR="002C555C">
          <w:rPr>
            <w:noProof/>
            <w:webHidden/>
          </w:rPr>
          <w:fldChar w:fldCharType="end"/>
        </w:r>
      </w:hyperlink>
    </w:p>
    <w:p w14:paraId="2F076066" w14:textId="6D5BF6D5" w:rsidR="002C555C" w:rsidRDefault="001037DD">
      <w:pPr>
        <w:pStyle w:val="TableofFigures"/>
        <w:tabs>
          <w:tab w:val="right" w:leader="dot" w:pos="9016"/>
        </w:tabs>
        <w:rPr>
          <w:rFonts w:asciiTheme="minorHAnsi" w:eastAsiaTheme="minorEastAsia" w:hAnsiTheme="minorHAnsi"/>
          <w:noProof/>
          <w:sz w:val="22"/>
          <w:lang w:eastAsia="en-GB"/>
        </w:rPr>
      </w:pPr>
      <w:hyperlink w:anchor="_Toc104452807" w:history="1">
        <w:r w:rsidR="002C555C" w:rsidRPr="00F329A9">
          <w:rPr>
            <w:rStyle w:val="Hyperlink"/>
            <w:b/>
            <w:bCs/>
            <w:noProof/>
          </w:rPr>
          <w:t>Figure S</w:t>
        </w:r>
        <w:r w:rsidR="004D35B0">
          <w:rPr>
            <w:rStyle w:val="Hyperlink"/>
            <w:b/>
            <w:bCs/>
            <w:noProof/>
          </w:rPr>
          <w:t>8</w:t>
        </w:r>
        <w:r w:rsidR="002C555C" w:rsidRPr="00F329A9">
          <w:rPr>
            <w:rStyle w:val="Hyperlink"/>
            <w:b/>
            <w:bCs/>
            <w:noProof/>
          </w:rPr>
          <w:t>:</w:t>
        </w:r>
        <w:r w:rsidR="002C555C" w:rsidRPr="00F329A9">
          <w:rPr>
            <w:rStyle w:val="Hyperlink"/>
            <w:noProof/>
          </w:rPr>
          <w:t xml:space="preserve"> Unedited immunoblots of whole-cell lysates collected on treatment day 9 against EMT markers.. Equal quantities of protein were separated on SDS-PAGE gels and membranes were blotted with indicated antibodies. Vimentin, predicted: 54-75 kDa; E-cadherin, predicted: 97 kDa; N-cadherin, predicted: 125-135 kDa; fibronectin (slightly smeared due to glycosylation</w:t>
        </w:r>
        <w:r w:rsidR="002C555C" w:rsidRPr="00F329A9">
          <w:rPr>
            <w:rStyle w:val="Hyperlink"/>
            <w:rFonts w:cs="Times New Roman"/>
            <w:noProof/>
            <w:vertAlign w:val="superscript"/>
          </w:rPr>
          <w:t>1</w:t>
        </w:r>
        <w:r w:rsidR="002C555C" w:rsidRPr="00F329A9">
          <w:rPr>
            <w:rStyle w:val="Hyperlink"/>
            <w:noProof/>
          </w:rPr>
          <w:t xml:space="preserve"> and shows multiple bands with lower MW;), predicted: 262-285 kDa; and F-</w:t>
        </w:r>
        <w:r w:rsidR="002C555C" w:rsidRPr="00F329A9">
          <w:rPr>
            <w:rStyle w:val="Hyperlink"/>
            <w:noProof/>
          </w:rPr>
          <w:lastRenderedPageBreak/>
          <w:t>actin (band at ~70 kDa may indicate presence of dimers), predicted 42 kDa. The presence of multiple bands is also indicated on antibody product page (Abcam).</w:t>
        </w:r>
        <w:r w:rsidR="002C555C">
          <w:rPr>
            <w:noProof/>
            <w:webHidden/>
          </w:rPr>
          <w:tab/>
        </w:r>
        <w:r w:rsidR="002C555C">
          <w:rPr>
            <w:noProof/>
            <w:webHidden/>
          </w:rPr>
          <w:fldChar w:fldCharType="begin"/>
        </w:r>
        <w:r w:rsidR="002C555C">
          <w:rPr>
            <w:noProof/>
            <w:webHidden/>
          </w:rPr>
          <w:instrText xml:space="preserve"> PAGEREF _Toc104452807 \h </w:instrText>
        </w:r>
        <w:r w:rsidR="002C555C">
          <w:rPr>
            <w:noProof/>
            <w:webHidden/>
          </w:rPr>
        </w:r>
        <w:r w:rsidR="002C555C">
          <w:rPr>
            <w:noProof/>
            <w:webHidden/>
          </w:rPr>
          <w:fldChar w:fldCharType="separate"/>
        </w:r>
        <w:r w:rsidR="002C555C">
          <w:rPr>
            <w:noProof/>
            <w:webHidden/>
          </w:rPr>
          <w:t>15</w:t>
        </w:r>
        <w:r w:rsidR="002C555C">
          <w:rPr>
            <w:noProof/>
            <w:webHidden/>
          </w:rPr>
          <w:fldChar w:fldCharType="end"/>
        </w:r>
      </w:hyperlink>
    </w:p>
    <w:p w14:paraId="490A03A5" w14:textId="6ECD0608" w:rsidR="002C555C" w:rsidRDefault="001037DD">
      <w:pPr>
        <w:pStyle w:val="TableofFigures"/>
        <w:tabs>
          <w:tab w:val="right" w:leader="dot" w:pos="9016"/>
        </w:tabs>
        <w:rPr>
          <w:rFonts w:asciiTheme="minorHAnsi" w:eastAsiaTheme="minorEastAsia" w:hAnsiTheme="minorHAnsi"/>
          <w:noProof/>
          <w:sz w:val="22"/>
          <w:lang w:eastAsia="en-GB"/>
        </w:rPr>
      </w:pPr>
      <w:hyperlink w:anchor="_Toc104452808" w:history="1">
        <w:r w:rsidR="002C555C" w:rsidRPr="00F329A9">
          <w:rPr>
            <w:rStyle w:val="Hyperlink"/>
            <w:b/>
            <w:bCs/>
            <w:noProof/>
          </w:rPr>
          <w:t>Figure S</w:t>
        </w:r>
        <w:r w:rsidR="004D35B0">
          <w:rPr>
            <w:rStyle w:val="Hyperlink"/>
            <w:b/>
            <w:bCs/>
            <w:noProof/>
          </w:rPr>
          <w:t>9</w:t>
        </w:r>
        <w:r w:rsidR="002C555C" w:rsidRPr="00F329A9">
          <w:rPr>
            <w:rStyle w:val="Hyperlink"/>
            <w:b/>
            <w:bCs/>
            <w:noProof/>
          </w:rPr>
          <w:t>:</w:t>
        </w:r>
        <w:r w:rsidR="002C555C" w:rsidRPr="00F329A9">
          <w:rPr>
            <w:rStyle w:val="Hyperlink"/>
            <w:noProof/>
          </w:rPr>
          <w:t xml:space="preserve"> Unedited immunoblots of TWIST1 protein expression in (</w:t>
        </w:r>
        <w:r w:rsidR="002C555C" w:rsidRPr="00F329A9">
          <w:rPr>
            <w:rStyle w:val="Hyperlink"/>
            <w:b/>
            <w:bCs/>
            <w:noProof/>
          </w:rPr>
          <w:t>a</w:t>
        </w:r>
        <w:r w:rsidR="002C555C" w:rsidRPr="00F329A9">
          <w:rPr>
            <w:rStyle w:val="Hyperlink"/>
            <w:noProof/>
          </w:rPr>
          <w:t>) MDA-MB-231 total cell lysate and MDA-TEVs, and (</w:t>
        </w:r>
        <w:r w:rsidR="002C555C" w:rsidRPr="00F329A9">
          <w:rPr>
            <w:rStyle w:val="Hyperlink"/>
            <w:b/>
            <w:bCs/>
            <w:noProof/>
          </w:rPr>
          <w:t>b</w:t>
        </w:r>
        <w:r w:rsidR="002C555C" w:rsidRPr="00F329A9">
          <w:rPr>
            <w:rStyle w:val="Hyperlink"/>
            <w:noProof/>
          </w:rPr>
          <w:t>) MCF10A cells treated under conditions indicated. TWIST1 has a predicted Mw of 21 kDa</w:t>
        </w:r>
        <w:r w:rsidR="002C555C">
          <w:rPr>
            <w:noProof/>
            <w:webHidden/>
          </w:rPr>
          <w:tab/>
        </w:r>
        <w:r w:rsidR="002C555C">
          <w:rPr>
            <w:noProof/>
            <w:webHidden/>
          </w:rPr>
          <w:fldChar w:fldCharType="begin"/>
        </w:r>
        <w:r w:rsidR="002C555C">
          <w:rPr>
            <w:noProof/>
            <w:webHidden/>
          </w:rPr>
          <w:instrText xml:space="preserve"> PAGEREF _Toc104452808 \h </w:instrText>
        </w:r>
        <w:r w:rsidR="002C555C">
          <w:rPr>
            <w:noProof/>
            <w:webHidden/>
          </w:rPr>
        </w:r>
        <w:r w:rsidR="002C555C">
          <w:rPr>
            <w:noProof/>
            <w:webHidden/>
          </w:rPr>
          <w:fldChar w:fldCharType="separate"/>
        </w:r>
        <w:r w:rsidR="002C555C">
          <w:rPr>
            <w:noProof/>
            <w:webHidden/>
          </w:rPr>
          <w:t>16</w:t>
        </w:r>
        <w:r w:rsidR="002C555C">
          <w:rPr>
            <w:noProof/>
            <w:webHidden/>
          </w:rPr>
          <w:fldChar w:fldCharType="end"/>
        </w:r>
      </w:hyperlink>
    </w:p>
    <w:p w14:paraId="37F4C542" w14:textId="049026AB" w:rsidR="005D412E" w:rsidRDefault="001037DD" w:rsidP="004B59FA">
      <w:pPr>
        <w:pStyle w:val="TableofFigures"/>
        <w:tabs>
          <w:tab w:val="right" w:leader="dot" w:pos="9016"/>
        </w:tabs>
      </w:pPr>
      <w:hyperlink w:anchor="_Toc104452809" w:history="1">
        <w:r w:rsidR="002C555C" w:rsidRPr="00F329A9">
          <w:rPr>
            <w:rStyle w:val="Hyperlink"/>
            <w:b/>
            <w:bCs/>
            <w:noProof/>
          </w:rPr>
          <w:t>Figure S1</w:t>
        </w:r>
        <w:r w:rsidR="004D35B0">
          <w:rPr>
            <w:rStyle w:val="Hyperlink"/>
            <w:b/>
            <w:bCs/>
            <w:noProof/>
          </w:rPr>
          <w:t>0</w:t>
        </w:r>
        <w:r w:rsidR="002C555C" w:rsidRPr="00F329A9">
          <w:rPr>
            <w:rStyle w:val="Hyperlink"/>
            <w:b/>
            <w:bCs/>
            <w:noProof/>
          </w:rPr>
          <w:t>:</w:t>
        </w:r>
        <w:r w:rsidR="002C555C" w:rsidRPr="00F329A9">
          <w:rPr>
            <w:rStyle w:val="Hyperlink"/>
            <w:noProof/>
          </w:rPr>
          <w:t xml:space="preserve"> LHS: Cut-off frequency normalised to day 0 (treatment start day) over time for the four drug treatment conditions: non-treated; 200 μg MDA-TEVs; 10 μg/ml heparin; and 200 μg MDA-TEVs + 10 μg/ml heparin, (mean ± s.e.m.; s.e.m. indicated by lightly coloured areas; n=3). Data points before treatment day 0 are omitted for clarity. RHS: Interaction plot illustrating the relationship between MDA-TEV and heparin treatment (mean; n=3).</w:t>
        </w:r>
        <w:r w:rsidR="002C555C">
          <w:rPr>
            <w:noProof/>
            <w:webHidden/>
          </w:rPr>
          <w:tab/>
        </w:r>
        <w:r w:rsidR="002C555C">
          <w:rPr>
            <w:noProof/>
            <w:webHidden/>
          </w:rPr>
          <w:fldChar w:fldCharType="begin"/>
        </w:r>
        <w:r w:rsidR="002C555C">
          <w:rPr>
            <w:noProof/>
            <w:webHidden/>
          </w:rPr>
          <w:instrText xml:space="preserve"> PAGEREF _Toc104452809 \h </w:instrText>
        </w:r>
        <w:r w:rsidR="002C555C">
          <w:rPr>
            <w:noProof/>
            <w:webHidden/>
          </w:rPr>
        </w:r>
        <w:r w:rsidR="002C555C">
          <w:rPr>
            <w:noProof/>
            <w:webHidden/>
          </w:rPr>
          <w:fldChar w:fldCharType="separate"/>
        </w:r>
        <w:r w:rsidR="002C555C">
          <w:rPr>
            <w:noProof/>
            <w:webHidden/>
          </w:rPr>
          <w:t>17</w:t>
        </w:r>
        <w:r w:rsidR="002C555C">
          <w:rPr>
            <w:noProof/>
            <w:webHidden/>
          </w:rPr>
          <w:fldChar w:fldCharType="end"/>
        </w:r>
      </w:hyperlink>
      <w:r w:rsidR="00C33E6A" w:rsidRPr="00E433BF">
        <w:rPr>
          <w:sz w:val="22"/>
          <w:szCs w:val="20"/>
        </w:rPr>
        <w:fldChar w:fldCharType="end"/>
      </w:r>
    </w:p>
    <w:p w14:paraId="3A44DE6E" w14:textId="77777777" w:rsidR="005D412E" w:rsidRDefault="005D412E">
      <w:pPr>
        <w:spacing w:line="259" w:lineRule="auto"/>
        <w:jc w:val="left"/>
      </w:pPr>
      <w:r>
        <w:br w:type="page"/>
      </w:r>
    </w:p>
    <w:p w14:paraId="79B689FE" w14:textId="53425510" w:rsidR="00AD6B55" w:rsidRPr="00DD69F0" w:rsidRDefault="005D412E" w:rsidP="00DD69F0">
      <w:pPr>
        <w:rPr>
          <w:b/>
          <w:bCs/>
        </w:rPr>
      </w:pPr>
      <w:bookmarkStart w:id="0" w:name="_Toc104452669"/>
      <w:bookmarkStart w:id="1" w:name="_Toc104452796"/>
      <w:r w:rsidRPr="00DD69F0">
        <w:rPr>
          <w:b/>
          <w:bCs/>
        </w:rPr>
        <w:lastRenderedPageBreak/>
        <w:t xml:space="preserve">Supplementary </w:t>
      </w:r>
      <w:r w:rsidR="005D2AB6" w:rsidRPr="00DD69F0">
        <w:rPr>
          <w:b/>
          <w:bCs/>
        </w:rPr>
        <w:t>D</w:t>
      </w:r>
      <w:r w:rsidRPr="00DD69F0">
        <w:rPr>
          <w:b/>
          <w:bCs/>
        </w:rPr>
        <w:t>iscussion</w:t>
      </w:r>
      <w:r w:rsidR="00DD69F0" w:rsidRPr="00DD69F0">
        <w:rPr>
          <w:b/>
          <w:bCs/>
        </w:rPr>
        <w:t xml:space="preserve"> </w:t>
      </w:r>
      <w:r w:rsidR="00DD69F0" w:rsidRPr="00DD69F0">
        <w:rPr>
          <w:b/>
          <w:bCs/>
        </w:rPr>
        <w:fldChar w:fldCharType="begin"/>
      </w:r>
      <w:r w:rsidR="00DD69F0" w:rsidRPr="00DD69F0">
        <w:rPr>
          <w:b/>
          <w:bCs/>
        </w:rPr>
        <w:instrText xml:space="preserve"> SEQ Figure \* ARABIC </w:instrText>
      </w:r>
      <w:r w:rsidR="00DD69F0" w:rsidRPr="00DD69F0">
        <w:rPr>
          <w:b/>
          <w:bCs/>
        </w:rPr>
        <w:fldChar w:fldCharType="separate"/>
      </w:r>
      <w:r w:rsidR="002C555C">
        <w:rPr>
          <w:b/>
          <w:bCs/>
          <w:noProof/>
        </w:rPr>
        <w:t>1</w:t>
      </w:r>
      <w:r w:rsidR="00DD69F0" w:rsidRPr="00DD69F0">
        <w:rPr>
          <w:b/>
          <w:bCs/>
        </w:rPr>
        <w:fldChar w:fldCharType="end"/>
      </w:r>
      <w:r w:rsidR="00EE6A4D" w:rsidRPr="00DD69F0">
        <w:rPr>
          <w:b/>
          <w:bCs/>
        </w:rPr>
        <w:t>:</w:t>
      </w:r>
      <w:r w:rsidR="00AD6B55" w:rsidRPr="00DD69F0">
        <w:rPr>
          <w:b/>
          <w:bCs/>
        </w:rPr>
        <w:t xml:space="preserve"> A model to recapitulate TEV-driven invasive ductal carcinoma.</w:t>
      </w:r>
      <w:bookmarkEnd w:id="0"/>
      <w:bookmarkEnd w:id="1"/>
      <w:r w:rsidR="00AD6B55" w:rsidRPr="00DD69F0">
        <w:rPr>
          <w:b/>
          <w:bCs/>
        </w:rPr>
        <w:t xml:space="preserve"> </w:t>
      </w:r>
    </w:p>
    <w:p w14:paraId="066ABEB0" w14:textId="17579B0E" w:rsidR="00162456" w:rsidRDefault="00AD6B55" w:rsidP="004B59FA">
      <w:r>
        <w:t xml:space="preserve">It is now well </w:t>
      </w:r>
      <w:r w:rsidRPr="00EA29B0">
        <w:t>established</w:t>
      </w:r>
      <w:r>
        <w:t xml:space="preserve"> that TEVs provide autocrine and paracrine signals within the tumour ecosystem to activate an EMT programme in neoplastic epithelial cells</w:t>
      </w:r>
      <w:r>
        <w:fldChar w:fldCharType="begin"/>
      </w:r>
      <w:r w:rsidR="0070527C">
        <w:instrText xml:space="preserve"> ADDIN ZOTERO_ITEM CSL_CITATION {"citationID":"a2bbnftjmgl","properties":{"formattedCitation":"\\super 1,2\\nosupersub{}","plainCitation":"1,2","noteIndex":0},"citationItems":[{"id":293,"uris":["http://zotero.org/users/5214051/items/ZCC4CB67"],"itemData":{"id":293,"type":"article-journal","abstract":"It has emerged recently that exosomes are potential carriers of pro-tumorigenic factors that participate in oncogenesis. However, whether oncogenic transcription factors are transduced by exosomes is unknown. Hypoxia-inducible factor-1α (HIF1α) transcriptionally regulates numerous key aspects of tumor development and progression by promoting a more aggressive tumor phenotype, characterized by increased proliferation and invasiveness coupled with neoangiogenesis. It has been shown that the principal oncoprotein of Epstein–Barr virus (EBV), latent membrane protein 1 (LMP1), drives oncogenic processes and tumor progression of the highly invasive EBV malignancy, nasopharyngeal carcinoma (NPC). We now demonstrate that endogenous HIF1α is detectable in exosomes and that LMP1 significantly increases levels of HIF1α in exosomes. HIF1 recovered from exosomes retains DNA-binding activity and is transcriptionally active in recipient cells after exosome uptake. We also show that treatment of EBV-negative cells with LMP1-exosomes increases migration and invasiveness of NP cell lines in functional assays, which correlates with the phenotype associated with epithelial–mesenchymal transition (EMT). In addition, we provide evidence that HIF1α itself participates in exosome-mediated pro-metastatic effects in recipient cells, as exosome-mediated delivery of active and inactive forms of HIF1α results in reciprocal changes in the expression of E- and N-cadherins associated with EMT. Further, immunohistochemical analysis of NPC tumor tissues revealed direct correlation between protein levels of LMP1 and of the endosome/exosome marker tetraspanin, CD63, which suggests an increase in exosome formation in this EBV-positive malignancy. We hypothesize that exosome-mediated transfer of functional pro-metastatic factors by LMP1-positive NPC cells to surrounding tumor cells promotes cancer progression.","container-title":"Oncogene","DOI":"10.1038/onc.2014.66","ISSN":"1476-5594","issue":"37","language":"en","page":"4613-4622","source":"www.nature.com","title":"Exosomal HIF1α supports invasive potential of nasopharyngeal carcinoma-associated LMP1-positive exosomes","volume":"33","author":[{"family":"Aga","given":"M."},{"family":"Bentz","given":"G. L."},{"family":"Raffa","given":"S."},{"family":"Torrisi","given":"M. R."},{"family":"Kondo","given":"S."},{"family":"Wakisaka","given":"N."},{"family":"Yoshizaki","given":"T."},{"family":"Pagano","given":"J. S."},{"family":"Shackelford","given":"J."}],"issued":{"date-parts":[["2014",9]]}}},{"id":1989,"uris":["http://zotero.org/users/5214051/items/HPTD8EU8"],"itemData":{"id":1989,"type":"article-journal","abstract":"Bladder cancer, the fourth most common noncutaneous malignancy in the United States, is characterized by high recurrence rate, with a subset of these cancers progressing to a deadly muscle invasive form of disease. Exosomes are small secreted vesicles that contain proteins, mRNA and miRNA, thus potentially modulating signaling pathways in recipient cells. Epithelial-to-mesenchymal transition (EMT) is a process by which epithelial cells lose their cell polarity and cell–cell adhesion and gain migratory and invasive properties to become mesenchymal stem cells. EMT has been implicated in the initiation of metastasis for cancer progression. We investigated the ability of bladder cancer-shed exosomes to induce EMT in urothelial cells. Exosomes were isolated by ultracentrifugation from T24 or UMUC3 invasive bladder cancer cell conditioned media or from patient urine or bladder barbotage samples. Exosomes were then added to the urothelial cells and EMT was assessed. Urothelial cells treated with bladder cancer exosomes showed an increased expression in several mesenchymal markers, including α-smooth muscle actin, S100A4 and snail, as compared with phosphate-buffered saline (PBS)-treated cells. Moreover, treatment of urothelial cells with bladder cancer exosomes resulted in decreased expression of epithelial markers E-cadherin and β-catenin, as compared with the control, PBS-treated cells. Bladder cancer exosomes also increased the migration and invasion of urothelial cells, and this was blocked by heparin pretreatment. We further showed that exosomes isolated from patient urine and bladder barbotage samples were able to induce the expression of several mesenchymal markers in recipient urothelial cells. In conclusion, the research presented here represents both a new insight into the role of exosomes in transition of bladder cancer into invasive disease, as well as an introduction to a new platform for exosome research in urothelial cells.","container-title":"Oncogenesis","DOI":"10.1038/oncsis.2015.21","ISSN":"2157-9024","issue":"8","language":"en","note":"number: 8\npublisher: Nature Publishing Group","page":"e163-e163","source":"www.nature.com","title":"Urothelial cells undergo epithelial-to-mesenchymal transition after exposure to muscle invasive bladder cancer exosomes","volume":"4","author":[{"family":"Franzen","given":"C. A."},{"family":"Blackwell","given":"R. H."},{"family":"Todorovic","given":"V."},{"family":"Greco","given":"K. A."},{"family":"Foreman","given":"K. E."},{"family":"Flanigan","given":"R. C."},{"family":"Kuo","given":"P. C."},{"family":"Gupta","given":"G. N."}],"issued":{"date-parts":[["2015",8]]}}}],"schema":"https://github.com/citation-style-language/schema/raw/master/csl-citation.json"} </w:instrText>
      </w:r>
      <w:r>
        <w:fldChar w:fldCharType="separate"/>
      </w:r>
      <w:r w:rsidR="0070527C" w:rsidRPr="0070527C">
        <w:rPr>
          <w:rFonts w:cs="Times New Roman"/>
          <w:szCs w:val="24"/>
          <w:vertAlign w:val="superscript"/>
        </w:rPr>
        <w:t>1,2</w:t>
      </w:r>
      <w:r>
        <w:fldChar w:fldCharType="end"/>
      </w:r>
      <w:r>
        <w:t>. This</w:t>
      </w:r>
      <w:r w:rsidRPr="00092C95">
        <w:t xml:space="preserve"> endows </w:t>
      </w:r>
      <w:r>
        <w:t>the recipient cells</w:t>
      </w:r>
      <w:r w:rsidRPr="00092C95">
        <w:t xml:space="preserve"> with the ability to invade the tissue surrounding the primary tumour, intravasate, and enter the circulation</w:t>
      </w:r>
      <w:r>
        <w:fldChar w:fldCharType="begin"/>
      </w:r>
      <w:r w:rsidR="0070527C">
        <w:instrText xml:space="preserve"> ADDIN ZOTERO_ITEM CSL_CITATION {"citationID":"5fEpJCDq","properties":{"formattedCitation":"\\super 3\\nosupersub{}","plainCitation":"3","noteIndex":0},"citationItems":[{"id":217,"uris":["http://zotero.org/users/5214051/items/QF5E6999"],"itemData":{"id":217,"type":"article-journal","container-title":"Trends in Pharmacological Sciences","DOI":"10.1016/j.tips.2016.04.006","ISSN":"01656147","issue":"7","language":"en","page":"606-617","source":"Crossref","title":"Exosome-Mediated Metastasis: From Epithelial–Mesenchymal Transition to Escape from Immunosurveillance","title-short":"Exosome-Mediated Metastasis","volume":"37","author":[{"family":"Syn","given":"Nicholas"},{"family":"Wang","given":"Lingzhi"},{"family":"Sethi","given":"Gautam"},{"family":"Thiery","given":"Jean-Paul"},{"family":"Goh","given":"Boon-Cher"}],"issued":{"date-parts":[["2016",7]]}}}],"schema":"https://github.com/citation-style-language/schema/raw/master/csl-citation.json"} </w:instrText>
      </w:r>
      <w:r>
        <w:fldChar w:fldCharType="separate"/>
      </w:r>
      <w:r w:rsidR="0070527C" w:rsidRPr="0070527C">
        <w:rPr>
          <w:rFonts w:cs="Times New Roman"/>
          <w:szCs w:val="24"/>
          <w:vertAlign w:val="superscript"/>
        </w:rPr>
        <w:t>3</w:t>
      </w:r>
      <w:r>
        <w:fldChar w:fldCharType="end"/>
      </w:r>
      <w:r>
        <w:t xml:space="preserve"> (</w:t>
      </w:r>
      <w:r w:rsidRPr="00AC33C8">
        <w:rPr>
          <w:b/>
          <w:bCs/>
        </w:rPr>
        <w:t>Fig. 1</w:t>
      </w:r>
      <w:r>
        <w:t>). TEVs accomplish this by transferring functional cargo comprising transcriptional regulators</w:t>
      </w:r>
      <w:r w:rsidRPr="007171BE">
        <w:fldChar w:fldCharType="begin"/>
      </w:r>
      <w:r w:rsidR="0070527C">
        <w:instrText xml:space="preserve"> ADDIN ZOTERO_ITEM CSL_CITATION {"citationID":"PwPRlqBy","properties":{"formattedCitation":"\\super 4\\nosupersub{}","plainCitation":"4","noteIndex":0},"citationItems":[{"id":384,"uris":["http://zotero.org/users/5214051/items/JC3RHBTQ"],"itemData":{"id":384,"type":"article-journal","abstract":"Exosomes are secreted by all cell types and contain proteins and nucleic acids. Here, we report that breast cancer associated exosomes contain microRNAs (miRNAs) associated with the RISC-Loading Complex (RLC) and display cell-independent capacity to process precursor microRNAs (pre-miRNAs) into mature miRNAs. Pre-miRNAs, along with Dicer, AGO2, and TRBP, are present in exosomes of cancer cells. CD43 mediates the accumulation of Dicer speciﬁcally in cancer exosomes. Cancer exosomes mediate an efﬁcient and rapid silencing of mRNAs to reprogram the target cell transcriptome. Exosomes derived from cells and sera of patients with breast cancer instigate nontumorigenic epithelial cells to form tumors in a Dicer-dependent manner. These ﬁndings offer opportunities for the development of exosomes based biomarkers and therapies.","container-title":"Cancer Cell","DOI":"10.1016/j.ccell.2014.09.005","ISSN":"15356108","issue":"5","journalAbbreviation":"Cancer Cell","language":"en","page":"707-721","source":"DOI.org (Crossref)","title":"Cancer Exosomes Perform Cell-Independent MicroRNA Biogenesis and Promote Tumorigenesis","volume":"26","author":[{"family":"Melo","given":"Sonia A."},{"family":"Sugimoto","given":"Hikaru"},{"family":"O’Connell","given":"Joyce T."},{"family":"Kato","given":"Noritoshi"},{"family":"Villanueva","given":"Alberto"},{"family":"Vidal","given":"August"},{"family":"Qiu","given":"Le"},{"family":"Vitkin","given":"Edward"},{"family":"Perelman","given":"Lev T."},{"family":"Melo","given":"Carlos A."},{"family":"Lucci","given":"Anthony"},{"family":"Ivan","given":"Cristina"},{"family":"Calin","given":"George A."},{"family":"Kalluri","given":"Raghu"}],"issued":{"date-parts":[["2014",11]]}}}],"schema":"https://github.com/citation-style-language/schema/raw/master/csl-citation.json"} </w:instrText>
      </w:r>
      <w:r w:rsidRPr="007171BE">
        <w:fldChar w:fldCharType="separate"/>
      </w:r>
      <w:r w:rsidR="0070527C" w:rsidRPr="0070527C">
        <w:rPr>
          <w:rFonts w:cs="Times New Roman"/>
          <w:szCs w:val="24"/>
          <w:vertAlign w:val="superscript"/>
        </w:rPr>
        <w:t>4</w:t>
      </w:r>
      <w:r w:rsidRPr="007171BE">
        <w:fldChar w:fldCharType="end"/>
      </w:r>
      <w:r>
        <w:t>, EMT drivers</w:t>
      </w:r>
      <w:r>
        <w:fldChar w:fldCharType="begin"/>
      </w:r>
      <w:r w:rsidR="0070527C">
        <w:instrText xml:space="preserve"> ADDIN ZOTERO_ITEM CSL_CITATION {"citationID":"a8sl0id6ql","properties":{"formattedCitation":"\\super 1,5\\nosupersub{}","plainCitation":"1,5","noteIndex":0},"citationItems":[{"id":1985,"uris":["http://zotero.org/users/5214051/items/C2HFSHAL"],"itemData":{"id":1985,"type":"article-journal","abstract":"Nasopharyngeal cancer (NPC) is an endemic type of head and neck cancer with a high rate of cervical lymph node metastasis. Metastasis is the major cause of death in NPC patients. Increasing evidence indicates that exosomes play a pivotal role in promoting cancer metastasis by enhancing angiogenesis and ECM degradation. Matrix metalloproteinase 13 is an important kind of matrix proteinase that is often overexpressed in various tumors and increases the risk of metastasis. However, little is known about the potential role of MMP13-containing exosomes in NPC. In this study, we found that MMP13 was overexpressed in NPC cells and exosomes purified from conditioned medium (CM) as well as NPC patients’ plasma. Transwell analysis revealed that MMP13-containing exosomes facilitated the metastasis of NPC cells. Furthermore, siRNA inhibited the effect of MMP13-containing exosomes on tumor cells metastasis as well as angiogenesis. The current findings provided novel insight into the vital role of MMP13-containing exosomes in NPC progression which might offer unique insights for potential therapeutic strategies for NPC progressions.","container-title":"Cancer Science","DOI":"10.1111/cas.12818","ISSN":"1349-7006","issue":"12","language":"en","note":"_eprint: https://onlinelibrary.wiley.com/doi/pdf/10.1111/cas.12818","page":"1669-1677","source":"Wiley Online Library","title":"Matrix metalloproteinase 13-containing exosomes promote nasopharyngeal carcinoma metastasis","volume":"106","author":[{"family":"You","given":"Yiwen"},{"family":"Shan","given":"Ying"},{"family":"Chen","given":"Jing"},{"family":"Yue","given":"Huijun"},{"family":"You","given":"Bo"},{"family":"Shi","given":"Si"},{"family":"Li","given":"Xingyu"},{"family":"Cao","given":"Xiaolei"}],"issued":{"date-parts":[["2015"]]}}},{"id":293,"uris":["http://zotero.org/users/5214051/items/ZCC4CB67"],"itemData":{"id":293,"type":"article-journal","abstract":"It has emerged recently that exosomes are potential carriers of pro-tumorigenic factors that participate in oncogenesis. However, whether oncogenic transcription factors are transduced by exosomes is unknown. Hypoxia-inducible factor-1α (HIF1α) transcriptionally regulates numerous key aspects of tumor development and progression by promoting a more aggressive tumor phenotype, characterized by increased proliferation and invasiveness coupled with neoangiogenesis. It has been shown that the principal oncoprotein of Epstein–Barr virus (EBV), latent membrane protein 1 (LMP1), drives oncogenic processes and tumor progression of the highly invasive EBV malignancy, nasopharyngeal carcinoma (NPC). We now demonstrate that endogenous HIF1α is detectable in exosomes and that LMP1 significantly increases levels of HIF1α in exosomes. HIF1 recovered from exosomes retains DNA-binding activity and is transcriptionally active in recipient cells after exosome uptake. We also show that treatment of EBV-negative cells with LMP1-exosomes increases migration and invasiveness of NP cell lines in functional assays, which correlates with the phenotype associated with epithelial–mesenchymal transition (EMT). In addition, we provide evidence that HIF1α itself participates in exosome-mediated pro-metastatic effects in recipient cells, as exosome-mediated delivery of active and inactive forms of HIF1α results in reciprocal changes in the expression of E- and N-cadherins associated with EMT. Further, immunohistochemical analysis of NPC tumor tissues revealed direct correlation between protein levels of LMP1 and of the endosome/exosome marker tetraspanin, CD63, which suggests an increase in exosome formation in this EBV-positive malignancy. We hypothesize that exosome-mediated transfer of functional pro-metastatic factors by LMP1-positive NPC cells to surrounding tumor cells promotes cancer progression.","container-title":"Oncogene","DOI":"10.1038/onc.2014.66","ISSN":"1476-5594","issue":"37","language":"en","page":"4613-4622","source":"www.nature.com","title":"Exosomal HIF1α supports invasive potential of nasopharyngeal carcinoma-associated LMP1-positive exosomes","volume":"33","author":[{"family":"Aga","given":"M."},{"family":"Bentz","given":"G. L."},{"family":"Raffa","given":"S."},{"family":"Torrisi","given":"M. R."},{"family":"Kondo","given":"S."},{"family":"Wakisaka","given":"N."},{"family":"Yoshizaki","given":"T."},{"family":"Pagano","given":"J. S."},{"family":"Shackelford","given":"J."}],"issued":{"date-parts":[["2014",9]]}}}],"schema":"https://github.com/citation-style-language/schema/raw/master/csl-citation.json"} </w:instrText>
      </w:r>
      <w:r>
        <w:fldChar w:fldCharType="separate"/>
      </w:r>
      <w:r w:rsidR="0070527C" w:rsidRPr="0070527C">
        <w:rPr>
          <w:rFonts w:cs="Times New Roman"/>
          <w:szCs w:val="24"/>
          <w:vertAlign w:val="superscript"/>
        </w:rPr>
        <w:t>1,5</w:t>
      </w:r>
      <w:r>
        <w:fldChar w:fldCharType="end"/>
      </w:r>
      <w:r>
        <w:t>, and signalling molecules</w:t>
      </w:r>
      <w:r>
        <w:fldChar w:fldCharType="begin"/>
      </w:r>
      <w:r w:rsidR="0070527C">
        <w:instrText xml:space="preserve"> ADDIN ZOTERO_ITEM CSL_CITATION {"citationID":"a1n93950fia","properties":{"formattedCitation":"\\super 6\\nosupersub{}","plainCitation":"6","noteIndex":0},"citationItems":[{"id":2008,"uris":["http://zotero.org/users/5214051/items/2E925HZV"],"itemData":{"id":2008,"type":"article-journal","abstract":"Hypoxic conditions in prostate cancer (PCA) are associated with poor prognosis; however, precise mechanism/s through which hypoxia promotes malignant phenotype remains unclear. Here, we analyzed the role of exosomes from hypoxic PCA cells in enhancing the invasiveness and stemness of naïve PCA cells, as well as in promoting cancer-associated fibroblast (CAF) phenotype in prostate stromal cells (PrSC). Human PCA LNCaP and PC3 cells were exposed to hypoxic (1% O2) or normoxic (21% O2) conditions, and exosomes secreted under hypoxic (ExoHypoxic) and normoxic (ExoNormoxic) conditions were isolated from conditioned media. Nanoparticle tracking analysis revealed that ExoHypoxic have smaller average size as compared to ExoNormoxic. Immunoblotting results showed a higher level of tetraspanins (CD63 and CD81), heat shock proteins (HSP90 and HSP70), and Annexin II in ExoHypoxic compared to ExoNormoxic. Co-culturing with ExoHypoxic increased the invasiveness and motility of naïve LNCaP and PC3 cells, respectively. ExoHypoxic also promoted prostasphere formation by both LNCaP and PC3 cells, and enhanced α-SMA (a CAF biomarker) expression in PrSC. Compared to ExoNormoxic, ExoHypoxic showed higher metalloproteinases activity and increased level of diverse signaling molecules (TGF-β2, TNF1α, IL6, TSG101, Akt, ILK1, and β-catenin). Furthermore, proteome analysis revealed a higher number of proteins in ExoHypoxic (160 proteins) compared to ExoNormoxic (62 proteins), primarily associated with the remodeling of epithelial adherens junction pathway. Importantly, ExoHypoxic targeted the expression of adherens junction proteins in naïve PC3 cells. These findings suggest that ExoHypoxic are loaded with unique proteins that could enhance invasiveness, stemness, and induce microenvironment changes; thereby, promoting PCA aggressiveness. © 2013 Wiley Periodicals, Inc.","container-title":"Molecular Carcinogenesis","DOI":"10.1002/mc.22124","ISSN":"1098-2744","issue":"7","language":"en","note":"_eprint: https://onlinelibrary.wiley.com/doi/pdf/10.1002/mc.22124","page":"554-565","source":"Wiley Online Library","title":"Exosomes secreted under hypoxia enhance invasiveness and stemness of prostate cancer cells by targeting adherens junction molecules","volume":"54","author":[{"family":"Ramteke","given":"Anand"},{"family":"Ting","given":"Harold"},{"family":"Agarwal","given":"Chapla"},{"family":"Mateen","given":"Samiha"},{"family":"Somasagara","given":"Ranganathan"},{"family":"Hussain","given":"Anowar"},{"family":"Graner","given":"Michael"},{"family":"Frederick","given":"Barbara"},{"family":"Agarwal","given":"Rajesh"},{"family":"Deep","given":"Gagan"}],"issued":{"date-parts":[["2015"]]}}}],"schema":"https://github.com/citation-style-language/schema/raw/master/csl-citation.json"} </w:instrText>
      </w:r>
      <w:r>
        <w:fldChar w:fldCharType="separate"/>
      </w:r>
      <w:r w:rsidR="0070527C" w:rsidRPr="0070527C">
        <w:rPr>
          <w:rFonts w:cs="Times New Roman"/>
          <w:szCs w:val="24"/>
          <w:vertAlign w:val="superscript"/>
        </w:rPr>
        <w:t>6</w:t>
      </w:r>
      <w:r>
        <w:fldChar w:fldCharType="end"/>
      </w:r>
      <w:r>
        <w:t xml:space="preserve"> that influences signalling pathways, such as the canonical </w:t>
      </w:r>
      <w:r w:rsidRPr="00662FCE">
        <w:t>Wnt/β-catenin pathway</w:t>
      </w:r>
      <w:r>
        <w:fldChar w:fldCharType="begin"/>
      </w:r>
      <w:r w:rsidR="0070527C">
        <w:instrText xml:space="preserve"> ADDIN ZOTERO_ITEM CSL_CITATION {"citationID":"a1pmgork8ue","properties":{"formattedCitation":"\\super 7\\nosupersub{}","plainCitation":"7","noteIndex":0},"citationItems":[{"id":2252,"uris":["http://zotero.org/users/5214051/items/JZDQJMYU"],"itemData":{"id":2252,"type":"article-journal","abstract":"P85α, which acts as a tumour suppressor, is frequently found to be downregulated in various human cancers. However, the role of p85α in the tumour microenvironment is unknown. Here, we report that aberrantly low expression of p85α in breast cancer stroma is clinically relevant to breast cancer disease progression. Stromal fibroblasts can acquire the hallmarks of cancer-associated fibroblasts (CAFs) as a result of the loss of p85α expression. Paracrine Wnt10b from p85α-deficient fibroblasts can promote cancer progression via epithelial-to-mesenchymal transition (EMT) induced by the canonical Wnt pathway. Moreover, exosomes have a key role in paracrine Wnt10b transport from fibroblasts to breast cancer epithelial cells. Our results reveal that p85α expression in stromal fibroblasts haves a crucial role in regulating breast cancer tumourigenesis and progression by modifying stromal–epithelial crosstalk and remodelling the tumour microenvironment. Therefore, p85α can function as a tumour suppressor and represent a new candidate for diagnosis, prognosis and targeted therapy.","container-title":"Oncogene","DOI":"10.1038/onc.2017.100","ISSN":"1476-5594","issue":"33","language":"en","note":"number: 33\npublisher: Nature Publishing Group","page":"4692-4705","source":"www.nature.com","title":"Aberrant low expression of p85α in stromal fibroblasts promotes breast cancer cell metastasis through exosome-mediated paracrine Wnt10b","volume":"36","author":[{"family":"Chen","given":"Y."},{"family":"Zeng","given":"C."},{"family":"Zhan","given":"Y."},{"family":"Wang","given":"H."},{"family":"Jiang","given":"X."},{"family":"Li","given":"W."}],"issued":{"date-parts":[["2017",8]]}}}],"schema":"https://github.com/citation-style-language/schema/raw/master/csl-citation.json"} </w:instrText>
      </w:r>
      <w:r>
        <w:fldChar w:fldCharType="separate"/>
      </w:r>
      <w:r w:rsidR="0070527C" w:rsidRPr="0070527C">
        <w:rPr>
          <w:rFonts w:cs="Times New Roman"/>
          <w:szCs w:val="24"/>
          <w:vertAlign w:val="superscript"/>
        </w:rPr>
        <w:t>7</w:t>
      </w:r>
      <w:r>
        <w:fldChar w:fldCharType="end"/>
      </w:r>
      <w:r>
        <w:t>, and alters the transcriptome and proteome of recipient cells, thereby inducing a change in cell phenotype</w:t>
      </w:r>
      <w:r>
        <w:fldChar w:fldCharType="begin"/>
      </w:r>
      <w:r w:rsidR="0070527C">
        <w:instrText xml:space="preserve"> ADDIN ZOTERO_ITEM CSL_CITATION {"citationID":"acnsfrn6np","properties":{"formattedCitation":"\\super 7\\nosupersub{}","plainCitation":"7","noteIndex":0},"citationItems":[{"id":2252,"uris":["http://zotero.org/users/5214051/items/JZDQJMYU"],"itemData":{"id":2252,"type":"article-journal","abstract":"P85α, which acts as a tumour suppressor, is frequently found to be downregulated in various human cancers. However, the role of p85α in the tumour microenvironment is unknown. Here, we report that aberrantly low expression of p85α in breast cancer stroma is clinically relevant to breast cancer disease progression. Stromal fibroblasts can acquire the hallmarks of cancer-associated fibroblasts (CAFs) as a result of the loss of p85α expression. Paracrine Wnt10b from p85α-deficient fibroblasts can promote cancer progression via epithelial-to-mesenchymal transition (EMT) induced by the canonical Wnt pathway. Moreover, exosomes have a key role in paracrine Wnt10b transport from fibroblasts to breast cancer epithelial cells. Our results reveal that p85α expression in stromal fibroblasts haves a crucial role in regulating breast cancer tumourigenesis and progression by modifying stromal–epithelial crosstalk and remodelling the tumour microenvironment. Therefore, p85α can function as a tumour suppressor and represent a new candidate for diagnosis, prognosis and targeted therapy.","container-title":"Oncogene","DOI":"10.1038/onc.2017.100","ISSN":"1476-5594","issue":"33","language":"en","note":"number: 33\npublisher: Nature Publishing Group","page":"4692-4705","source":"www.nature.com","title":"Aberrant low expression of p85α in stromal fibroblasts promotes breast cancer cell metastasis through exosome-mediated paracrine Wnt10b","volume":"36","author":[{"family":"Chen","given":"Y."},{"family":"Zeng","given":"C."},{"family":"Zhan","given":"Y."},{"family":"Wang","given":"H."},{"family":"Jiang","given":"X."},{"family":"Li","given":"W."}],"issued":{"date-parts":[["2017",8]]}}}],"schema":"https://github.com/citation-style-language/schema/raw/master/csl-citation.json"} </w:instrText>
      </w:r>
      <w:r>
        <w:fldChar w:fldCharType="separate"/>
      </w:r>
      <w:r w:rsidR="0070527C" w:rsidRPr="0070527C">
        <w:rPr>
          <w:rFonts w:cs="Times New Roman"/>
          <w:szCs w:val="24"/>
          <w:vertAlign w:val="superscript"/>
        </w:rPr>
        <w:t>7</w:t>
      </w:r>
      <w:r>
        <w:fldChar w:fldCharType="end"/>
      </w:r>
      <w:r>
        <w:t>. T</w:t>
      </w:r>
      <w:r w:rsidRPr="007171BE">
        <w:t xml:space="preserve">EVs derived from </w:t>
      </w:r>
      <w:r>
        <w:t>TNBC</w:t>
      </w:r>
      <w:r w:rsidRPr="007171BE">
        <w:t xml:space="preserve"> cells </w:t>
      </w:r>
      <w:r>
        <w:t>were reported to promote</w:t>
      </w:r>
      <w:r w:rsidRPr="007171BE">
        <w:t xml:space="preserve"> proliferation and drug resistance in non-tumourigenic breast cells</w:t>
      </w:r>
      <w:r w:rsidRPr="007171BE">
        <w:fldChar w:fldCharType="begin"/>
      </w:r>
      <w:r w:rsidR="0070527C">
        <w:instrText xml:space="preserve"> ADDIN ZOTERO_ITEM CSL_CITATION {"citationID":"X72UdIRp","properties":{"formattedCitation":"\\super 8\\nosupersub{}","plainCitation":"8","noteIndex":0},"citationItems":[{"id":1891,"uris":["http://zotero.org/users/5214051/items/PZ4ENYXJ"],"itemData":{"id":1891,"type":"article-journal","abstract":"Triple-negative breast cancer (TNBC), an aggressive breast cancer subtype, is genetically heterogeneous which challenges the identification of clinically effective molecular makers. Extracellular vesicles (EVs) are key players in the intercellular signaling communication and have been shown to be involved in tumorigenesis. The main goal of this study was to evaluate the role and mechanisms of EVs derived from TNBC cells in modulating proliferation and cytotoxicity to chemotherapeutic agents in non-tumorigenic breast cells (MCF10A).","container-title":"Breast Cancer Research and Treatment","DOI":"10.1007/s10549-018-4925-5","ISSN":"1573-7217","issue":"3","journalAbbreviation":"Breast Cancer Res Treat","language":"en","page":"713-723","source":"Springer Link","title":"Extracellular vesicles from triple-negative breast cancer cells promote proliferation and drug resistance in non-tumorigenic breast cells","volume":"172","author":[{"family":"Ozawa","given":"Patricia Midori Murobushi"},{"family":"Alkhilaiwi","given":"Faris"},{"family":"Cavalli","given":"Iglenir João"},{"family":"Malheiros","given":"Danielle"},{"family":"Souza Fonseca Ribeiro","given":"Enilze Maria","non-dropping-particle":"de"},{"family":"Cavalli","given":"Luciane Regina"}],"issued":{"date-parts":[["2018",12,1]]}}}],"schema":"https://github.com/citation-style-language/schema/raw/master/csl-citation.json"} </w:instrText>
      </w:r>
      <w:r w:rsidRPr="007171BE">
        <w:fldChar w:fldCharType="separate"/>
      </w:r>
      <w:r w:rsidR="0070527C" w:rsidRPr="0070527C">
        <w:rPr>
          <w:rFonts w:cs="Times New Roman"/>
          <w:szCs w:val="24"/>
          <w:vertAlign w:val="superscript"/>
        </w:rPr>
        <w:t>8</w:t>
      </w:r>
      <w:r w:rsidRPr="007171BE">
        <w:fldChar w:fldCharType="end"/>
      </w:r>
      <w:r>
        <w:t>, and TEVs from young women’s breast cancer patients were found to drive increased invasion of non-malignant cells</w:t>
      </w:r>
      <w:r>
        <w:fldChar w:fldCharType="begin"/>
      </w:r>
      <w:r w:rsidR="0070527C">
        <w:instrText xml:space="preserve"> ADDIN ZOTERO_ITEM CSL_CITATION {"citationID":"a2h2siml8ai","properties":{"formattedCitation":"\\super 9\\nosupersub{}","plainCitation":"9","noteIndex":0},"citationItems":[{"id":2306,"uris":["http://zotero.org/users/5214051/items/FZ5I3M6C"],"itemData":{"id":2306,"type":"article-journal","abstract":"Extracellular vesicles (EVs) are small membrane particles that contribute to cancer progression and metastases by transporting biologically significant proteins and nucleic acids. They may also serve as biomarkers of various disease states or important therapeutic targets. Breast cancer EVs have the potential to change the behavior of other cells in their microenvironment. However, the proteomic content of EVs isolated from young women’s breast cancer patients and the mechanisms underlying the influence of EVs on tumor cell behavior have not yet been reported.","container-title":"Breast Cancer Research","DOI":"10.1186/s13058-020-01363-x","ISSN":"1465-542X","issue":"1","journalAbbreviation":"Breast Cancer Research","page":"128","source":"BioMed Central","title":"Extracellular vesicles from young women’s breast cancer patients drive increased invasion of non-malignant cells via the Focal Adhesion Kinase pathway: a proteomic approach","title-short":"Extracellular vesicles from young women’s breast cancer patients drive increased invasion of non-malignant cells via the Focal Adhesion Kinase pathway","volume":"22","author":[{"family":"Jordan","given":"Kimberly R."},{"family":"Hall","given":"Jessica K."},{"family":"Schedin","given":"Troy"},{"family":"Borakove","given":"Michelle"},{"family":"Xian","given":"Jenny J."},{"family":"Dzieciatkowska","given":"Monika"},{"family":"Lyons","given":"Traci R."},{"family":"Schedin","given":"Pepper"},{"family":"Hansen","given":"Kirk C."},{"family":"Borges","given":"Virginia F."}],"issued":{"date-parts":[["2020",11,23]]}}}],"schema":"https://github.com/citation-style-language/schema/raw/master/csl-citation.json"} </w:instrText>
      </w:r>
      <w:r>
        <w:fldChar w:fldCharType="separate"/>
      </w:r>
      <w:r w:rsidR="0070527C" w:rsidRPr="0070527C">
        <w:rPr>
          <w:rFonts w:cs="Times New Roman"/>
          <w:szCs w:val="24"/>
          <w:vertAlign w:val="superscript"/>
        </w:rPr>
        <w:t>9</w:t>
      </w:r>
      <w:r>
        <w:fldChar w:fldCharType="end"/>
      </w:r>
      <w:r>
        <w:t xml:space="preserve">. In breast carcinomas, the </w:t>
      </w:r>
      <w:r w:rsidRPr="00165241">
        <w:t xml:space="preserve">proclivity </w:t>
      </w:r>
      <w:r w:rsidR="00A6055D">
        <w:t>for</w:t>
      </w:r>
      <w:r w:rsidRPr="00165241">
        <w:t xml:space="preserve"> mesenchymal transition may be related to the high aggressiveness and characteristic metastatic spread of these tumo</w:t>
      </w:r>
      <w:r>
        <w:t>u</w:t>
      </w:r>
      <w:r w:rsidRPr="00165241">
        <w:t>rs</w:t>
      </w:r>
      <w:r>
        <w:fldChar w:fldCharType="begin"/>
      </w:r>
      <w:r w:rsidR="0070527C">
        <w:instrText xml:space="preserve"> ADDIN ZOTERO_ITEM CSL_CITATION {"citationID":"GMGreTFZ","properties":{"formattedCitation":"\\super 10\\nosupersub{}","plainCitation":"10","noteIndex":0},"citationItems":[{"id":2090,"uris":["http://zotero.org/users/5214051/items/RR787BIZ"],"itemData":{"id":2090,"type":"article-journal","abstract":"Epithelial-mesenchymal transition (EMT) is defined by the loss of epithelial characteristics and the acquisition of a mesenchymal phenotype. In carcinoma cells, EMT can be associated with increased aggressiveness, and invasive and metastatic potential. To assess the occurrence of EMT in human breast tumors, we conducted a tissue microarray–based immunohistochemical study in 479 invasive breast carcinomas and 12 carcinosarcomas using 28 different markers. Unsupervised hierarchical clustering of the tumors and statistical analysis showed that up-regulation of EMT markers (vimentin, smooth-muscle-actin, N-cadherin, and cadherin-11) and overexpression of proteins involved in extracellular matrix remodeling and invasion (SPARC, laminin, and fascin), together with reduction of characteristic epithelial markers (E-cadherin and cytokeratins), preferentially occur in breast tumors with the “basal-like phenotype.” Moreover, most breast carcinosarcomas also had a basal-like phenotype and showed expression of mesenchymal markers in their sarcomatous and epithelial components. To assess whether basal-like cells have intrinsic phenotypic plasticity for mesenchymal transition, we performed in vitro studies with the MCF10A cell line. In response to low cell density, MCF10A cells suffer spontaneous morphologic and phenotypic EMT-like changes, including cytoskeleton reorganization, vimentin and Slug up-regulation, cadherin switching, and diffuse cytosolic relocalization of the catenins. Moreover, these phenotypic changes are associated with modifications in the global genetic differentiation program characteristic of the EMT process. In summary, our data indicate that in breast tumors, EMT likely occurs within a specific genetic context, the basal phenotype, and suggests that this proclivity to mesenchymal transition may be related to the high aggressiveness and the characteristic metastatic spread of these tumors. [Cancer Res 2008;68(4):989–97]","container-title":"Cancer Research","DOI":"10.1158/0008-5472.CAN-07-2017","ISSN":"0008-5472","issue":"4","journalAbbreviation":"Cancer Research","page":"989-997","source":"Silverchair","title":"Epithelial-Mesenchymal Transition in Breast Cancer Relates to the Basal-like Phenotype","volume":"68","author":[{"family":"Sarrió","given":"David"},{"family":"Rodriguez-Pinilla","given":"Socorro María"},{"family":"Hardisson","given":"David"},{"family":"Cano","given":"Amparo"},{"family":"Moreno-Bueno","given":"Gema"},{"family":"Palacios","given":"José"}],"issued":{"date-parts":[["2008",2,15]]}}}],"schema":"https://github.com/citation-style-language/schema/raw/master/csl-citation.json"} </w:instrText>
      </w:r>
      <w:r>
        <w:fldChar w:fldCharType="separate"/>
      </w:r>
      <w:r w:rsidR="0070527C" w:rsidRPr="0070527C">
        <w:rPr>
          <w:rFonts w:cs="Times New Roman"/>
          <w:szCs w:val="24"/>
          <w:vertAlign w:val="superscript"/>
        </w:rPr>
        <w:t>10</w:t>
      </w:r>
      <w:r>
        <w:fldChar w:fldCharType="end"/>
      </w:r>
      <w:r>
        <w:t xml:space="preserve">. </w:t>
      </w:r>
      <w:r w:rsidR="00DA01A6">
        <w:t>TNBC is a particularly aggressive and invasive breast cancer subtype</w:t>
      </w:r>
      <w:r w:rsidR="00DA01A6">
        <w:fldChar w:fldCharType="begin"/>
      </w:r>
      <w:r w:rsidR="0070527C">
        <w:instrText xml:space="preserve"> ADDIN ZOTERO_ITEM CSL_CITATION {"citationID":"cJXwKW3r","properties":{"formattedCitation":"\\super 11\\nosupersub{}","plainCitation":"11","noteIndex":0},"citationItems":[{"id":1964,"uris":["http://zotero.org/users/5214051/items/P8QKLEEH"],"itemData":{"id":1964,"type":"article-journal","abstract":"Triple negative breast cancer (TNBC) is a breast cancer subtype which is particularly aggressive and invasive. The treatment of TNBC has been limited due to the lack of well-defined molecular targets. Exosomes are nano-sized extracellular vesicles that are released from virtually all cell types into the extracellular space. Due to their endocytic origin, exosomes carry valuable information from their cells of origin. Exosomes were first thought to serve as “garbage disposals” that eliminate unwanted cellular components. Later, they were found to be involved in the pathology of many diseases including cancer. Despite their established roles in multiple diseases, only a small number of studies have focused on the role of exosomes in TNBC. In this review, we outline the roles of exosomes in cancer progression, metastasis and drug resistance in this breast cancer subtype. We then further illustrate the potential roles of exosomes as diagnostic tools, therapeutic targets and delivery systems.","container-title":"Cancer Letters","DOI":"10.1016/j.canlet.2019.12.046","ISSN":"0304-3835","journalAbbreviation":"Cancer Letters","language":"en","page":"90-97","source":"ScienceDirect","title":"Exosomes in triple negative breast cancer: Garbage disposals or Trojan horses?","title-short":"Exosomes in triple negative breast cancer","volume":"473","author":[{"family":"Goh","given":"Chia Yin"},{"family":"Wyse","given":"Cathy"},{"family":"Ho","given":"Matthew"},{"family":"O'Beirne","given":"Ellen"},{"family":"Howard","given":"Jane"},{"family":"Lindsay","given":"Sinéad"},{"family":"Kelly","given":"Pamela"},{"family":"Higgins","given":"Michaela"},{"family":"McCann","given":"Amanda"}],"issued":{"date-parts":[["2020",3,31]]}}}],"schema":"https://github.com/citation-style-language/schema/raw/master/csl-citation.json"} </w:instrText>
      </w:r>
      <w:r w:rsidR="00DA01A6">
        <w:fldChar w:fldCharType="separate"/>
      </w:r>
      <w:r w:rsidR="0070527C" w:rsidRPr="0070527C">
        <w:rPr>
          <w:rFonts w:cs="Times New Roman"/>
          <w:szCs w:val="24"/>
          <w:vertAlign w:val="superscript"/>
        </w:rPr>
        <w:t>11</w:t>
      </w:r>
      <w:r w:rsidR="00DA01A6">
        <w:fldChar w:fldCharType="end"/>
      </w:r>
      <w:r w:rsidR="00DA01A6">
        <w:t xml:space="preserve"> with metastases frequently occurring in the first 3 years following surgery and a very low 5-year survival rate for afflicted patients (77% compared to 93% for other breast cancer subtypes</w:t>
      </w:r>
      <w:r w:rsidR="00DA01A6">
        <w:fldChar w:fldCharType="begin"/>
      </w:r>
      <w:r w:rsidR="0070527C">
        <w:instrText xml:space="preserve"> ADDIN ZOTERO_ITEM CSL_CITATION {"citationID":"jaKwRmJM","properties":{"formattedCitation":"\\super 12\\nosupersub{}","plainCitation":"12","noteIndex":0},"citationItems":[{"id":1969,"uris":["http://zotero.org/users/5214051/items/DHWIF93T"],"itemData":{"id":1969,"type":"article-journal","abstract":"BACKGROUND. Tumor markers are becoming increasingly important in breast cancer research because of their impact on prognosis, treatment, and survival, and because of their relation to breast cancer subtypes. The triple-negative phenotype is important because of its relation to the basal-like subtype of breast cancer. METHODS. Using the population-based California Cancer Registry data, we identified women diagnosed with triple-negative breast cancer between 1999 and 2003. We examined differences between triple-negative breast cancers compared with other breast cancers in relation to age, race/ethnicity, socioeconomic status (SES), stage at diagnosis, tumor grade, and relative survival. RESULTS. A total of 6370 women were identified as having triple-negative breast cancer and were compared with the 44,704 women with other breast cancers. Women with triple-negative breast cancers were significantly more likely to be under age 40 (odds ratio [OR], 1.53), and non-Hispanic black (OR, 1.77) or Hispanic (OR, 1.23). Regardless of stage at diagnosis, women with triple-negative breast cancers had poorer survival than those with other breast cancers, and non-Hispanic black women with late-stage triple-negative cancer had the poorest survival, with a 5-year relative survival of only 14%. CONCLUSIONS. Triple-negative breast cancers affect younger, non-Hispanic black and Hispanic women in areas of low SES. The tumors were diagnosed at later stage and were more aggressive, and these women had poorer survival regardless of stage. In addition, non-Hispanic black women with late-stage triple-negative breast cancer had the poorest survival of any comparable group. Cancer 2007. © 2007 American Cancer Society.","container-title":"Cancer","DOI":"10.1002/cncr.22618","ISSN":"1097-0142","issue":"9","language":"en","note":"_eprint: https://onlinelibrary.wiley.com/doi/pdf/10.1002/cncr.22618","page":"1721-1728","source":"Wiley Online Library","title":"Descriptive analysis of estrogen receptor (ER)-negative, progesterone receptor (PR)-negative, and HER2-negative invasive breast cancer, the so-called triple-negative phenotype","volume":"109","author":[{"family":"Bauer","given":"Katrina R."},{"family":"Brown","given":"Monica"},{"family":"Cress","given":"Rosemary D."},{"family":"Parise","given":"Carol A."},{"family":"Caggiano","given":"Vincent"}],"issued":{"date-parts":[["2007"]]}}}],"schema":"https://github.com/citation-style-language/schema/raw/master/csl-citation.json"} </w:instrText>
      </w:r>
      <w:r w:rsidR="00DA01A6">
        <w:fldChar w:fldCharType="separate"/>
      </w:r>
      <w:r w:rsidR="0070527C" w:rsidRPr="0070527C">
        <w:rPr>
          <w:rFonts w:cs="Times New Roman"/>
          <w:szCs w:val="24"/>
          <w:vertAlign w:val="superscript"/>
        </w:rPr>
        <w:t>12</w:t>
      </w:r>
      <w:r w:rsidR="00DA01A6">
        <w:fldChar w:fldCharType="end"/>
      </w:r>
      <w:r w:rsidR="00DA01A6">
        <w:t>).</w:t>
      </w:r>
      <w:r w:rsidR="00B633F6">
        <w:t xml:space="preserve"> </w:t>
      </w:r>
      <w:r w:rsidR="00DA01A6">
        <w:t>The higher mortality is partly due to a disproportionate number of metastatic disease cases</w:t>
      </w:r>
      <w:r w:rsidR="00DA01A6">
        <w:fldChar w:fldCharType="begin"/>
      </w:r>
      <w:r w:rsidR="0070527C">
        <w:instrText xml:space="preserve"> ADDIN ZOTERO_ITEM CSL_CITATION {"citationID":"zhFz1NI3","properties":{"formattedCitation":"\\super 13\\nosupersub{}","plainCitation":"13","noteIndex":0},"citationItems":[{"id":2088,"uris":["http://zotero.org/users/5214051/items/AST8X984"],"itemData":{"id":2088,"type":"article-journal","abstract":"Cytokeratin (CK) 14, one of several markers expressed in normal myoepithelial/basal cells, is also expressed in a proportion of breast carcinomas. Previous studies have suggested that expression of such 'basal' markers predicts different biological behaviour, with more frequent lung and brain metastases and poorer prognosis than other carcinomas.","container-title":"Breast Cancer Research","DOI":"10.1186/bcr1636","ISSN":"1465-542X","issue":"1","journalAbbreviation":"Breast Cancer Research","page":"R4","source":"BioMed Central","title":"Basal-like grade III invasive ductal carcinoma of the breast: patterns of metastasis and long-term survival","title-short":"Basal-like grade III invasive ductal carcinoma of the breast","volume":"9","author":[{"family":"Fulford","given":"Laura G."},{"family":"Reis-Filho","given":"Jorge S."},{"family":"Ryder","given":"Ken"},{"family":"Jones","given":"Chris"},{"family":"Gillett","given":"Cheryl E."},{"family":"Hanby","given":"Andrew"},{"family":"Easton","given":"Douglas"},{"family":"Lakhani","given":"Sunil R."}],"issued":{"date-parts":[["2007",1,11]]}}}],"schema":"https://github.com/citation-style-language/schema/raw/master/csl-citation.json"} </w:instrText>
      </w:r>
      <w:r w:rsidR="00DA01A6">
        <w:fldChar w:fldCharType="separate"/>
      </w:r>
      <w:r w:rsidR="0070527C" w:rsidRPr="0070527C">
        <w:rPr>
          <w:rFonts w:cs="Times New Roman"/>
          <w:szCs w:val="24"/>
          <w:vertAlign w:val="superscript"/>
        </w:rPr>
        <w:t>13</w:t>
      </w:r>
      <w:r w:rsidR="00DA01A6">
        <w:fldChar w:fldCharType="end"/>
      </w:r>
      <w:r w:rsidR="00DA01A6">
        <w:t>. Treatment of TNBC has been limited due to the lack of well-defined therapeutic targets</w:t>
      </w:r>
      <w:r w:rsidR="00DA01A6">
        <w:fldChar w:fldCharType="begin"/>
      </w:r>
      <w:r w:rsidR="0070527C">
        <w:instrText xml:space="preserve"> ADDIN ZOTERO_ITEM CSL_CITATION {"citationID":"mBQMNsY2","properties":{"formattedCitation":"\\super 14\\nosupersub{}","plainCitation":"14","noteIndex":0},"citationItems":[{"id":1967,"uris":["http://zotero.org/users/5214051/items/ND6AMUCV"],"itemData":{"id":1967,"type":"article-journal","abstract":"https://doi.org/10.18632/oncotarget.12284 Hui Yao, Guangchun He, Shichao Yan, Chao Chen, Liujiang Song, Thomas J. Rosol, Xiyun Deng","container-title":"Oncotarget","DOI":"10.18632/oncotarget.12284","ISSN":"1949-2553","issue":"1","language":"en","note":"publisher: Impact Journals","page":"1913-1924","source":"www.oncotarget.com","title":"Triple-negative breast cancer: is there a treatment on the horizon?","title-short":"Triple-negative breast cancer","volume":"8","author":[{"family":"Yao","given":"Hui"},{"family":"He","given":"Guangchun"},{"family":"Yan","given":"Shichao"},{"family":"Chen","given":"Chao"},{"family":"Song","given":"Liujiang"},{"family":"Rosol","given":"Thomas J."},{"family":"Deng","given":"Xiyun"}],"issued":{"date-parts":[["2016",9,27]]}}}],"schema":"https://github.com/citation-style-language/schema/raw/master/csl-citation.json"} </w:instrText>
      </w:r>
      <w:r w:rsidR="00DA01A6">
        <w:fldChar w:fldCharType="separate"/>
      </w:r>
      <w:r w:rsidR="0070527C" w:rsidRPr="0070527C">
        <w:rPr>
          <w:rFonts w:cs="Times New Roman"/>
          <w:szCs w:val="24"/>
          <w:vertAlign w:val="superscript"/>
        </w:rPr>
        <w:t>14</w:t>
      </w:r>
      <w:r w:rsidR="00DA01A6">
        <w:fldChar w:fldCharType="end"/>
      </w:r>
      <w:r w:rsidR="00DA01A6">
        <w:t xml:space="preserve"> and the scarcity of effective targeted therapies is in part to blame for a</w:t>
      </w:r>
      <w:r w:rsidR="00DA01A6" w:rsidRPr="00EA2206">
        <w:t xml:space="preserve"> poorer prognosis and treatment outcome </w:t>
      </w:r>
      <w:r w:rsidR="00DA01A6">
        <w:t xml:space="preserve">for TBNC </w:t>
      </w:r>
      <w:r w:rsidR="00DA01A6" w:rsidRPr="00EA2206">
        <w:t>than other types of breast cancer</w:t>
      </w:r>
      <w:r w:rsidR="00DA01A6">
        <w:fldChar w:fldCharType="begin"/>
      </w:r>
      <w:r w:rsidR="0070527C">
        <w:instrText xml:space="preserve"> ADDIN ZOTERO_ITEM CSL_CITATION {"citationID":"UOG33EWa","properties":{"formattedCitation":"\\super 11\\nosupersub{}","plainCitation":"11","noteIndex":0},"citationItems":[{"id":1964,"uris":["http://zotero.org/users/5214051/items/P8QKLEEH"],"itemData":{"id":1964,"type":"article-journal","abstract":"Triple negative breast cancer (TNBC) is a breast cancer subtype which is particularly aggressive and invasive. The treatment of TNBC has been limited due to the lack of well-defined molecular targets. Exosomes are nano-sized extracellular vesicles that are released from virtually all cell types into the extracellular space. Due to their endocytic origin, exosomes carry valuable information from their cells of origin. Exosomes were first thought to serve as “garbage disposals” that eliminate unwanted cellular components. Later, they were found to be involved in the pathology of many diseases including cancer. Despite their established roles in multiple diseases, only a small number of studies have focused on the role of exosomes in TNBC. In this review, we outline the roles of exosomes in cancer progression, metastasis and drug resistance in this breast cancer subtype. We then further illustrate the potential roles of exosomes as diagnostic tools, therapeutic targets and delivery systems.","container-title":"Cancer Letters","DOI":"10.1016/j.canlet.2019.12.046","ISSN":"0304-3835","journalAbbreviation":"Cancer Letters","language":"en","page":"90-97","source":"ScienceDirect","title":"Exosomes in triple negative breast cancer: Garbage disposals or Trojan horses?","title-short":"Exosomes in triple negative breast cancer","volume":"473","author":[{"family":"Goh","given":"Chia Yin"},{"family":"Wyse","given":"Cathy"},{"family":"Ho","given":"Matthew"},{"family":"O'Beirne","given":"Ellen"},{"family":"Howard","given":"Jane"},{"family":"Lindsay","given":"Sinéad"},{"family":"Kelly","given":"Pamela"},{"family":"Higgins","given":"Michaela"},{"family":"McCann","given":"Amanda"}],"issued":{"date-parts":[["2020",3,31]]}}}],"schema":"https://github.com/citation-style-language/schema/raw/master/csl-citation.json"} </w:instrText>
      </w:r>
      <w:r w:rsidR="00DA01A6">
        <w:fldChar w:fldCharType="separate"/>
      </w:r>
      <w:r w:rsidR="0070527C" w:rsidRPr="0070527C">
        <w:rPr>
          <w:rFonts w:cs="Times New Roman"/>
          <w:szCs w:val="24"/>
          <w:vertAlign w:val="superscript"/>
        </w:rPr>
        <w:t>11</w:t>
      </w:r>
      <w:r w:rsidR="00DA01A6">
        <w:fldChar w:fldCharType="end"/>
      </w:r>
      <w:r w:rsidR="00DA01A6">
        <w:t xml:space="preserve">. </w:t>
      </w:r>
      <w:r w:rsidRPr="003E4AE6">
        <w:t xml:space="preserve">Studies of progression from </w:t>
      </w:r>
      <w:r>
        <w:t xml:space="preserve">ductal carcinoma </w:t>
      </w:r>
      <w:r w:rsidRPr="008240BA">
        <w:rPr>
          <w:i/>
          <w:iCs/>
        </w:rPr>
        <w:t>in situ</w:t>
      </w:r>
      <w:r w:rsidRPr="003E4AE6">
        <w:t xml:space="preserve"> to invasive disease have been facilitated by the use of the MCF10A series</w:t>
      </w:r>
      <w:r>
        <w:fldChar w:fldCharType="begin"/>
      </w:r>
      <w:r w:rsidR="0070527C">
        <w:instrText xml:space="preserve"> ADDIN ZOTERO_ITEM CSL_CITATION {"citationID":"a10t12g73uv","properties":{"formattedCitation":"\\super 4,15\\nosupersub{}","plainCitation":"4,15","noteIndex":0},"citationItems":[{"id":384,"uris":["http://zotero.org/users/5214051/items/JC3RHBTQ"],"itemData":{"id":384,"type":"article-journal","abstract":"Exosomes are secreted by all cell types and contain proteins and nucleic acids. Here, we report that breast cancer associated exosomes contain microRNAs (miRNAs) associated with the RISC-Loading Complex (RLC) and display cell-independent capacity to process precursor microRNAs (pre-miRNAs) into mature miRNAs. Pre-miRNAs, along with Dicer, AGO2, and TRBP, are present in exosomes of cancer cells. CD43 mediates the accumulation of Dicer speciﬁcally in cancer exosomes. Cancer exosomes mediate an efﬁcient and rapid silencing of mRNAs to reprogram the target cell transcriptome. Exosomes derived from cells and sera of patients with breast cancer instigate nontumorigenic epithelial cells to form tumors in a Dicer-dependent manner. These ﬁndings offer opportunities for the development of exosomes based biomarkers and therapies.","container-title":"Cancer Cell","DOI":"10.1016/j.ccell.2014.09.005","ISSN":"15356108","issue":"5","journalAbbreviation":"Cancer Cell","language":"en","page":"707-721","source":"DOI.org (Crossref)","title":"Cancer Exosomes Perform Cell-Independent MicroRNA Biogenesis and Promote Tumorigenesis","volume":"26","author":[{"family":"Melo","given":"Sonia A."},{"family":"Sugimoto","given":"Hikaru"},{"family":"O’Connell","given":"Joyce T."},{"family":"Kato","given":"Noritoshi"},{"family":"Villanueva","given":"Alberto"},{"family":"Vidal","given":"August"},{"family":"Qiu","given":"Le"},{"family":"Vitkin","given":"Edward"},{"family":"Perelman","given":"Lev T."},{"family":"Melo","given":"Carlos A."},{"family":"Lucci","given":"Anthony"},{"family":"Ivan","given":"Cristina"},{"family":"Calin","given":"George A."},{"family":"Kalluri","given":"Raghu"}],"issued":{"date-parts":[["2014",11]]}}},{"id":1932,"uris":["http://zotero.org/users/5214051/items/KMYI9AXP"],"itemData":{"id":1932,"type":"article-journal","abstract":"The MCF10 series of cell lines was derived from benign breast tissue from a woman with ﬁbrocystic disease. The MCF10 human breast epithelial model system consists of mortal MCF10M and MCF10MS (mortal cells grown in serum-free and serum-containing media, respectively), immortalized but otherwise normal MCF10F and MCF10A lines (free-ﬂoating versus growth as attached cells), transformed MCF10AneoT cells transfected with T24 Ha-ras, and premalignant MCF10AT cells with potential for neoplastic progression. The MCF10AT, derived from xenograft-passaged MCF10-AneoT cells, generates carcinomas in </w:instrText>
      </w:r>
      <w:r w:rsidR="0070527C">
        <w:rPr>
          <w:rFonts w:ascii="Cambria Math" w:hAnsi="Cambria Math" w:cs="Cambria Math"/>
        </w:rPr>
        <w:instrText>∼</w:instrText>
      </w:r>
      <w:r w:rsidR="0070527C">
        <w:instrText xml:space="preserve"> 25% of xenografts. We now report the derivation of fully malignant MCF10CA1 lines that complete the spectrum of progression from relatively normal breast epithelial cells to breast cancer cells capable of metastasis. MCF10CA1 lines display histologic variations ranging from undifferentiated carcinomas, sometimes with focal squamous differentiation, to well-differentiated adenocarcinomas. At least two metastasize to the lung following injection of cells into the tail vein; one line grows very rapidly in the lung, with animals moribund within 4 weeks, whereas the other requires 15 weeks to reach the same endpoint. In addition to variations in efﬁciency of tumor production, the MCF10CA1 lines show differences in morphology in culture, anchorage-independent growth, karyotype, and immunocytochemistry proﬁles. The MCF10 model provides a unique tool for the investigation of molecular changes during progression of human breast neoplasia and the generation of tumor heterogeneity on a common genetic background.","container-title":"Breast Cancer Research and Treatment","DOI":"10.1023/A:1006461422273","ISSN":"0167-6806, 1573-7217","issue":"2","journalAbbreviation":"Breast Cancer Res Treat","language":"en","page":"101-110","source":"DOI.org (Crossref)","title":"Malignant MCF10CA1 Cell Lines Derived from Premalignant Human Breast Epithelial MCF10AT Cells","volume":"65","author":[{"family":"Santner","given":"Steven J."},{"family":"Dawson","given":"Peter J."},{"family":"Tait","given":"Larry"},{"family":"Soule","given":"Herbert D."},{"family":"Eliason","given":"James"},{"family":"Mohamed","given":"Anwar N."},{"family":"Wolman","given":"Sandra R."},{"family":"Heppner","given":"Gloria H."},{"family":"Miller","given":"Fred R."}],"issued":{"date-parts":[["2001",1]]}}}],"schema":"https://github.com/citation-style-language/schema/raw/master/csl-citation.json"} </w:instrText>
      </w:r>
      <w:r>
        <w:fldChar w:fldCharType="separate"/>
      </w:r>
      <w:r w:rsidR="0070527C" w:rsidRPr="0070527C">
        <w:rPr>
          <w:rFonts w:cs="Times New Roman"/>
          <w:szCs w:val="24"/>
          <w:vertAlign w:val="superscript"/>
        </w:rPr>
        <w:t>4,15</w:t>
      </w:r>
      <w:r>
        <w:fldChar w:fldCharType="end"/>
      </w:r>
      <w:r>
        <w:t>, which have intrinsic phenotypic plasticity for mesenchymal transition</w:t>
      </w:r>
      <w:r>
        <w:fldChar w:fldCharType="begin"/>
      </w:r>
      <w:r w:rsidR="0070527C">
        <w:instrText xml:space="preserve"> ADDIN ZOTERO_ITEM CSL_CITATION {"citationID":"efScki8K","properties":{"formattedCitation":"\\super 10\\nosupersub{}","plainCitation":"10","noteIndex":0},"citationItems":[{"id":2090,"uris":["http://zotero.org/users/5214051/items/RR787BIZ"],"itemData":{"id":2090,"type":"article-journal","abstract":"Epithelial-mesenchymal transition (EMT) is defined by the loss of epithelial characteristics and the acquisition of a mesenchymal phenotype. In carcinoma cells, EMT can be associated with increased aggressiveness, and invasive and metastatic potential. To assess the occurrence of EMT in human breast tumors, we conducted a tissue microarray–based immunohistochemical study in 479 invasive breast carcinomas and 12 carcinosarcomas using 28 different markers. Unsupervised hierarchical clustering of the tumors and statistical analysis showed that up-regulation of EMT markers (vimentin, smooth-muscle-actin, N-cadherin, and cadherin-11) and overexpression of proteins involved in extracellular matrix remodeling and invasion (SPARC, laminin, and fascin), together with reduction of characteristic epithelial markers (E-cadherin and cytokeratins), preferentially occur in breast tumors with the “basal-like phenotype.” Moreover, most breast carcinosarcomas also had a basal-like phenotype and showed expression of mesenchymal markers in their sarcomatous and epithelial components. To assess whether basal-like cells have intrinsic phenotypic plasticity for mesenchymal transition, we performed in vitro studies with the MCF10A cell line. In response to low cell density, MCF10A cells suffer spontaneous morphologic and phenotypic EMT-like changes, including cytoskeleton reorganization, vimentin and Slug up-regulation, cadherin switching, and diffuse cytosolic relocalization of the catenins. Moreover, these phenotypic changes are associated with modifications in the global genetic differentiation program characteristic of the EMT process. In summary, our data indicate that in breast tumors, EMT likely occurs within a specific genetic context, the basal phenotype, and suggests that this proclivity to mesenchymal transition may be related to the high aggressiveness and the characteristic metastatic spread of these tumors. [Cancer Res 2008;68(4):989–97]","container-title":"Cancer Research","DOI":"10.1158/0008-5472.CAN-07-2017","ISSN":"0008-5472","issue":"4","journalAbbreviation":"Cancer Research","page":"989-997","source":"Silverchair","title":"Epithelial-Mesenchymal Transition in Breast Cancer Relates to the Basal-like Phenotype","volume":"68","author":[{"family":"Sarrió","given":"David"},{"family":"Rodriguez-Pinilla","given":"Socorro María"},{"family":"Hardisson","given":"David"},{"family":"Cano","given":"Amparo"},{"family":"Moreno-Bueno","given":"Gema"},{"family":"Palacios","given":"José"}],"issued":{"date-parts":[["2008",2,15]]}}}],"schema":"https://github.com/citation-style-language/schema/raw/master/csl-citation.json"} </w:instrText>
      </w:r>
      <w:r>
        <w:fldChar w:fldCharType="separate"/>
      </w:r>
      <w:r w:rsidR="0070527C" w:rsidRPr="0070527C">
        <w:rPr>
          <w:rFonts w:cs="Times New Roman"/>
          <w:szCs w:val="24"/>
          <w:vertAlign w:val="superscript"/>
        </w:rPr>
        <w:t>10</w:t>
      </w:r>
      <w:r>
        <w:fldChar w:fldCharType="end"/>
      </w:r>
      <w:r w:rsidRPr="004E7CD7">
        <w:t xml:space="preserve"> </w:t>
      </w:r>
      <w:r>
        <w:t xml:space="preserve">and are </w:t>
      </w:r>
      <w:r w:rsidRPr="007171BE">
        <w:t>widely used for investigating EMT in premalignant cells</w:t>
      </w:r>
      <w:r w:rsidRPr="007171BE">
        <w:fldChar w:fldCharType="begin"/>
      </w:r>
      <w:r w:rsidR="0070527C">
        <w:instrText xml:space="preserve"> ADDIN ZOTERO_ITEM CSL_CITATION {"citationID":"EA3cphVE","properties":{"formattedCitation":"\\super 16,17\\nosupersub{}","plainCitation":"16,17","noteIndex":0},"citationItems":[{"id":1880,"uris":["http://zotero.org/users/5214051/items/VKLM727Q"],"itemData":{"id":1880,"type":"article-journal","abstract":"Breast cancer is the most common cancer in women and a leading cause of cancer-related deaths for women worldwide. Various cell models have been developed to study breast cancer tumorigenesis, metastasis, and drug sensitivity. The MCF10A human mammary epithelial cell line is a widely used in vitro model for studying normal breast cell function and transformation. However, there is limited knowledge about whether MCF10A cells reliably represent normal human mammary cells. MCF10A cells were grown in monolayer, suspension (mammosphere culture), three-dimensional (3D) “on-top” Matrigel, 3D “cell-embedded” Matrigel, or mixed Matrigel/collagen I gel. Suspension culture was performed with the MammoCult medium and low-attachment culture plates. Cells grown in 3D culture were fixed and subjected to either immunofluorescence staining or embedding and sectioning followed by immunohistochemistry and immunofluorescence staining. Cells or slides were stained for protein markers commonly used to identify mammary progenitor and epithelial cells. MCF10A cells expressed markers representing luminal, basal, and progenitor phenotypes in two-dimensional (2D) culture. When grown in suspension culture, MCF10A cells showed low mammosphere-forming ability. Cells in mammospheres and 3D culture expressed both luminal and basal markers. Surprisingly, the acinar structure formed by MCF10A cells in 3D culture was positive for both basal markers and the milk proteins β-casein and α-lactalbumin. MCF10A cells exhibit a unique differentiated phenotype in 3D culture which may not exist or be rare in normal human breast tissue. Our results raise a question as to whether the commonly used MCF10A cell line is a suitable model for human mammary cell studies.","container-title":"PLOS ONE","DOI":"10.1371/journal.pone.0131285","ISSN":"1932-6203","issue":"7","journalAbbreviation":"PLOS ONE","language":"en","note":"publisher: Public Library of Science","page":"e0131285","source":"PLoS Journals","title":"Evaluation of MCF10A as a Reliable Model for Normal Human Mammary Epithelial Cells","volume":"10","author":[{"family":"Qu","given":"Ying"},{"family":"Han","given":"Bingchen"},{"family":"Yu","given":"Yi"},{"family":"Yao","given":"Weiwu"},{"family":"Bose","given":"Shikha"},{"family":"Karlan","given":"Beth Y."},{"family":"Giuliano","given":"Armando E."},{"family":"Cui","given":"Xiaojiang"}],"issued":{"date-parts":[["2015",7,6]]}}},{"id":1923,"uris":["http://zotero.org/users/5214051/items/W6ND5WT2"],"itemData":{"id":1923,"type":"article-journal","abstract":"The MCF10 cell lines first described by Soule and colleagues in 1990 have been a great resource for the breast cancer research community, facilitating research on the regulation of normal breast epithelial phenotypes and progressive changes in this regulation during malignancy. Here we review the development of the MCF10 parental and subsequent sublines and highlight a few of the major contributions of MCF10 model systems to breast cancer research.See related article by Soule and colleagues, Cancer Res 1990;50:6075–86","container-title":"Cancer Research","DOI":"10.1158/0008-5472.CAN-21-1939","ISSN":"0008-5472","issue":"16","journalAbbreviation":"Cancer Research","page":"4183-4185","source":"Silverchair","title":"The MCF10 Model of Breast Tumor Progression","volume":"81","author":[{"family":"Puleo","given":"Julieann"},{"family":"Polyak","given":"Kornelia"}],"issued":{"date-parts":[["2021",8,16]]}}}],"schema":"https://github.com/citation-style-language/schema/raw/master/csl-citation.json"} </w:instrText>
      </w:r>
      <w:r w:rsidRPr="007171BE">
        <w:fldChar w:fldCharType="separate"/>
      </w:r>
      <w:r w:rsidR="0070527C" w:rsidRPr="0070527C">
        <w:rPr>
          <w:rFonts w:cs="Times New Roman"/>
          <w:szCs w:val="24"/>
          <w:vertAlign w:val="superscript"/>
        </w:rPr>
        <w:t>16,17</w:t>
      </w:r>
      <w:r w:rsidRPr="007171BE">
        <w:fldChar w:fldCharType="end"/>
      </w:r>
      <w:r>
        <w:t xml:space="preserve">. </w:t>
      </w:r>
      <w:r w:rsidR="00A6055D">
        <w:t>By contrast,</w:t>
      </w:r>
      <w:r>
        <w:t xml:space="preserve"> MDA-MB-231 is a cancerous epithelial cell line isolated from a patient with metastatic mammary adenocarcinoma; a type of cancer that begins in the glandular tissue of breast lobules and ducts. Therefore, inducing EMT in MCF10A cells by exposure to MDA-MB-231-derived TEVs (MDA-TEVs) represents a highly relevant disease model for </w:t>
      </w:r>
      <w:r w:rsidRPr="007D7CA5">
        <w:t>investiga</w:t>
      </w:r>
      <w:r w:rsidRPr="00BD6F26">
        <w:t>ting the lesions preceding invasive breast cancer</w:t>
      </w:r>
      <w:r>
        <w:t xml:space="preserve">. There is ample precedent for using it, as TEVs derived from MDA-MB-231 cells </w:t>
      </w:r>
      <w:r w:rsidRPr="007171BE">
        <w:t>stimulated with linoleic acid</w:t>
      </w:r>
      <w:r>
        <w:fldChar w:fldCharType="begin"/>
      </w:r>
      <w:r w:rsidR="0070527C">
        <w:instrText xml:space="preserve"> ADDIN ZOTERO_ITEM CSL_CITATION {"citationID":"IiroHQoz","properties":{"formattedCitation":"\\super 18\\nosupersub{}","plainCitation":"18","noteIndex":0},"citationItems":[{"id":2084,"uris":["http://zotero.org/users/5214051/items/6LQGS8TJ"],"itemData":{"id":2084,"type":"article-journal","abstract":"Extracellular vesicles (EVs) are membrane-limited vesicles secreted by normal and malignant cells and their function is dependent on the cargo they carry and the cell type from which they originate. Moreover, EVs mediate many stages of tumor progression including angiogenesis, escape from immune surveillance and extracellular matrix degradation. Linoleic acid (LA) is an essential polyunsaturated fatty acid that induces expression of plasminogen activator inhibitor-1, proliferation, migration and invasion in breast cancer cells. However the role of secreted EVs from MDA-MB-231 cells stimulated with LA like mediator of the epithelial-mesenchymal-transition (EMT) process in mammary non-tumorigenic epithelial cells MCF10A remains to be studied. In the present study, we demonstrate that treatment of MDA-MB-231 cells for 48h with 90µM LA does not induce an increase in the number of secreted EVs. In addition, EVs isolated from supernatants of MDA-MB-231 stimulated for 48h with 90µM LA induce a transient down-regulation of E-cadherin expression, and an increase of Snail1 and 2, Twist1 and 2, Sip1, vimentin and N-cadherin expression in MCF10A cells. EVs also promote an increase of MMP-2 and -9 secretions, an increase of NFκB-DNA binding activity, migration and invasion in MCF10A cells. In summary, our findings demonstrate, for the first time, that EVs isolated from supernatants of MDA-MB-231 stimulated for 48h with 90µM LA induce an EMT-like process in MCF10A cells.","container-title":"Prostaglandins, Leukotrienes and Essential Fatty Acids","DOI":"10.1016/j.plefa.2014.09.002","ISSN":"0952-3278","issue":"6","journalAbbreviation":"Prostaglandins, Leukotrienes and Essential Fatty Acids","language":"en","page":"299-310","source":"ScienceDirect","title":"Extracellular vesicles from MDA-MB-231 breast cancer cells stimulated with linoleic acid promote an EMT-like process in MCF10A cells","volume":"91","author":[{"family":"Galindo-Hernandez","given":"Octavio"},{"family":"Serna-Marquez","given":"Nathalia"},{"family":"Castillo-Sanchez","given":"Rocio"},{"family":"Salazar","given":"Eduardo Perez"}],"issued":{"date-parts":[["2014",12,1]]}}}],"schema":"https://github.com/citation-style-language/schema/raw/master/csl-citation.json"} </w:instrText>
      </w:r>
      <w:r>
        <w:fldChar w:fldCharType="separate"/>
      </w:r>
      <w:r w:rsidR="0070527C" w:rsidRPr="0070527C">
        <w:rPr>
          <w:rFonts w:cs="Times New Roman"/>
          <w:szCs w:val="24"/>
          <w:vertAlign w:val="superscript"/>
        </w:rPr>
        <w:t>18</w:t>
      </w:r>
      <w:r>
        <w:fldChar w:fldCharType="end"/>
      </w:r>
      <w:r>
        <w:t xml:space="preserve"> or i</w:t>
      </w:r>
      <w:r w:rsidRPr="00315F74">
        <w:t>nsulin-like growth factor-1</w:t>
      </w:r>
      <w:r>
        <w:fldChar w:fldCharType="begin"/>
      </w:r>
      <w:r w:rsidR="0070527C">
        <w:instrText xml:space="preserve"> ADDIN ZOTERO_ITEM CSL_CITATION {"citationID":"a2paramev92","properties":{"formattedCitation":"\\super 19\\nosupersub{}","plainCitation":"19","noteIndex":0},"citationItems":[{"id":2276,"uris":["http://zotero.org/users/5214051/items/J3DC73RX"],"itemData":{"id":2276,"type":"article-journal","abstract":"Insulin-like growth factor-1 (IGF-1) plays an important role in function and development of the mammary gland. However, high levels of IGF-1 has been associated with an increased risk of breast cancer development. Epithelial–mesenchymal transition (EMT) is a process where epithelial cells lose their epithelial characteristics and acquire a mesenchymal phenotype, which is considered one of the most important mechanisms in cancer initiation and promotion of metastasis. Extracellular vesicles (EVs) are released into the extracellular space by different cell types, which mediate intercellular communication and play an important role in different physiological and pathological processes, such as cancer. In this study, we demonstrate that EVs from MDA-MB-231 breast cancer cells stimulated with IGF-1 (IGF-1 EVs) decrease the levels of E-cadherin, increase the expression of vimentin and N-cadherin and stimulate the secretion of metalloproteinase-9 in mammary non-tumorigenic epithelial cells MCF10A. IGF-1 EVs also induce the expression of Snail1, Twist1 and Sip1, which are transcription factors involved in EMT. Moreover, IGF-1 EVs induce activation of ERK1/2, Akt1 and Akt2, migration and invasion. In summary, we demonstrate, for the first time, that IGF-1 EVs induce an EMT process in mammary non-tumorigenic epithelial cells MCF10A.","container-title":"Journal of Cell Communication and Signaling","DOI":"10.1007/s12079-021-00638-y","ISSN":"1873-961X","journalAbbreviation":"J. Cell Commun. Signal.","language":"en","source":"Springer Link","title":"Extracellular vesicles from MDA-MB-231 breast cancer cells stimulated with insulin-like growth factor 1 mediate an epithelial–mesenchymal transition process in MCF10A mammary epithelial cells","URL":"https://doi.org/10.1007/s12079-021-00638-y","author":[{"family":"Leal-Orta","given":"Elizabeth"},{"family":"Ramirez-Ricardo","given":"Javier"},{"family":"Garcia-Hernandez","given":"Alejandra"},{"family":"Cortes-Reynosa","given":"Pedro"},{"family":"Salazar","given":"Eduardo Perez"}],"accessed":{"date-parts":[["2022",5,14]]},"issued":{"date-parts":[["2021",7,26]]}}}],"schema":"https://github.com/citation-style-language/schema/raw/master/csl-citation.json"} </w:instrText>
      </w:r>
      <w:r>
        <w:fldChar w:fldCharType="separate"/>
      </w:r>
      <w:r w:rsidR="0070527C" w:rsidRPr="0070527C">
        <w:rPr>
          <w:rFonts w:cs="Times New Roman"/>
          <w:szCs w:val="24"/>
          <w:vertAlign w:val="superscript"/>
        </w:rPr>
        <w:t>19</w:t>
      </w:r>
      <w:r>
        <w:fldChar w:fldCharType="end"/>
      </w:r>
      <w:r>
        <w:t xml:space="preserve"> were found to mediate</w:t>
      </w:r>
      <w:r w:rsidRPr="007171BE">
        <w:t xml:space="preserve"> EMT in MCF10A cells</w:t>
      </w:r>
      <w:r>
        <w:t>, as did hypoxic small EVs derived from the same cell line</w:t>
      </w:r>
      <w:r>
        <w:fldChar w:fldCharType="begin"/>
      </w:r>
      <w:r w:rsidR="0070527C">
        <w:instrText xml:space="preserve"> ADDIN ZOTERO_ITEM CSL_CITATION {"citationID":"aj8m3ikl0b","properties":{"formattedCitation":"\\super 20\\nosupersub{}","plainCitation":"20","noteIndex":0},"citationItems":[{"id":2358,"uris":["http://zotero.org/users/5214051/items/UQCHE7VS"],"itemData":{"id":2358,"type":"article-journal","abstract":"Small extracellular vesicles (sEV) contribute to the crosstalk between tumor cells and stroma, but the underlying signals are elusive. Here, we show that sEV generated by breast cancer cells in hypoxic (sEVHYP), but not normoxic (sEVNORM) conditions activate NFκB in recipient normal mammary epithelial cells. This increases the production and release of inflammatory cytokines, promotes mitochondrial dynamics leading to heightened cell motility and disrupts 3D mammary acini architecture with aberrant cell proliferation, reduced apoptosis and EMT. Mechanistically, Integrin-Linked Kinase packaged in sEVHYP via HIF1α is sufficient to activate NFκB in the normal mammary epithelium, in vivo. Therefore, sEVHYP activation of NFκB drives multiple oncogenic steps of inflammation, mitochondrial dynamics, and mammary gland morphogenesis in a breast cancer microenvironment.","container-title":"Oncogene","DOI":"10.1038/s41388-022-02280-3","ISSN":"1476-5594","issue":"17","language":"en","note":"number: 17\npublisher: Nature Publishing Group","page":"2520-2525","source":"www.nature.com","title":"NFκB activation by hypoxic small extracellular vesicles drives oncogenic reprogramming in a breast cancer microenvironment","volume":"41","author":[{"family":"Bertolini","given":"Irene"},{"family":"Perego","given":"Michela"},{"family":"Ghosh","given":"Jagadish C."},{"family":"Kossenkov","given":"Andrew V."},{"family":"Altieri","given":"Dario C."}],"issued":{"date-parts":[["2022",4]]}}}],"schema":"https://github.com/citation-style-language/schema/raw/master/csl-citation.json"} </w:instrText>
      </w:r>
      <w:r>
        <w:fldChar w:fldCharType="separate"/>
      </w:r>
      <w:r w:rsidR="0070527C" w:rsidRPr="0070527C">
        <w:rPr>
          <w:rFonts w:cs="Times New Roman"/>
          <w:szCs w:val="24"/>
          <w:vertAlign w:val="superscript"/>
        </w:rPr>
        <w:t>20</w:t>
      </w:r>
      <w:r>
        <w:fldChar w:fldCharType="end"/>
      </w:r>
      <w:r>
        <w:t>.</w:t>
      </w:r>
      <w:r w:rsidR="00DA01A6">
        <w:t xml:space="preserve"> </w:t>
      </w:r>
      <w:r w:rsidR="00162456">
        <w:br w:type="page"/>
      </w:r>
    </w:p>
    <w:p w14:paraId="4822149E" w14:textId="77777777" w:rsidR="00162456" w:rsidRDefault="00162456" w:rsidP="00162456">
      <w:r>
        <w:rPr>
          <w:noProof/>
        </w:rPr>
        <w:lastRenderedPageBreak/>
        <w:drawing>
          <wp:inline distT="0" distB="0" distL="0" distR="0" wp14:anchorId="1BD94A1A" wp14:editId="79FC7DB1">
            <wp:extent cx="5651154" cy="3776016"/>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69713" cy="3788417"/>
                    </a:xfrm>
                    <a:prstGeom prst="rect">
                      <a:avLst/>
                    </a:prstGeom>
                    <a:noFill/>
                  </pic:spPr>
                </pic:pic>
              </a:graphicData>
            </a:graphic>
          </wp:inline>
        </w:drawing>
      </w:r>
    </w:p>
    <w:p w14:paraId="2D02556E" w14:textId="7B0C1949" w:rsidR="00F06D6C" w:rsidRDefault="00162456" w:rsidP="004B59FA">
      <w:bookmarkStart w:id="2" w:name="_Toc104452797"/>
      <w:r w:rsidRPr="005824DE">
        <w:rPr>
          <w:b/>
          <w:bCs/>
        </w:rPr>
        <w:t>Figure S</w:t>
      </w:r>
      <w:r w:rsidR="002D2F55">
        <w:rPr>
          <w:b/>
          <w:bCs/>
        </w:rPr>
        <w:t>1:</w:t>
      </w:r>
      <w:r>
        <w:t xml:space="preserve"> Unedited Western blots for EV characterisation, showing samples probed for EV markers CD63 and CD9, microvesicle marker annexin A1, and negative marker calreticulin.</w:t>
      </w:r>
      <w:bookmarkEnd w:id="2"/>
      <w:r>
        <w:t xml:space="preserve"> </w:t>
      </w:r>
      <w:r w:rsidR="00F06D6C">
        <w:br w:type="page"/>
      </w:r>
    </w:p>
    <w:p w14:paraId="4AB02C75" w14:textId="09B7BD80" w:rsidR="00F06D6C" w:rsidRDefault="00F06D6C" w:rsidP="00F06D6C">
      <w:pPr>
        <w:rPr>
          <w:b/>
          <w:bCs/>
        </w:rPr>
      </w:pPr>
      <w:bookmarkStart w:id="3" w:name="_Toc104452670"/>
      <w:bookmarkStart w:id="4" w:name="_Toc104452798"/>
      <w:r w:rsidRPr="00AD6B55">
        <w:rPr>
          <w:b/>
          <w:bCs/>
        </w:rPr>
        <w:lastRenderedPageBreak/>
        <w:t xml:space="preserve">Supplementary </w:t>
      </w:r>
      <w:r>
        <w:rPr>
          <w:b/>
          <w:bCs/>
        </w:rPr>
        <w:t>D</w:t>
      </w:r>
      <w:r w:rsidRPr="00AD6B55">
        <w:rPr>
          <w:b/>
          <w:bCs/>
        </w:rPr>
        <w:t>iscussion</w:t>
      </w:r>
      <w:r w:rsidR="00DD69F0">
        <w:rPr>
          <w:b/>
          <w:bCs/>
        </w:rPr>
        <w:t xml:space="preserve"> </w:t>
      </w:r>
      <w:r w:rsidR="00AC4CD8">
        <w:rPr>
          <w:b/>
          <w:bCs/>
        </w:rPr>
        <w:t>2</w:t>
      </w:r>
      <w:r w:rsidRPr="00AD6B55">
        <w:rPr>
          <w:b/>
          <w:bCs/>
        </w:rPr>
        <w:t>:</w:t>
      </w:r>
      <w:r w:rsidRPr="009C388B">
        <w:rPr>
          <w:b/>
          <w:bCs/>
        </w:rPr>
        <w:t xml:space="preserve"> </w:t>
      </w:r>
      <w:r w:rsidR="009C388B" w:rsidRPr="009C388B">
        <w:rPr>
          <w:b/>
          <w:bCs/>
        </w:rPr>
        <w:t xml:space="preserve">Investigating EMT requires </w:t>
      </w:r>
      <w:r w:rsidR="002C13AA">
        <w:rPr>
          <w:b/>
          <w:bCs/>
        </w:rPr>
        <w:t xml:space="preserve">high </w:t>
      </w:r>
      <w:r w:rsidR="009C388B" w:rsidRPr="009C388B">
        <w:rPr>
          <w:b/>
          <w:bCs/>
        </w:rPr>
        <w:t>temporal resolution and functional readouts</w:t>
      </w:r>
      <w:bookmarkEnd w:id="3"/>
      <w:bookmarkEnd w:id="4"/>
    </w:p>
    <w:p w14:paraId="7EEE4846" w14:textId="5BCF79C3" w:rsidR="004F4044" w:rsidRDefault="00F06D6C" w:rsidP="004B59FA">
      <w:r>
        <w:t>Our platform aims to address the limitations of current sensing technologies in metastasis research. Namely, the inability to monitor the transient state of a dynamic biological system and produce quantitative, time-series data relevant to the biology at play. EMT is a transient process and one of the difficulties in its study arises because the transitions between epithelial and mesenchymal states are not binary</w:t>
      </w:r>
      <w:r>
        <w:fldChar w:fldCharType="begin"/>
      </w:r>
      <w:r w:rsidR="0070527C">
        <w:instrText xml:space="preserve"> ADDIN ZOTERO_ITEM CSL_CITATION {"citationID":"D1YdxTEb","properties":{"formattedCitation":"\\super 21\\nosupersub{}","plainCitation":"21","noteIndex":0},"citationItems":[{"id":2107,"uris":["http://zotero.org/users/5214051/items/5AXQ54QN"],"itemData":{"id":2107,"type":"article-journal","abstract":"Epithelial-mesenchymal transition (EMT) and its critical roles during cancer progression have long been recognized and extensively reviewed. Recent studies on the generation of induced pluripotent stem cells (iPSCs) have established the connections among EMT, energy metabolism, DNA methylation, and histone modification. Since energy metabolism, DNA methylation, and histone modification are important for cancer development and there are common characteristics between cancer cells and stem cells, it is reasonable to identify mechanisms that have been established during both reprogramming and cancer progression. In the current review, we start from a brief review on EMT and related processes during cancer progression, and then switch to the EMT during somatic cell reprogramming. We summarize the connection between EMT and metabolic switch during reprogramming, and further review the involvements of DNA methylation and cell proliferation. The connections between EMT and mesenchymal-epithelial transition (MET) and cellular aspects including DNA methylation, histone modification and energy metabolism may provide potential new targets for cancer diagnosis and treatment.","container-title":"Frontiers in Cell and Developmental Biology","ISSN":"2296-634X","source":"Frontiers","title":"Epithelial-Mesenchymal Transition and Metabolic Switching in Cancer: Lessons From Somatic Cell Reprogramming","title-short":"Epithelial-Mesenchymal Transition and Metabolic Switching in Cancer","URL":"https://www.frontiersin.org/article/10.3389/fcell.2020.00760","volume":"8","author":[{"family":"Lai","given":"Xiaowei"},{"family":"Li","given":"Qian"},{"family":"Wu","given":"Fang"},{"family":"Lin","given":"Jiechun"},{"family":"Chen","given":"Jiekai"},{"family":"Zheng","given":"Hui"},{"family":"Guo","given":"Lin"}],"accessed":{"date-parts":[["2022",3,28]]},"issued":{"date-parts":[["2020"]]}}}],"schema":"https://github.com/citation-style-language/schema/raw/master/csl-citation.json"} </w:instrText>
      </w:r>
      <w:r>
        <w:fldChar w:fldCharType="separate"/>
      </w:r>
      <w:r w:rsidR="0070527C" w:rsidRPr="0070527C">
        <w:rPr>
          <w:rFonts w:cs="Times New Roman"/>
          <w:szCs w:val="24"/>
          <w:vertAlign w:val="superscript"/>
        </w:rPr>
        <w:t>21</w:t>
      </w:r>
      <w:r>
        <w:fldChar w:fldCharType="end"/>
      </w:r>
      <w:r>
        <w:t>. Carcinoma cells often exhibit a spectrum of epithelial-mesenchymal characteristics</w:t>
      </w:r>
      <w:r>
        <w:fldChar w:fldCharType="begin"/>
      </w:r>
      <w:r w:rsidR="0070527C">
        <w:instrText xml:space="preserve"> ADDIN ZOTERO_ITEM CSL_CITATION {"citationID":"ng5SDTZ5","properties":{"formattedCitation":"\\super 22,23\\nosupersub{}","plainCitation":"22,23","noteIndex":0},"citationItems":[{"id":2112,"uris":["http://zotero.org/users/5214051/items/FUQJ3B2V"],"itemData":{"id":2112,"type":"article-journal","abstract":"The cell-biological program termed the epithelial-to-mesenchymal transition (EMT) plays an important role in both development and cancer progression. Depending on the contextual signals and intracellular gene circuits of a particular cell, this program can drive fully epithelial cells to enter into a series of phenotypic states arrayed along the epithelial-mesenchymal phenotypic axis. These cell states display distinctive cellular characteristics, including stemness, invasiveness, drug-resistance and the ability to form metastases at distant organs, and thereby contribute to cancer metastasis and relapse. Currently we still lack a coherent overview of the molecular and biochemical mechanisms inducing cells to enter various states along the epithelial-mesenchymal phenotypic spectrum. An improved understanding of the dynamic and plastic nature of the EMT program has the potential to yield novel therapies targeting this cellular program that may aid in the management of high-grade malignancies.","container-title":"Frontiers of Medicine","DOI":"10.1007/s11684-018-0656-6","ISSN":"2095-0217, 2095-0225","issue":"4","journalAbbreviation":"Front. Med.","language":"en","page":"361-373","source":"DOI.org (Crossref)","title":"Epithelial-to-mesenchymal transition in cancer: complexity and opportunities","title-short":"Epithelial-to-mesenchymal transition in cancer","volume":"12","author":[{"family":"Zhang","given":"Yun"},{"family":"Weinberg","given":"Robert A."}],"issued":{"date-parts":[["2018",8]]}}},{"id":2109,"uris":["http://zotero.org/users/5214051/items/GC84RWB2"],"itemData":{"id":2109,"type":"article-journal","abstract":"Epithelial-to-mesenchymal transition (EMT) and its reverse mesenchymal-to-epithelial transition (MET) have been suggested to play crucial roles in metastatic dissemination of carcinomas. These phenotypic transitions between states are not binary. Instead, carcinoma cells often exhibit a spectrum of epithelial/mesenchymal phenotype(s). While epithelial/mesenchymal plasticity has been observed preclinically and clinically, whether any of these phenotypic transitions are indispensable for metastatic outgrowth remains an unanswered question. Here, we focus on epithelial/mesenchymal plasticity in metastatic dissemination and propose alternative mechanisms for successful dissemination and metastases beyond the traditional EMT/MET view. We highlight multiple hypotheses that can help reconcile conflicting observations, and outline the next set of key questions that can offer valuable insights into mechanisms of metastasis in multiple tumor models.","container-title":"Molecular Oncology","DOI":"10.1002/1878-0261.12083","ISSN":"1878-0261","issue":"7","language":"en","note":"_eprint: https://onlinelibrary.wiley.com/doi/pdf/10.1002/1878-0261.12083","page":"755-769","source":"Wiley Online Library","title":"EMT and MET: necessary or permissive for metastasis?","title-short":"EMT and MET","volume":"11","author":[{"family":"Jolly","given":"Mohit Kumar"},{"family":"Ware","given":"Kathryn E."},{"family":"Gilja","given":"Shivee"},{"family":"Somarelli","given":"Jason A."},{"family":"Levine","given":"Herbert"}],"issued":{"date-parts":[["2017"]]}}}],"schema":"https://github.com/citation-style-language/schema/raw/master/csl-citation.json"} </w:instrText>
      </w:r>
      <w:r>
        <w:fldChar w:fldCharType="separate"/>
      </w:r>
      <w:r w:rsidR="0070527C" w:rsidRPr="0070527C">
        <w:rPr>
          <w:rFonts w:cs="Times New Roman"/>
          <w:szCs w:val="24"/>
          <w:vertAlign w:val="superscript"/>
        </w:rPr>
        <w:t>22,23</w:t>
      </w:r>
      <w:r>
        <w:fldChar w:fldCharType="end"/>
      </w:r>
      <w:r>
        <w:t xml:space="preserve"> and studies have shown that cancer cells, including </w:t>
      </w:r>
      <w:r w:rsidRPr="00CE6797">
        <w:t>breast</w:t>
      </w:r>
      <w:r>
        <w:t xml:space="preserve"> cancers, express both epithelial and mesenchymal markers</w:t>
      </w:r>
      <w:r>
        <w:fldChar w:fldCharType="begin"/>
      </w:r>
      <w:r w:rsidR="0070527C">
        <w:instrText xml:space="preserve"> ADDIN ZOTERO_ITEM CSL_CITATION {"citationID":"a1d88bhmorg","properties":{"formattedCitation":"\\super 24,25\\nosupersub{}","plainCitation":"24,25","noteIndex":0},"citationItems":[{"id":2122,"uris":["http://zotero.org/users/5214051/items/I2VUII6X"],"itemData":{"id":2122,"type":"article-journal","abstract":"Induced pluripotency in cancer cells by ectopic expression of pluripotency-regulating factors may be used for disease modeling of cancers. MicroRNAs (miRNAs) are negative regulators of gene expression that play important role in reprogramming somatic cells. However, studies on the miRNA expression profile and the expression patterns of the mesenchymal-epithelial transition (MET)/epithelial-mesenchymal transition (EMT) genes in induced pluripotent cancer (iPC) cells are lacking.","container-title":"Journal of Biomedical Science","DOI":"10.1186/s12929-018-0461-1","ISSN":"1423-0127","issue":"1","journalAbbreviation":"Journal of Biomedical Science","page":"57","source":"BioMed Central","title":"Incomplete cellular reprogramming of colorectal cancer cells elicits an epithelial/mesenchymal hybrid phenotype","volume":"25","author":[{"family":"Hiew","given":"Michele Sook Yuin"},{"family":"Cheng","given":"Han Ping"},{"family":"Huang","given":"Chiu-Jung"},{"family":"Chong","given":"Kowit Yu"},{"family":"Cheong","given":"Soon Keng"},{"family":"Choo","given":"Kong Bung"},{"family":"Kamarul","given":"Tunku"}],"issued":{"date-parts":[["2018",7,19]]}}},{"id":2125,"uris":["http://zotero.org/users/5214051/items/5S6TIK23"],"itemData":{"id":2125,"type":"article-journal","abstract":"Cancer cell invasion takes place at the cancer–host interface and is a prerequisite for distant metastasis. The relationships between current biological and clinical concepts such as cell migration modes, tumour budding and epithelial–mesenchymal transition (EMT) remains unclear in several aspects, especially for the 'real' situation in human cancer. We developed a novel method that provides exact three-dimensional (3D) information on both microscopic morphology and gene expression, over a virtually unlimited spatial range, by reconstruction from serial immunostained tissue slices. Quantitative 3D assessment of tumour budding at the cancer–host interface in human pancreatic, colorectal, lung and breast adenocarcinoma suggests collective cell migration as the mechanism of cancer cell invasion, while single cancer cell migration seems to be virtually absent. Budding tumour cells display a shift towards spindle-like as well as a rounded morphology. This is associated with decreased E-cadherin staining intensity and a shift from membranous to cytoplasmic staining, as well as increased nuclear ZEB1 expression. Copyright © 2014 Pathological Society of Great Britain and Ireland. Published by John Wiley &amp; Sons, Ltd.","container-title":"The Journal of Pathology","DOI":"10.1002/path.4416","ISSN":"1096-9896","issue":"3","language":"en","note":"_eprint: https://onlinelibrary.wiley.com/doi/pdf/10.1002/path.4416","page":"410-422","source":"Wiley Online Library","title":"Cancer cell invasion and EMT marker expression: a three-dimensional study of the human cancer–host interface","title-short":"Cancer cell invasion and EMT marker expression","volume":"234","author":[{"family":"Bronsert","given":"P"},{"family":"Enderle-Ammour","given":"K"},{"family":"Bader","given":"M"},{"family":"Timme","given":"S"},{"family":"Kuehs","given":"M"},{"family":"Csanadi","given":"A"},{"family":"Kayser","given":"G"},{"family":"Kohler","given":"I"},{"family":"Bausch","given":"D"},{"family":"Hoeppner","given":"J"},{"family":"Hopt","given":"Ut"},{"family":"Keck","given":"T"},{"family":"Stickeler","given":"E"},{"family":"Passlick","given":"B"},{"family":"Schilling","given":"O"},{"family":"Reiss","given":"Cp"},{"family":"Vashist","given":"Y"},{"family":"Brabletz","given":"T"},{"family":"Berger","given":"J"},{"family":"Lotz","given":"J"},{"family":"Olesch","given":"J"},{"family":"Werner","given":"M"},{"family":"Wellner","given":"Uf"}],"issued":{"date-parts":[["2014"]]}}}],"schema":"https://github.com/citation-style-language/schema/raw/master/csl-citation.json"} </w:instrText>
      </w:r>
      <w:r>
        <w:fldChar w:fldCharType="separate"/>
      </w:r>
      <w:r w:rsidR="0070527C" w:rsidRPr="0070527C">
        <w:rPr>
          <w:rFonts w:cs="Times New Roman"/>
          <w:szCs w:val="24"/>
          <w:vertAlign w:val="superscript"/>
        </w:rPr>
        <w:t>24,25</w:t>
      </w:r>
      <w:r>
        <w:fldChar w:fldCharType="end"/>
      </w:r>
      <w:r>
        <w:t xml:space="preserve">. As such, the existence of hybrid EMT states or phenotypes (partial EMT) have been suggested to describe a tumour cell differentiation state in which cancer cells keep both EMT and mesenchymal-to-epithelial transition (MET; reverse-EMT) characteristics. This </w:t>
      </w:r>
      <w:r w:rsidRPr="002443B5">
        <w:t>may promote tumo</w:t>
      </w:r>
      <w:r>
        <w:t>u</w:t>
      </w:r>
      <w:r w:rsidRPr="002443B5">
        <w:t>r cell plasticity and tumo</w:t>
      </w:r>
      <w:r>
        <w:t>u</w:t>
      </w:r>
      <w:r w:rsidRPr="002443B5">
        <w:t>r progression</w:t>
      </w:r>
      <w:r>
        <w:fldChar w:fldCharType="begin"/>
      </w:r>
      <w:r w:rsidR="0070527C">
        <w:instrText xml:space="preserve"> ADDIN ZOTERO_ITEM CSL_CITATION {"citationID":"MuzKsqv6","properties":{"formattedCitation":"\\super 24,26,27\\nosupersub{}","plainCitation":"24,26,27","noteIndex":0},"citationItems":[{"id":2114,"uris":["http://zotero.org/users/5214051/items/28XN57ZH"],"itemData":{"id":2114,"type":"article-journal","abstract":"The Wilms' tumor transcription factor (WT1) was originally classified as a tumor suppressor, but it is now known to also be associated with cancer progression and poor prognosis in several malignancies. WT1 plays an essential role in orchestrating a developmental process known as mesenchymal-to-epithelial transition (MET) during kidney development, but also induces the reverse process, epithelial-to-mesenchymal transition (EMT) during heart development. WT1 is not expressed in the adult kidney, but shows elevated expression in clear cell renal cell carcinoma (ccRCC). However, the role of WT1 in this disease has not been characterized. In this study, we demonstrate that WT1 is upregulated in ccRCC cells that are deficient in the expression of the von Hippel-Lindau tumor suppressor protein (VHL). We found that WT1 transcriptionally activated Snail, a master transcriptional repressor that is known to induce EMT. Although Snail represses E-cadherin and induces mesenchymal characteristics, we found partial maintenance of E-cadherin and associated epithelial characteristics in kidney cells and ccRCC cells that express WT1, since WT1 upregulates E-cadherin expression and competes with Snail repression. These findings support a novel paradigm in which WT1 induces an epithelial-mesenchymal hybrid transition (EMHT), characterized by Snail up-regulation with E-cadherin maintenance, a tumor cell differentiation state in which cancer cells keep both EMT and MET characteristics which may promote tumor cell plasticity and tumor progression.","container-title":"PLOS ONE","DOI":"10.1371/journal.pone.0102041","ISSN":"1932-6203","issue":"7","journalAbbreviation":"PLOS ONE","language":"en","note":"publisher: Public Library of Science","page":"e102041","source":"PLoS Journals","title":"Wilms' Tumor Protein Induces an Epithelial-Mesenchymal Hybrid Differentiation State in Clear Cell Renal Cell Carcinoma","volume":"9","author":[{"family":"Sampson","given":"Valerie B."},{"family":"David","given":"Justin M."},{"family":"Puig","given":"Isabel"},{"family":"Patil","given":"Pratima U."},{"family":"Herreros","given":"Antonio García","dropping-particle":"de"},{"family":"Thomas","given":"George V."},{"family":"Rajasekaran","given":"Ayyappan K."}],"issued":{"date-parts":[["2014",7,15]]}}},{"id":2117,"uris":["http://zotero.org/users/5214051/items/AM6H8LQW"],"itemData":{"id":2117,"type":"article-journal","abstract":"Epithelial-to-mesenchymal transition (EMT) is a key process associated with tumor progression and metastasis. To define molecular features associated with EMT states, we undertook an integrative approach combining mRNA, miRNA, DNA methylation, and proteomic profiles of 38 cell populations representative of the genomic heterogeneity in lung adenocarcinoma. The resulting data were integrated with functional profiles consisting of cell invasiveness, adhesion, and motility. A subset of cell lines that were readily defined as epithelial or mesenchymal based on their morphology and E-cadherin and vimentin expression elicited distinctive molecular signatures. Other cell populations displayed intermediate/hybrid states of EMT, with mixed epithelial and mesenchymal characteristics. A dominant proteomic feature of aggressive hybrid cell lines was upregulation of cytoskeletal and actin-binding proteins, a signature shared with mesenchymal cell lines. Cytoskeletal reorganization preceded loss of E-cadherin in epithelial cells in which EMT was induced by TGFβ. A set of transcripts corresponding to the mesenchymal protein signature enriched in cytoskeletal proteins was found to be predictive of survival in independent datasets of lung adenocarcinomas. Our findings point to an association between cytoskeletal and actin-binding proteins, a mesenchymal or hybrid EMT phenotype and invasive properties of lung adenocarcinomas. Cancer Res; 75(9); 1789–800. ©2015 AACR.","container-title":"Cancer Research","DOI":"10.1158/0008-5472.CAN-14-2535","ISSN":"0008-5472","issue":"9","journalAbbreviation":"Cancer Research","page":"1789-1800","source":"Silverchair","title":"Molecular Portraits of Epithelial, Mesenchymal, and Hybrid States in Lung Adenocarcinoma and Their Relevance to Survival","volume":"75","author":[{"family":"Schliekelman","given":"Mark J."},{"family":"Taguchi","given":"Ayumu"},{"family":"Zhu","given":"Jun"},{"family":"Dai","given":"Xudong"},{"family":"Rodriguez","given":"Jaime"},{"family":"Celiktas","given":"Muge"},{"family":"Zhang","given":"Qing"},{"family":"Chin","given":"Alice"},{"family":"Wong","given":"Chee-Hong"},{"family":"Wang","given":"Hong"},{"family":"McFerrin","given":"Lisa"},{"family":"Selamat","given":"Suhaida A."},{"family":"Yang","given":"Chenchen"},{"family":"Kroh","given":"Evan M."},{"family":"Garg","given":"Kavita S."},{"family":"Behrens","given":"Carmen"},{"family":"Gazdar","given":"Adi F."},{"family":"Laird-Offringa","given":"Ite A."},{"family":"Tewari","given":"Muneesh"},{"family":"Wistuba","given":"Ignacio I."},{"family":"Thiery","given":"Jean P."},{"family":"Hanash","given":"Samir M."}],"issued":{"date-parts":[["2015",4,30]]}}},{"id":2122,"uris":["http://zotero.org/users/5214051/items/I2VUII6X"],"itemData":{"id":2122,"type":"article-journal","abstract":"Induced pluripotency in cancer cells by ectopic expression of pluripotency-regulating factors may be used for disease modeling of cancers. MicroRNAs (miRNAs) are negative regulators of gene expression that play important role in reprogramming somatic cells. However, studies on the miRNA expression profile and the expression patterns of the mesenchymal-epithelial transition (MET)/epithelial-mesenchymal transition (EMT) genes in induced pluripotent cancer (iPC) cells are lacking.","container-title":"Journal of Biomedical Science","DOI":"10.1186/s12929-018-0461-1","ISSN":"1423-0127","issue":"1","journalAbbreviation":"Journal of Biomedical Science","page":"57","source":"BioMed Central","title":"Incomplete cellular reprogramming of colorectal cancer cells elicits an epithelial/mesenchymal hybrid phenotype","volume":"25","author":[{"family":"Hiew","given":"Michele Sook Yuin"},{"family":"Cheng","given":"Han Ping"},{"family":"Huang","given":"Chiu-Jung"},{"family":"Chong","given":"Kowit Yu"},{"family":"Cheong","given":"Soon Keng"},{"family":"Choo","given":"Kong Bung"},{"family":"Kamarul","given":"Tunku"}],"issued":{"date-parts":[["2018",7,19]]}}}],"schema":"https://github.com/citation-style-language/schema/raw/master/csl-citation.json"} </w:instrText>
      </w:r>
      <w:r>
        <w:fldChar w:fldCharType="separate"/>
      </w:r>
      <w:r w:rsidR="0070527C" w:rsidRPr="0070527C">
        <w:rPr>
          <w:rFonts w:cs="Times New Roman"/>
          <w:szCs w:val="24"/>
          <w:vertAlign w:val="superscript"/>
        </w:rPr>
        <w:t>24,26,27</w:t>
      </w:r>
      <w:r>
        <w:fldChar w:fldCharType="end"/>
      </w:r>
      <w:r>
        <w:t xml:space="preserve"> and is thus an important feature to capture during phenotype screening. Moreover, migration of cells does not necessarily require the cells to lose all epithelial features, as epithelial cells can migrate as single cells or collectively, while attached with one another via weakened cell-cell interactions</w:t>
      </w:r>
      <w:r>
        <w:fldChar w:fldCharType="begin"/>
      </w:r>
      <w:r w:rsidR="0070527C">
        <w:instrText xml:space="preserve"> ADDIN ZOTERO_ITEM CSL_CITATION {"citationID":"afcvlh3h0","properties":{"formattedCitation":"\\super 28\\nosupersub{}","plainCitation":"28","noteIndex":0},"citationItems":[{"id":2255,"uris":["http://zotero.org/users/5214051/items/ET6HSUW6"],"itemData":{"id":2255,"type":"article-journal","abstract":"Collective metastasis is defined as the cohesive migration and metastasis of multicellular tumor cell clusters. Disrupting various cell adhesion genes markedly reduces cluster formation and colonization efficiency, yet the downstream signals transmitted by clustering remain largely unknown. Here, we use mouse and human breast cancer models to identify a collective signal generated by tumor cell clusters supporting metastatic colonization. We show that tumor cell clusters produce the growth factor epigen and concentrate it within nanolumina—intercellular compartments sealed by cell-cell junctions and lined with microvilli-like protrusions. Epigen knockdown profoundly reduces metastatic outgrowth and switches clusters from a proliferative to a collective migratory state. Tumor cell clusters from basal-like 2, but not mesenchymal-like, triple-negative breast cancer cell lines have increased epigen expression, sealed nanolumina, and impaired outgrowth upon nanolumenal junction disruption. We propose that nanolumenal signaling could offer a therapeutic target for aggressive metastatic breast cancers.","container-title":"Cell","DOI":"10.1016/j.cell.2020.08.045","ISSN":"0092-8674","issue":"2","journalAbbreviation":"Cell","language":"en","page":"395-410.e19","source":"ScienceDirect","title":"Regulation of Collective Metastasis by Nanolumenal Signaling","volume":"183","author":[{"family":"Wrenn","given":"Emma D."},{"family":"Yamamoto","given":"Ami"},{"family":"Moore","given":"Breanna M."},{"family":"Huang","given":"Yin"},{"family":"McBirney","given":"Margaux"},{"family":"Thomas","given":"Aaron J."},{"family":"Greenwood","given":"Erin"},{"family":"Rabena","given":"Yuri F."},{"family":"Rahbar","given":"Habib"},{"family":"Partridge","given":"Savannah C."},{"family":"Cheung","given":"Kevin J."}],"issued":{"date-parts":[["2020",10,15]]}}}],"schema":"https://github.com/citation-style-language/schema/raw/master/csl-citation.json"} </w:instrText>
      </w:r>
      <w:r>
        <w:fldChar w:fldCharType="separate"/>
      </w:r>
      <w:r w:rsidR="0070527C" w:rsidRPr="0070527C">
        <w:rPr>
          <w:rFonts w:cs="Times New Roman"/>
          <w:szCs w:val="24"/>
          <w:vertAlign w:val="superscript"/>
        </w:rPr>
        <w:t>28</w:t>
      </w:r>
      <w:r>
        <w:fldChar w:fldCharType="end"/>
      </w:r>
      <w:r>
        <w:t>. This indicates that the migratory and invasive capacity of cells undergoing EMT is not accurately represented by the simple expression, or lack of expression, of selected (mesenchymal) markers. As such, functional changes in the biological properties of cells must be assessed as well</w:t>
      </w:r>
      <w:r>
        <w:fldChar w:fldCharType="begin"/>
      </w:r>
      <w:r w:rsidR="0070527C">
        <w:instrText xml:space="preserve"> ADDIN ZOTERO_ITEM CSL_CITATION {"citationID":"alnr6i8lgj","properties":{"formattedCitation":"\\super 29\\nosupersub{}","plainCitation":"29","noteIndex":0},"citationItems":[{"id":2176,"uris":["http://zotero.org/users/5214051/items/P93R2X9K"],"itemData":{"id":2176,"type":"article-journal","abstract":"Epithelial–mesenchymal transition (EMT) encompasses dynamic changes in cellular organization from epithelial to mesenchymal phenotypes, which leads to functional changes in cell migration and invasion. EMT occurs in a diverse range of physiological and pathological conditions and is driven by a conserved set of inducing signals, transcriptional regulators and downstream effectors. With over 5,700 publications indexed by Web of Science in 2019 alone, research on EMT is expanding rapidly. This growing interest warrants the need for a consensus among researchers when referring to and undertaking research on EMT. This Consensus Statement, mediated by ‘the EMT International Association’ (TEMTIA), is the outcome of a 2-year-long discussion among EMT researchers and aims to both clarify the nomenclature and provide definitions and guidelines for EMT research in future publications. We trust that these guidelines will help to reduce misunderstanding and misinterpretation of research data generated in various experimental models and to promote cross-disciplinary collaboration to identify and address key open questions in this research field. While recognizing the importance of maintaining diversity in experimental approaches and conceptual frameworks, we emphasize that lasting contributions of EMT research to increasing our understanding of developmental processes and combatting cancer and other diseases depend on the adoption of a unified terminology to describe EMT.","container-title":"Nature Reviews Molecular Cell Biology","DOI":"10.1038/s41580-020-0237-9","ISSN":"1471-0080","issue":"6","journalAbbreviation":"Nat Rev Mol Cell Biol","language":"en","note":"number: 6\npublisher: Nature Publishing Group","page":"341-352","source":"www.nature.com","title":"Guidelines and definitions for research on epithelial–mesenchymal transition","volume":"21","author":[{"family":"Yang","given":"Jing"},{"family":"Antin","given":"Parker"},{"family":"Berx","given":"Geert"},{"family":"Blanpain","given":"Cédric"},{"family":"Brabletz","given":"Thomas"},{"family":"Bronner","given":"Marianne"},{"family":"Campbell","given":"Kyra"},{"family":"Cano","given":"Amparo"},{"family":"Casanova","given":"Jordi"},{"family":"Christofori","given":"Gerhard"},{"family":"Dedhar","given":"Shoukat"},{"family":"Derynck","given":"Rik"},{"family":"Ford","given":"Heide L."},{"family":"Fuxe","given":"Jonas"},{"family":"García de Herreros","given":"Antonio"},{"family":"Goodall","given":"Gregory J."},{"family":"Hadjantonakis","given":"Anna-Katerina"},{"family":"Huang","given":"Ruby Y. J."},{"family":"Kalcheim","given":"Chaya"},{"family":"Kalluri","given":"Raghu"},{"family":"Kang","given":"Yibin"},{"family":"Khew-Goodall","given":"Yeesim"},{"family":"Levine","given":"Herbert"},{"family":"Liu","given":"Jinsong"},{"family":"Longmore","given":"Gregory D."},{"family":"Mani","given":"Sendurai A."},{"family":"Massagué","given":"Joan"},{"family":"Mayor","given":"Roberto"},{"family":"McClay","given":"David"},{"family":"Mostov","given":"Keith E."},{"family":"Newgreen","given":"Donald F."},{"family":"Nieto","given":"M. Angela"},{"family":"Puisieux","given":"Alain"},{"family":"Runyan","given":"Raymond"},{"family":"Savagner","given":"Pierre"},{"family":"Stanger","given":"Ben"},{"family":"Stemmler","given":"Marc P."},{"family":"Takahashi","given":"Yoshiko"},{"family":"Takeichi","given":"Masatoshi"},{"family":"Theveneau","given":"Eric"},{"family":"Thiery","given":"Jean Paul"},{"family":"Thompson","given":"Erik W."},{"family":"Weinberg","given":"Robert A."},{"family":"Williams","given":"Elizabeth D."},{"family":"Xing","given":"Jianhua"},{"family":"Zhou","given":"Binhua P."},{"family":"Sheng","given":"Guojun"}],"issued":{"date-parts":[["2020",6]]}}}],"schema":"https://github.com/citation-style-language/schema/raw/master/csl-citation.json"} </w:instrText>
      </w:r>
      <w:r>
        <w:fldChar w:fldCharType="separate"/>
      </w:r>
      <w:r w:rsidR="0070527C" w:rsidRPr="0070527C">
        <w:rPr>
          <w:rFonts w:cs="Times New Roman"/>
          <w:szCs w:val="24"/>
          <w:vertAlign w:val="superscript"/>
        </w:rPr>
        <w:t>29</w:t>
      </w:r>
      <w:r>
        <w:fldChar w:fldCharType="end"/>
      </w:r>
      <w:r>
        <w:t>.</w:t>
      </w:r>
      <w:r w:rsidR="004F4044">
        <w:br w:type="page"/>
      </w:r>
    </w:p>
    <w:p w14:paraId="318132BA" w14:textId="77777777" w:rsidR="006D0C9B" w:rsidRDefault="006D0C9B" w:rsidP="006D0C9B">
      <w:pPr>
        <w:keepNext/>
      </w:pPr>
      <w:r>
        <w:rPr>
          <w:noProof/>
        </w:rPr>
        <w:lastRenderedPageBreak/>
        <w:drawing>
          <wp:inline distT="0" distB="0" distL="0" distR="0" wp14:anchorId="120B8C94" wp14:editId="601CCDE0">
            <wp:extent cx="5608320" cy="12741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55" r="1669"/>
                    <a:stretch/>
                  </pic:blipFill>
                  <pic:spPr bwMode="auto">
                    <a:xfrm>
                      <a:off x="0" y="0"/>
                      <a:ext cx="5662184" cy="1286338"/>
                    </a:xfrm>
                    <a:prstGeom prst="rect">
                      <a:avLst/>
                    </a:prstGeom>
                    <a:noFill/>
                    <a:ln>
                      <a:noFill/>
                    </a:ln>
                    <a:extLst>
                      <a:ext uri="{53640926-AAD7-44D8-BBD7-CCE9431645EC}">
                        <a14:shadowObscured xmlns:a14="http://schemas.microsoft.com/office/drawing/2010/main"/>
                      </a:ext>
                    </a:extLst>
                  </pic:spPr>
                </pic:pic>
              </a:graphicData>
            </a:graphic>
          </wp:inline>
        </w:drawing>
      </w:r>
    </w:p>
    <w:p w14:paraId="1CF59608" w14:textId="3D622FB0" w:rsidR="00182660" w:rsidRPr="00C55199" w:rsidRDefault="006D0C9B" w:rsidP="004B59FA">
      <w:bookmarkStart w:id="5" w:name="_Toc104452799"/>
      <w:r w:rsidRPr="00947EE6">
        <w:rPr>
          <w:b/>
          <w:bCs/>
        </w:rPr>
        <w:t xml:space="preserve">Schematic </w:t>
      </w:r>
      <w:r w:rsidR="00C37C73" w:rsidRPr="00947EE6">
        <w:rPr>
          <w:b/>
          <w:bCs/>
        </w:rPr>
        <w:t>S</w:t>
      </w:r>
      <w:r w:rsidR="003C0095">
        <w:rPr>
          <w:b/>
          <w:bCs/>
        </w:rPr>
        <w:t>1</w:t>
      </w:r>
      <w:r>
        <w:t>: Experimental overview</w:t>
      </w:r>
      <w:r w:rsidR="00DF3FAF">
        <w:t xml:space="preserve"> and design</w:t>
      </w:r>
      <w:bookmarkEnd w:id="5"/>
      <w:r>
        <w:rPr>
          <w:b/>
          <w:bCs/>
        </w:rPr>
        <w:br w:type="page"/>
      </w:r>
      <w:r w:rsidR="00182660" w:rsidRPr="00C55199">
        <w:rPr>
          <w:noProof/>
        </w:rPr>
        <w:lastRenderedPageBreak/>
        <w:drawing>
          <wp:inline distT="0" distB="0" distL="0" distR="0" wp14:anchorId="78103BEC" wp14:editId="21D7CA64">
            <wp:extent cx="5805894" cy="4073237"/>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344"/>
                    <a:stretch/>
                  </pic:blipFill>
                  <pic:spPr bwMode="auto">
                    <a:xfrm>
                      <a:off x="0" y="0"/>
                      <a:ext cx="5813489" cy="4078565"/>
                    </a:xfrm>
                    <a:prstGeom prst="rect">
                      <a:avLst/>
                    </a:prstGeom>
                    <a:noFill/>
                    <a:ln>
                      <a:noFill/>
                    </a:ln>
                    <a:extLst>
                      <a:ext uri="{53640926-AAD7-44D8-BBD7-CCE9431645EC}">
                        <a14:shadowObscured xmlns:a14="http://schemas.microsoft.com/office/drawing/2010/main"/>
                      </a:ext>
                    </a:extLst>
                  </pic:spPr>
                </pic:pic>
              </a:graphicData>
            </a:graphic>
          </wp:inline>
        </w:drawing>
      </w:r>
    </w:p>
    <w:p w14:paraId="4CE6E44B" w14:textId="274DD40C" w:rsidR="00182660" w:rsidRDefault="00182660" w:rsidP="004B59FA">
      <w:pPr>
        <w:rPr>
          <w:b/>
          <w:bCs/>
        </w:rPr>
      </w:pPr>
      <w:bookmarkStart w:id="6" w:name="_Toc104452800"/>
      <w:r w:rsidRPr="00B92485">
        <w:rPr>
          <w:b/>
          <w:bCs/>
        </w:rPr>
        <w:t>Figure S</w:t>
      </w:r>
      <w:r w:rsidR="00CC096B">
        <w:rPr>
          <w:b/>
          <w:bCs/>
        </w:rPr>
        <w:t>2</w:t>
      </w:r>
      <w:r w:rsidRPr="00C55199">
        <w:t xml:space="preserve">: Cells cultured for 12 days on OECTs stained with viability/cytotoxicity kit probes (green-LIVE: </w:t>
      </w:r>
      <w:r w:rsidR="002B0D40">
        <w:t>C</w:t>
      </w:r>
      <w:r w:rsidRPr="00C55199">
        <w:t>alcein AM; red-DEAD: ethidium homodimer-1).</w:t>
      </w:r>
      <w:bookmarkEnd w:id="6"/>
      <w:r w:rsidRPr="00C55199">
        <w:t xml:space="preserve"> </w:t>
      </w:r>
      <w:r>
        <w:rPr>
          <w:b/>
          <w:bCs/>
        </w:rPr>
        <w:br w:type="page"/>
      </w:r>
    </w:p>
    <w:p w14:paraId="481FBE69" w14:textId="77777777" w:rsidR="003A1537" w:rsidRDefault="003A1537" w:rsidP="003A1537">
      <w:r>
        <w:rPr>
          <w:noProof/>
        </w:rPr>
        <w:lastRenderedPageBreak/>
        <w:drawing>
          <wp:inline distT="0" distB="0" distL="0" distR="0" wp14:anchorId="05915C77" wp14:editId="3494E32D">
            <wp:extent cx="5721985" cy="5721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1985" cy="5721985"/>
                    </a:xfrm>
                    <a:prstGeom prst="rect">
                      <a:avLst/>
                    </a:prstGeom>
                    <a:noFill/>
                    <a:ln>
                      <a:noFill/>
                    </a:ln>
                  </pic:spPr>
                </pic:pic>
              </a:graphicData>
            </a:graphic>
          </wp:inline>
        </w:drawing>
      </w:r>
    </w:p>
    <w:p w14:paraId="6368D77D" w14:textId="1962240F" w:rsidR="003A1537" w:rsidRDefault="003A1537" w:rsidP="004B59FA">
      <w:pPr>
        <w:rPr>
          <w:b/>
          <w:bCs/>
        </w:rPr>
      </w:pPr>
      <w:bookmarkStart w:id="7" w:name="_Toc104452801"/>
      <w:r w:rsidRPr="005D082B">
        <w:rPr>
          <w:b/>
          <w:bCs/>
        </w:rPr>
        <w:t xml:space="preserve">Figure </w:t>
      </w:r>
      <w:r w:rsidR="00DD69F0">
        <w:rPr>
          <w:b/>
          <w:bCs/>
        </w:rPr>
        <w:t>S</w:t>
      </w:r>
      <w:r w:rsidR="00910A35">
        <w:rPr>
          <w:b/>
          <w:bCs/>
        </w:rPr>
        <w:t>3</w:t>
      </w:r>
      <w:r w:rsidRPr="00362BA8">
        <w:t xml:space="preserve">: </w:t>
      </w:r>
      <w:r>
        <w:t xml:space="preserve">Representative cut-off frequency and cell layer resistance, </w:t>
      </w:r>
      <m:oMath>
        <m:sSub>
          <m:sSubPr>
            <m:ctrlPr>
              <w:rPr>
                <w:rFonts w:ascii="Cambria Math" w:hAnsi="Cambria Math"/>
                <w:i/>
              </w:rPr>
            </m:ctrlPr>
          </m:sSubPr>
          <m:e>
            <m:r>
              <w:rPr>
                <w:rFonts w:ascii="Cambria Math" w:hAnsi="Cambria Math"/>
              </w:rPr>
              <m:t>R</m:t>
            </m:r>
          </m:e>
          <m:sub>
            <m:r>
              <w:rPr>
                <w:rFonts w:ascii="Cambria Math" w:hAnsi="Cambria Math"/>
              </w:rPr>
              <m:t>cell</m:t>
            </m:r>
          </m:sub>
        </m:sSub>
      </m:oMath>
      <w:r>
        <w:t xml:space="preserve"> vs time plots for all conditions tested. (a) Non-treated. (b) MDA-TEV treated. (c) HEK-EV treated. (d) TGF-</w:t>
      </w:r>
      <w:r w:rsidRPr="00585551">
        <w:rPr>
          <w:rFonts w:eastAsiaTheme="minorEastAsia"/>
        </w:rPr>
        <w:t>β</w:t>
      </w:r>
      <w:r>
        <w:t>1 treated. (e) Heparin treated. (f) MDA-TEV + heparin treated.</w:t>
      </w:r>
      <w:bookmarkEnd w:id="7"/>
      <w:r>
        <w:t xml:space="preserve"> </w:t>
      </w:r>
      <w:r>
        <w:rPr>
          <w:b/>
          <w:bCs/>
        </w:rPr>
        <w:br w:type="page"/>
      </w:r>
    </w:p>
    <w:p w14:paraId="0479878C" w14:textId="77777777" w:rsidR="00DA591C" w:rsidRPr="009058BA" w:rsidRDefault="00DA591C" w:rsidP="00DA591C">
      <w:pPr>
        <w:keepNext/>
        <w:jc w:val="center"/>
        <w:rPr>
          <w:b/>
          <w:bCs/>
        </w:rPr>
      </w:pPr>
      <w:r>
        <w:rPr>
          <w:noProof/>
        </w:rPr>
        <w:lastRenderedPageBreak/>
        <w:drawing>
          <wp:inline distT="0" distB="0" distL="0" distR="0" wp14:anchorId="6BE3C28A" wp14:editId="1BAB232B">
            <wp:extent cx="5721985" cy="45650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1985" cy="4565015"/>
                    </a:xfrm>
                    <a:prstGeom prst="rect">
                      <a:avLst/>
                    </a:prstGeom>
                    <a:noFill/>
                    <a:ln>
                      <a:noFill/>
                    </a:ln>
                  </pic:spPr>
                </pic:pic>
              </a:graphicData>
            </a:graphic>
          </wp:inline>
        </w:drawing>
      </w:r>
    </w:p>
    <w:p w14:paraId="4FC3048C" w14:textId="62F34B13" w:rsidR="00DA591C" w:rsidRDefault="00DA591C" w:rsidP="004B59FA">
      <w:pPr>
        <w:rPr>
          <w:b/>
          <w:bCs/>
        </w:rPr>
      </w:pPr>
      <w:bookmarkStart w:id="8" w:name="_Toc104452802"/>
      <w:r w:rsidRPr="009058BA">
        <w:rPr>
          <w:b/>
          <w:bCs/>
        </w:rPr>
        <w:t>Figure S</w:t>
      </w:r>
      <w:r w:rsidR="00910A35">
        <w:rPr>
          <w:b/>
          <w:bCs/>
        </w:rPr>
        <w:t>4</w:t>
      </w:r>
      <w:r w:rsidR="00DD69F0">
        <w:rPr>
          <w:b/>
          <w:bCs/>
        </w:rPr>
        <w:t>.</w:t>
      </w:r>
      <w:r w:rsidRPr="007037F6">
        <w:t xml:space="preserve"> Asymptotic regression of non-treated and MDA-TEV + heparin treated MCF10A cells, demonstrating that the normalised cut-off frequency tends towards 0.88 </w:t>
      </w:r>
      <m:oMath>
        <m:r>
          <w:rPr>
            <w:rFonts w:ascii="Cambria Math" w:hAnsi="Cambria Math"/>
          </w:rPr>
          <m:t>±</m:t>
        </m:r>
      </m:oMath>
      <w:r w:rsidRPr="007037F6">
        <w:t xml:space="preserve"> 0.034 and 0.92 </w:t>
      </w:r>
      <m:oMath>
        <m:r>
          <w:rPr>
            <w:rFonts w:ascii="Cambria Math" w:hAnsi="Cambria Math"/>
          </w:rPr>
          <m:t>±</m:t>
        </m:r>
      </m:oMath>
      <w:r w:rsidRPr="007037F6">
        <w:t xml:space="preserve"> 0.051, respectively. The two models are very similar, indicating that heparin treatment of cells exposed to MDA-TEVs block any malignant transformation.</w:t>
      </w:r>
      <w:bookmarkEnd w:id="8"/>
      <w:r>
        <w:rPr>
          <w:rFonts w:eastAsiaTheme="minorEastAsia"/>
        </w:rPr>
        <w:t xml:space="preserve"> </w:t>
      </w:r>
      <w:r>
        <w:rPr>
          <w:b/>
          <w:bCs/>
        </w:rPr>
        <w:br w:type="page"/>
      </w:r>
    </w:p>
    <w:p w14:paraId="78D4434B" w14:textId="33601EEE" w:rsidR="00F7029B" w:rsidRDefault="00F7029B" w:rsidP="00F7029B">
      <w:pPr>
        <w:spacing w:line="259" w:lineRule="auto"/>
        <w:jc w:val="left"/>
      </w:pPr>
      <w:r>
        <w:rPr>
          <w:noProof/>
        </w:rPr>
        <w:lastRenderedPageBreak/>
        <w:drawing>
          <wp:inline distT="0" distB="0" distL="0" distR="0" wp14:anchorId="1E110668" wp14:editId="0E2F74A4">
            <wp:extent cx="5084618" cy="683672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269" cy="6845663"/>
                    </a:xfrm>
                    <a:prstGeom prst="rect">
                      <a:avLst/>
                    </a:prstGeom>
                    <a:noFill/>
                  </pic:spPr>
                </pic:pic>
              </a:graphicData>
            </a:graphic>
          </wp:inline>
        </w:drawing>
      </w:r>
    </w:p>
    <w:p w14:paraId="37B8F55B" w14:textId="10ED42F1" w:rsidR="00E53B80" w:rsidRDefault="00F7029B" w:rsidP="004B59FA">
      <w:pPr>
        <w:rPr>
          <w:b/>
          <w:bCs/>
        </w:rPr>
      </w:pPr>
      <w:bookmarkStart w:id="9" w:name="_Toc104452803"/>
      <w:r w:rsidRPr="001611FF">
        <w:rPr>
          <w:b/>
          <w:bCs/>
        </w:rPr>
        <w:t>Figure S</w:t>
      </w:r>
      <w:r w:rsidR="00A63C44">
        <w:rPr>
          <w:b/>
          <w:bCs/>
        </w:rPr>
        <w:t>5</w:t>
      </w:r>
      <w:r w:rsidRPr="001611FF">
        <w:rPr>
          <w:b/>
          <w:bCs/>
        </w:rPr>
        <w:t>:</w:t>
      </w:r>
      <w:r>
        <w:t xml:space="preserve"> Linear regression of MDA-TEV treatment condition and residual analysis plots.</w:t>
      </w:r>
      <w:bookmarkEnd w:id="9"/>
      <w:r>
        <w:t xml:space="preserve"> </w:t>
      </w:r>
      <w:r w:rsidR="00E53B80">
        <w:rPr>
          <w:b/>
          <w:bCs/>
        </w:rPr>
        <w:br w:type="page"/>
      </w:r>
    </w:p>
    <w:p w14:paraId="24B402F8" w14:textId="5702FC2B" w:rsidR="004F4044" w:rsidRDefault="004F4044" w:rsidP="004F4044">
      <w:pPr>
        <w:rPr>
          <w:b/>
          <w:bCs/>
        </w:rPr>
      </w:pPr>
      <w:bookmarkStart w:id="10" w:name="_Toc104452671"/>
      <w:bookmarkStart w:id="11" w:name="_Toc104452804"/>
      <w:r w:rsidRPr="00AD6B55">
        <w:rPr>
          <w:b/>
          <w:bCs/>
        </w:rPr>
        <w:lastRenderedPageBreak/>
        <w:t xml:space="preserve">Supplementary </w:t>
      </w:r>
      <w:r>
        <w:rPr>
          <w:b/>
          <w:bCs/>
        </w:rPr>
        <w:t>D</w:t>
      </w:r>
      <w:r w:rsidRPr="00AD6B55">
        <w:rPr>
          <w:b/>
          <w:bCs/>
        </w:rPr>
        <w:t>iscussion</w:t>
      </w:r>
      <w:r w:rsidR="001A0984">
        <w:rPr>
          <w:b/>
          <w:bCs/>
        </w:rPr>
        <w:t xml:space="preserve"> </w:t>
      </w:r>
      <w:r w:rsidR="00057A53">
        <w:rPr>
          <w:b/>
          <w:bCs/>
        </w:rPr>
        <w:t>3</w:t>
      </w:r>
      <w:r w:rsidRPr="00AD6B55">
        <w:rPr>
          <w:b/>
          <w:bCs/>
        </w:rPr>
        <w:t>:</w:t>
      </w:r>
      <w:r w:rsidRPr="009C388B">
        <w:rPr>
          <w:b/>
          <w:bCs/>
        </w:rPr>
        <w:t xml:space="preserve"> </w:t>
      </w:r>
      <w:r w:rsidR="00A22F74">
        <w:rPr>
          <w:b/>
          <w:bCs/>
        </w:rPr>
        <w:t>Molecular mechanisms of EMT and determining its occurrence</w:t>
      </w:r>
      <w:bookmarkEnd w:id="10"/>
      <w:bookmarkEnd w:id="11"/>
    </w:p>
    <w:p w14:paraId="6F5C86E2" w14:textId="6AA55DCD" w:rsidR="00BF5387" w:rsidRDefault="004F4044" w:rsidP="004B59FA">
      <w:r>
        <w:t xml:space="preserve">EMT status is typically defined by changes in cellular properties together with a set of molecular </w:t>
      </w:r>
      <w:r w:rsidRPr="000E6A09">
        <w:t>markers</w:t>
      </w:r>
      <w:r w:rsidRPr="000E6A09">
        <w:fldChar w:fldCharType="begin"/>
      </w:r>
      <w:r w:rsidR="0070527C">
        <w:instrText xml:space="preserve"> ADDIN ZOTERO_ITEM CSL_CITATION {"citationID":"a1dnidgphh","properties":{"formattedCitation":"\\super 29\\nosupersub{}","plainCitation":"29","noteIndex":0},"citationItems":[{"id":2176,"uris":["http://zotero.org/users/5214051/items/P93R2X9K"],"itemData":{"id":2176,"type":"article-journal","abstract":"Epithelial–mesenchymal transition (EMT) encompasses dynamic changes in cellular organization from epithelial to mesenchymal phenotypes, which leads to functional changes in cell migration and invasion. EMT occurs in a diverse range of physiological and pathological conditions and is driven by a conserved set of inducing signals, transcriptional regulators and downstream effectors. With over 5,700 publications indexed by Web of Science in 2019 alone, research on EMT is expanding rapidly. This growing interest warrants the need for a consensus among researchers when referring to and undertaking research on EMT. This Consensus Statement, mediated by ‘the EMT International Association’ (TEMTIA), is the outcome of a 2-year-long discussion among EMT researchers and aims to both clarify the nomenclature and provide definitions and guidelines for EMT research in future publications. We trust that these guidelines will help to reduce misunderstanding and misinterpretation of research data generated in various experimental models and to promote cross-disciplinary collaboration to identify and address key open questions in this research field. While recognizing the importance of maintaining diversity in experimental approaches and conceptual frameworks, we emphasize that lasting contributions of EMT research to increasing our understanding of developmental processes and combatting cancer and other diseases depend on the adoption of a unified terminology to describe EMT.","container-title":"Nature Reviews Molecular Cell Biology","DOI":"10.1038/s41580-020-0237-9","ISSN":"1471-0080","issue":"6","journalAbbreviation":"Nat Rev Mol Cell Biol","language":"en","note":"number: 6\npublisher: Nature Publishing Group","page":"341-352","source":"www.nature.com","title":"Guidelines and definitions for research on epithelial–mesenchymal transition","volume":"21","author":[{"family":"Yang","given":"Jing"},{"family":"Antin","given":"Parker"},{"family":"Berx","given":"Geert"},{"family":"Blanpain","given":"Cédric"},{"family":"Brabletz","given":"Thomas"},{"family":"Bronner","given":"Marianne"},{"family":"Campbell","given":"Kyra"},{"family":"Cano","given":"Amparo"},{"family":"Casanova","given":"Jordi"},{"family":"Christofori","given":"Gerhard"},{"family":"Dedhar","given":"Shoukat"},{"family":"Derynck","given":"Rik"},{"family":"Ford","given":"Heide L."},{"family":"Fuxe","given":"Jonas"},{"family":"García de Herreros","given":"Antonio"},{"family":"Goodall","given":"Gregory J."},{"family":"Hadjantonakis","given":"Anna-Katerina"},{"family":"Huang","given":"Ruby Y. J."},{"family":"Kalcheim","given":"Chaya"},{"family":"Kalluri","given":"Raghu"},{"family":"Kang","given":"Yibin"},{"family":"Khew-Goodall","given":"Yeesim"},{"family":"Levine","given":"Herbert"},{"family":"Liu","given":"Jinsong"},{"family":"Longmore","given":"Gregory D."},{"family":"Mani","given":"Sendurai A."},{"family":"Massagué","given":"Joan"},{"family":"Mayor","given":"Roberto"},{"family":"McClay","given":"David"},{"family":"Mostov","given":"Keith E."},{"family":"Newgreen","given":"Donald F."},{"family":"Nieto","given":"M. Angela"},{"family":"Puisieux","given":"Alain"},{"family":"Runyan","given":"Raymond"},{"family":"Savagner","given":"Pierre"},{"family":"Stanger","given":"Ben"},{"family":"Stemmler","given":"Marc P."},{"family":"Takahashi","given":"Yoshiko"},{"family":"Takeichi","given":"Masatoshi"},{"family":"Theveneau","given":"Eric"},{"family":"Thiery","given":"Jean Paul"},{"family":"Thompson","given":"Erik W."},{"family":"Weinberg","given":"Robert A."},{"family":"Williams","given":"Elizabeth D."},{"family":"Xing","given":"Jianhua"},{"family":"Zhou","given":"Binhua P."},{"family":"Sheng","given":"Guojun"}],"issued":{"date-parts":[["2020",6]]}}}],"schema":"https://github.com/citation-style-language/schema/raw/master/csl-citation.json"} </w:instrText>
      </w:r>
      <w:r w:rsidRPr="000E6A09">
        <w:fldChar w:fldCharType="separate"/>
      </w:r>
      <w:r w:rsidR="0070527C" w:rsidRPr="0070527C">
        <w:rPr>
          <w:rFonts w:cs="Times New Roman"/>
          <w:szCs w:val="24"/>
          <w:vertAlign w:val="superscript"/>
        </w:rPr>
        <w:t>29</w:t>
      </w:r>
      <w:r w:rsidRPr="000E6A09">
        <w:fldChar w:fldCharType="end"/>
      </w:r>
      <w:r w:rsidRPr="000E6A09">
        <w:t>. Epithelial cells are connected to one another via a variety of epithelial cell junctions that help maintain epithelial polarity, while mesenchymal cells do not contain functional epithelial junctions and present a back-front polarity in their actin stress fibres, characteristic of a migrating cell</w:t>
      </w:r>
      <w:r w:rsidRPr="000E6A09">
        <w:fldChar w:fldCharType="begin"/>
      </w:r>
      <w:r w:rsidR="0070527C">
        <w:instrText xml:space="preserve"> ADDIN ZOTERO_ITEM CSL_CITATION {"citationID":"a2p3co1nq9r","properties":{"formattedCitation":"\\super 29\\nosupersub{}","plainCitation":"29","noteIndex":0},"citationItems":[{"id":2176,"uris":["http://zotero.org/users/5214051/items/P93R2X9K"],"itemData":{"id":2176,"type":"article-journal","abstract":"Epithelial–mesenchymal transition (EMT) encompasses dynamic changes in cellular organization from epithelial to mesenchymal phenotypes, which leads to functional changes in cell migration and invasion. EMT occurs in a diverse range of physiological and pathological conditions and is driven by a conserved set of inducing signals, transcriptional regulators and downstream effectors. With over 5,700 publications indexed by Web of Science in 2019 alone, research on EMT is expanding rapidly. This growing interest warrants the need for a consensus among researchers when referring to and undertaking research on EMT. This Consensus Statement, mediated by ‘the EMT International Association’ (TEMTIA), is the outcome of a 2-year-long discussion among EMT researchers and aims to both clarify the nomenclature and provide definitions and guidelines for EMT research in future publications. We trust that these guidelines will help to reduce misunderstanding and misinterpretation of research data generated in various experimental models and to promote cross-disciplinary collaboration to identify and address key open questions in this research field. While recognizing the importance of maintaining diversity in experimental approaches and conceptual frameworks, we emphasize that lasting contributions of EMT research to increasing our understanding of developmental processes and combatting cancer and other diseases depend on the adoption of a unified terminology to describe EMT.","container-title":"Nature Reviews Molecular Cell Biology","DOI":"10.1038/s41580-020-0237-9","ISSN":"1471-0080","issue":"6","journalAbbreviation":"Nat Rev Mol Cell Biol","language":"en","note":"number: 6\npublisher: Nature Publishing Group","page":"341-352","source":"www.nature.com","title":"Guidelines and definitions for research on epithelial–mesenchymal transition","volume":"21","author":[{"family":"Yang","given":"Jing"},{"family":"Antin","given":"Parker"},{"family":"Berx","given":"Geert"},{"family":"Blanpain","given":"Cédric"},{"family":"Brabletz","given":"Thomas"},{"family":"Bronner","given":"Marianne"},{"family":"Campbell","given":"Kyra"},{"family":"Cano","given":"Amparo"},{"family":"Casanova","given":"Jordi"},{"family":"Christofori","given":"Gerhard"},{"family":"Dedhar","given":"Shoukat"},{"family":"Derynck","given":"Rik"},{"family":"Ford","given":"Heide L."},{"family":"Fuxe","given":"Jonas"},{"family":"García de Herreros","given":"Antonio"},{"family":"Goodall","given":"Gregory J."},{"family":"Hadjantonakis","given":"Anna-Katerina"},{"family":"Huang","given":"Ruby Y. J."},{"family":"Kalcheim","given":"Chaya"},{"family":"Kalluri","given":"Raghu"},{"family":"Kang","given":"Yibin"},{"family":"Khew-Goodall","given":"Yeesim"},{"family":"Levine","given":"Herbert"},{"family":"Liu","given":"Jinsong"},{"family":"Longmore","given":"Gregory D."},{"family":"Mani","given":"Sendurai A."},{"family":"Massagué","given":"Joan"},{"family":"Mayor","given":"Roberto"},{"family":"McClay","given":"David"},{"family":"Mostov","given":"Keith E."},{"family":"Newgreen","given":"Donald F."},{"family":"Nieto","given":"M. Angela"},{"family":"Puisieux","given":"Alain"},{"family":"Runyan","given":"Raymond"},{"family":"Savagner","given":"Pierre"},{"family":"Stanger","given":"Ben"},{"family":"Stemmler","given":"Marc P."},{"family":"Takahashi","given":"Yoshiko"},{"family":"Takeichi","given":"Masatoshi"},{"family":"Theveneau","given":"Eric"},{"family":"Thiery","given":"Jean Paul"},{"family":"Thompson","given":"Erik W."},{"family":"Weinberg","given":"Robert A."},{"family":"Williams","given":"Elizabeth D."},{"family":"Xing","given":"Jianhua"},{"family":"Zhou","given":"Binhua P."},{"family":"Sheng","given":"Guojun"}],"issued":{"date-parts":[["2020",6]]}}}],"schema":"https://github.com/citation-style-language/schema/raw/master/csl-citation.json"} </w:instrText>
      </w:r>
      <w:r w:rsidRPr="000E6A09">
        <w:fldChar w:fldCharType="separate"/>
      </w:r>
      <w:r w:rsidR="0070527C" w:rsidRPr="0070527C">
        <w:rPr>
          <w:rFonts w:cs="Times New Roman"/>
          <w:szCs w:val="24"/>
          <w:vertAlign w:val="superscript"/>
        </w:rPr>
        <w:t>29</w:t>
      </w:r>
      <w:r w:rsidRPr="000E6A09">
        <w:fldChar w:fldCharType="end"/>
      </w:r>
      <w:r w:rsidRPr="000E6A09">
        <w:t>. During EMT, epithelial cells lose their apical-basal polarity and lateral cell–cell adhesion and gain migratory and invasive properties. Loss of apic</w:t>
      </w:r>
      <w:r w:rsidR="00611CD8">
        <w:t>o</w:t>
      </w:r>
      <w:r w:rsidRPr="000E6A09">
        <w:t>-basal polarity leads to destabilisation of adhesion complexes, such as tight junctions and adherens junctions at the lateral membrane</w:t>
      </w:r>
      <w:r w:rsidRPr="000E6A09">
        <w:fldChar w:fldCharType="begin"/>
      </w:r>
      <w:r w:rsidR="0070527C">
        <w:instrText xml:space="preserve"> ADDIN ZOTERO_ITEM CSL_CITATION {"citationID":"are6ds0spo","properties":{"formattedCitation":"\\super 30\\nosupersub{}","plainCitation":"30","noteIndex":0},"citationItems":[{"id":2181,"uris":["http://zotero.org/users/5214051/items/NM7Q5JZG"],"itemData":{"id":2181,"type":"article-journal","container-title":"Science","DOI":"10.1126/science.1105776","issue":"5715","note":"publisher: American Association for the Advancement of Science","page":"1621-1625","source":"science.org (Atypon)","title":"High-Throughput Mapping of a Dynamic Signaling Network in Mammalian Cells","volume":"307","author":[{"family":"Barrios-Rodiles","given":"Miriam"},{"family":"Brown","given":"Kevin R."},{"family":"Ozdamar","given":"Barish"},{"family":"Bose","given":"Rohit"},{"family":"Liu","given":"Zhong"},{"family":"Donovan","given":"Robert S."},{"family":"Shinjo","given":"Fukiko"},{"family":"Liu","given":"Yongmei"},{"family":"Dembowy","given":"Joanna"},{"family":"Taylor","given":"Ian W."},{"family":"Luga","given":"Valbona"},{"family":"Przulj","given":"Natasa"},{"family":"Robinson","given":"Mark"},{"family":"Suzuki","given":"Harukazu"},{"family":"Hayashizaki","given":"Yoshihide"},{"family":"Jurisica","given":"Igor"},{"family":"Wrana","given":"Jeffrey L."}],"issued":{"date-parts":[["2005",3,11]]}}}],"schema":"https://github.com/citation-style-language/schema/raw/master/csl-citation.json"} </w:instrText>
      </w:r>
      <w:r w:rsidRPr="000E6A09">
        <w:fldChar w:fldCharType="separate"/>
      </w:r>
      <w:r w:rsidR="0070527C" w:rsidRPr="0070527C">
        <w:rPr>
          <w:rFonts w:cs="Times New Roman"/>
          <w:szCs w:val="24"/>
          <w:vertAlign w:val="superscript"/>
        </w:rPr>
        <w:t>30</w:t>
      </w:r>
      <w:r w:rsidRPr="000E6A09">
        <w:fldChar w:fldCharType="end"/>
      </w:r>
      <w:r w:rsidRPr="000E6A09">
        <w:t>, and is preceded by reorganisation of filamentous actin (F-actin) (</w:t>
      </w:r>
      <w:r w:rsidRPr="000E6A09">
        <w:rPr>
          <w:b/>
          <w:bCs/>
        </w:rPr>
        <w:t>Fig 1</w:t>
      </w:r>
      <w:r w:rsidRPr="000E6A09">
        <w:t>). Actin filaments in mesenchymal cells are bundled into thick contractile stress fibres that increase cellular contractability for migration</w:t>
      </w:r>
      <w:r w:rsidRPr="000E6A09">
        <w:fldChar w:fldCharType="begin"/>
      </w:r>
      <w:r w:rsidR="0070527C">
        <w:instrText xml:space="preserve"> ADDIN ZOTERO_ITEM CSL_CITATION {"citationID":"aner1c4vfo","properties":{"formattedCitation":"\\super 31\\nosupersub{}","plainCitation":"31","noteIndex":0},"citationItems":[{"id":2244,"uris":["http://zotero.org/users/5214051/items/2DTAUF3Y"],"itemData":{"id":2244,"type":"article-journal","abstract":"LifeAct-GFP, a fluorescent reporter for actin filaments, is used to uncover the dynamics of actin cytoskeleton remodeling in real time during TGF-β–induced EMT. Efficient actin filament remodeling and complete transition to a mesenchymal phenotype depend on an increase in expression of the ERM protein moesin., Remodeling of actin filaments is necessary for epithelial–mesenchymal transition (EMT); however, understanding of how this is regulated in real time is limited. We used an actin filament reporter and high-resolution live-cell imaging to analyze the regulated dynamics of actin filaments during transforming growth factor-β–induced EMT of mammary epithelial cells. Progressive changes in cell morphology were accompanied by reorganization of actin filaments from thin cortical bundles in epithelial cells to thick, parallel, contractile bundles that disassembled more slowly but remained dynamic in transdifferentiated cells. We show that efficient actin filament remodeling during EMT depends on increased expression of the ezrin/radixin/moesin (ERM) protein moesin. Cells suppressed for moesin expression by short hairpin RNA had fewer, thinner, and less stable actin bundles, incomplete morphological transition, and decreased invasive capacity. These cells also had less α-smooth muscle actin and phosphorylated myosin light chain in cortical patches, decreased abundance of the adhesion receptor CD44 at membrane protrusions, and attenuated autophosphorylation of focal adhesion kinase. Our findings suggest that increased moesin expression promotes EMT by regulating adhesion and contractile elements for changes in actin filament organization. We propose that the transciptional program driving EMT controls progressive remodeling of actin filament architectures.","container-title":"Molecular Biology of the Cell","DOI":"10.1091/mbc.E11-02-0119","ISSN":"1059-1524","issue":"24","journalAbbreviation":"Mol Biol Cell","note":"PMID: 22031288\nPMCID: PMC3237619","page":"4750-4764","source":"PubMed Central","title":"Dynamic actin remodeling during epithelial–mesenchymal transition depends on increased moesin expression","volume":"22","author":[{"family":"Haynes","given":"Jennifer"},{"family":"Srivastava","given":"Jyoti"},{"family":"Madson","given":"Nikki"},{"family":"Wittmann","given":"Torsten"},{"family":"Barber","given":"Diane L."}],"issued":{"date-parts":[["2011",12,15]]}}}],"schema":"https://github.com/citation-style-language/schema/raw/master/csl-citation.json"} </w:instrText>
      </w:r>
      <w:r w:rsidRPr="000E6A09">
        <w:fldChar w:fldCharType="separate"/>
      </w:r>
      <w:r w:rsidR="0070527C" w:rsidRPr="0070527C">
        <w:rPr>
          <w:rFonts w:cs="Times New Roman"/>
          <w:szCs w:val="24"/>
          <w:vertAlign w:val="superscript"/>
        </w:rPr>
        <w:t>31</w:t>
      </w:r>
      <w:r w:rsidRPr="000E6A09">
        <w:fldChar w:fldCharType="end"/>
      </w:r>
      <w:r w:rsidRPr="000E6A09">
        <w:t>. Vimentin, a type III intermediate filament found in mesenchymal cells, mediates cytoskeletal organisation and focal adhesion maturation, which the migrating cells utilise to attach to the ECM</w:t>
      </w:r>
      <w:r w:rsidRPr="000E6A09">
        <w:fldChar w:fldCharType="begin"/>
      </w:r>
      <w:r w:rsidR="0070527C">
        <w:instrText xml:space="preserve"> ADDIN ZOTERO_ITEM CSL_CITATION {"citationID":"a2ors3vuiot","properties":{"formattedCitation":"\\super 32\\nosupersub{}","plainCitation":"32","noteIndex":0},"citationItems":[{"id":2241,"uris":["http://zotero.org/users/5214051/items/PJA7XK2J"],"itemData":{"id":2241,"type":"article-journal","abstract":"https://doi.org/10.18632/oncotarget.3862 Ching-Yi Liu, Hsi-Hui Lin, Ming-Jer Tang, Yang-Kao Wang","container-title":"Oncotarget","DOI":"10.18632/oncotarget.3862","ISSN":"1949-2553","issue":"18","language":"en","note":"publisher: Impact Journals","page":"15966-15983","source":"www.oncotarget.com","title":"Vimentin contributes to epithelial-mesenchymal transition cancer cell mechanics by mediating cytoskeletal organization and focal adhesion maturation","volume":"6","author":[{"family":"Liu","given":"Ching-Yi"},{"family":"Lin","given":"Hsi-Hui"},{"family":"Tang","given":"Ming-Jer"},{"family":"Wang","given":"Yang-Kao"}],"issued":{"date-parts":[["2015",4,18]]}}}],"schema":"https://github.com/citation-style-language/schema/raw/master/csl-citation.json"} </w:instrText>
      </w:r>
      <w:r w:rsidRPr="000E6A09">
        <w:fldChar w:fldCharType="separate"/>
      </w:r>
      <w:r w:rsidR="0070527C" w:rsidRPr="0070527C">
        <w:rPr>
          <w:rFonts w:cs="Times New Roman"/>
          <w:szCs w:val="24"/>
          <w:vertAlign w:val="superscript"/>
        </w:rPr>
        <w:t>32</w:t>
      </w:r>
      <w:r w:rsidRPr="000E6A09">
        <w:fldChar w:fldCharType="end"/>
      </w:r>
      <w:r w:rsidRPr="000E6A09">
        <w:t xml:space="preserve">. Previous studies using the same </w:t>
      </w:r>
      <w:r>
        <w:t>MDA-TEV-</w:t>
      </w:r>
      <w:r w:rsidRPr="000E6A09">
        <w:t>EMT model</w:t>
      </w:r>
      <w:r w:rsidRPr="000E6A09">
        <w:fldChar w:fldCharType="begin"/>
      </w:r>
      <w:r w:rsidR="0070527C">
        <w:instrText xml:space="preserve"> ADDIN ZOTERO_ITEM CSL_CITATION {"citationID":"a1vm5rkuqf7","properties":{"formattedCitation":"\\super 18,19\\nosupersub{}","plainCitation":"18,19","noteIndex":0},"citationItems":[{"id":2084,"uris":["http://zotero.org/users/5214051/items/6LQGS8TJ"],"itemData":{"id":2084,"type":"article-journal","abstract":"Extracellular vesicles (EVs) are membrane-limited vesicles secreted by normal and malignant cells and their function is dependent on the cargo they carry and the cell type from which they originate. Moreover, EVs mediate many stages of tumor progression including angiogenesis, escape from immune surveillance and extracellular matrix degradation. Linoleic acid (LA) is an essential polyunsaturated fatty acid that induces expression of plasminogen activator inhibitor-1, proliferation, migration and invasion in breast cancer cells. However the role of secreted EVs from MDA-MB-231 cells stimulated with LA like mediator of the epithelial-mesenchymal-transition (EMT) process in mammary non-tumorigenic epithelial cells MCF10A remains to be studied. In the present study, we demonstrate that treatment of MDA-MB-231 cells for 48h with 90µM LA does not induce an increase in the number of secreted EVs. In addition, EVs isolated from supernatants of MDA-MB-231 stimulated for 48h with 90µM LA induce a transient down-regulation of E-cadherin expression, and an increase of Snail1 and 2, Twist1 and 2, Sip1, vimentin and N-cadherin expression in MCF10A cells. EVs also promote an increase of MMP-2 and -9 secretions, an increase of NFκB-DNA binding activity, migration and invasion in MCF10A cells. In summary, our findings demonstrate, for the first time, that EVs isolated from supernatants of MDA-MB-231 stimulated for 48h with 90µM LA induce an EMT-like process in MCF10A cells.","container-title":"Prostaglandins, Leukotrienes and Essential Fatty Acids","DOI":"10.1016/j.plefa.2014.09.002","ISSN":"0952-3278","issue":"6","journalAbbreviation":"Prostaglandins, Leukotrienes and Essential Fatty Acids","language":"en","page":"299-310","source":"ScienceDirect","title":"Extracellular vesicles from MDA-MB-231 breast cancer cells stimulated with linoleic acid promote an EMT-like process in MCF10A cells","volume":"91","author":[{"family":"Galindo-Hernandez","given":"Octavio"},{"family":"Serna-Marquez","given":"Nathalia"},{"family":"Castillo-Sanchez","given":"Rocio"},{"family":"Salazar","given":"Eduardo Perez"}],"issued":{"date-parts":[["2014",12,1]]}}},{"id":2276,"uris":["http://zotero.org/users/5214051/items/J3DC73RX"],"itemData":{"id":2276,"type":"article-journal","abstract":"Insulin-like growth factor-1 (IGF-1) plays an important role in function and development of the mammary gland. However, high levels of IGF-1 has been associated with an increased risk of breast cancer development. Epithelial–mesenchymal transition (EMT) is a process where epithelial cells lose their epithelial characteristics and acquire a mesenchymal phenotype, which is considered one of the most important mechanisms in cancer initiation and promotion of metastasis. Extracellular vesicles (EVs) are released into the extracellular space by different cell types, which mediate intercellular communication and play an important role in different physiological and pathological processes, such as cancer. In this study, we demonstrate that EVs from MDA-MB-231 breast cancer cells stimulated with IGF-1 (IGF-1 EVs) decrease the levels of E-cadherin, increase the expression of vimentin and N-cadherin and stimulate the secretion of metalloproteinase-9 in mammary non-tumorigenic epithelial cells MCF10A. IGF-1 EVs also induce the expression of Snail1, Twist1 and Sip1, which are transcription factors involved in EMT. Moreover, IGF-1 EVs induce activation of ERK1/2, Akt1 and Akt2, migration and invasion. In summary, we demonstrate, for the first time, that IGF-1 EVs induce an EMT process in mammary non-tumorigenic epithelial cells MCF10A.","container-title":"Journal of Cell Communication and Signaling","DOI":"10.1007/s12079-021-00638-y","ISSN":"1873-961X","journalAbbreviation":"J. Cell Commun. Signal.","language":"en","source":"Springer Link","title":"Extracellular vesicles from MDA-MB-231 breast cancer cells stimulated with insulin-like growth factor 1 mediate an epithelial–mesenchymal transition process in MCF10A mammary epithelial cells","URL":"https://doi.org/10.1007/s12079-021-00638-y","author":[{"family":"Leal-Orta","given":"Elizabeth"},{"family":"Ramirez-Ricardo","given":"Javier"},{"family":"Garcia-Hernandez","given":"Alejandra"},{"family":"Cortes-Reynosa","given":"Pedro"},{"family":"Salazar","given":"Eduardo Perez"}],"accessed":{"date-parts":[["2022",5,14]]},"issued":{"date-parts":[["2021",7,26]]}}}],"schema":"https://github.com/citation-style-language/schema/raw/master/csl-citation.json"} </w:instrText>
      </w:r>
      <w:r w:rsidRPr="000E6A09">
        <w:fldChar w:fldCharType="separate"/>
      </w:r>
      <w:r w:rsidR="0070527C" w:rsidRPr="0070527C">
        <w:rPr>
          <w:rFonts w:cs="Times New Roman"/>
          <w:szCs w:val="24"/>
          <w:vertAlign w:val="superscript"/>
        </w:rPr>
        <w:t>18,19</w:t>
      </w:r>
      <w:r w:rsidRPr="000E6A09">
        <w:fldChar w:fldCharType="end"/>
      </w:r>
      <w:r w:rsidRPr="000E6A09">
        <w:t xml:space="preserve"> assessed</w:t>
      </w:r>
      <w:r>
        <w:t xml:space="preserve"> transcript and protein expression using RT-qPCR and Western blot and demonstrated that MDA-TEVs induced down-regulation of E-cadherin (epithelial marker) expression and upregulation of </w:t>
      </w:r>
      <w:r w:rsidRPr="0056087B">
        <w:t xml:space="preserve">Twist-related protein 1 </w:t>
      </w:r>
      <w:r>
        <w:t>(TWIST1) transcripts, as well as vimentin and N-cadherin (mesenchymal markers) expression in MCF10A cells. TWIST1 is an</w:t>
      </w:r>
      <w:r w:rsidRPr="003A40C5">
        <w:t xml:space="preserve"> E-cadherin transcriptional repressors that bind to promoter E-boxes</w:t>
      </w:r>
      <w:r>
        <w:t xml:space="preserve"> on </w:t>
      </w:r>
      <w:r w:rsidRPr="003A40C5">
        <w:t xml:space="preserve">E-cadherin </w:t>
      </w:r>
      <w:r>
        <w:t>to repress transcription and they are part of the canonical Wnt/</w:t>
      </w:r>
      <w:r w:rsidRPr="008956F0">
        <w:t>β</w:t>
      </w:r>
      <w:r>
        <w:t>-catenin pathway, indicating that TEVs (and their cargo) modulate this EMT pathway. Functionally, TEVs promoted migration and invasion in MCF10A cells, as measured by migration/wound-healing and Boyden chamber assays</w:t>
      </w:r>
      <w:r>
        <w:fldChar w:fldCharType="begin"/>
      </w:r>
      <w:r w:rsidR="0070527C">
        <w:instrText xml:space="preserve"> ADDIN ZOTERO_ITEM CSL_CITATION {"citationID":"2jdEROdG","properties":{"formattedCitation":"\\super 18,19\\nosupersub{}","plainCitation":"18,19","noteIndex":0},"citationItems":[{"id":2084,"uris":["http://zotero.org/users/5214051/items/6LQGS8TJ"],"itemData":{"id":2084,"type":"article-journal","abstract":"Extracellular vesicles (EVs) are membrane-limited vesicles secreted by normal and malignant cells and their function is dependent on the cargo they carry and the cell type from which they originate. Moreover, EVs mediate many stages of tumor progression including angiogenesis, escape from immune surveillance and extracellular matrix degradation. Linoleic acid (LA) is an essential polyunsaturated fatty acid that induces expression of plasminogen activator inhibitor-1, proliferation, migration and invasion in breast cancer cells. However the role of secreted EVs from MDA-MB-231 cells stimulated with LA like mediator of the epithelial-mesenchymal-transition (EMT) process in mammary non-tumorigenic epithelial cells MCF10A remains to be studied. In the present study, we demonstrate that treatment of MDA-MB-231 cells for 48h with 90µM LA does not induce an increase in the number of secreted EVs. In addition, EVs isolated from supernatants of MDA-MB-231 stimulated for 48h with 90µM LA induce a transient down-regulation of E-cadherin expression, and an increase of Snail1 and 2, Twist1 and 2, Sip1, vimentin and N-cadherin expression in MCF10A cells. EVs also promote an increase of MMP-2 and -9 secretions, an increase of NFκB-DNA binding activity, migration and invasion in MCF10A cells. In summary, our findings demonstrate, for the first time, that EVs isolated from supernatants of MDA-MB-231 stimulated for 48h with 90µM LA induce an EMT-like process in MCF10A cells.","container-title":"Prostaglandins, Leukotrienes and Essential Fatty Acids","DOI":"10.1016/j.plefa.2014.09.002","ISSN":"0952-3278","issue":"6","journalAbbreviation":"Prostaglandins, Leukotrienes and Essential Fatty Acids","language":"en","page":"299-310","source":"ScienceDirect","title":"Extracellular vesicles from MDA-MB-231 breast cancer cells stimulated with linoleic acid promote an EMT-like process in MCF10A cells","volume":"91","author":[{"family":"Galindo-Hernandez","given":"Octavio"},{"family":"Serna-Marquez","given":"Nathalia"},{"family":"Castillo-Sanchez","given":"Rocio"},{"family":"Salazar","given":"Eduardo Perez"}],"issued":{"date-parts":[["2014",12,1]]}}},{"id":2276,"uris":["http://zotero.org/users/5214051/items/J3DC73RX"],"itemData":{"id":2276,"type":"article-journal","abstract":"Insulin-like growth factor-1 (IGF-1) plays an important role in function and development of the mammary gland. However, high levels of IGF-1 has been associated with an increased risk of breast cancer development. Epithelial–mesenchymal transition (EMT) is a process where epithelial cells lose their epithelial characteristics and acquire a mesenchymal phenotype, which is considered one of the most important mechanisms in cancer initiation and promotion of metastasis. Extracellular vesicles (EVs) are released into the extracellular space by different cell types, which mediate intercellular communication and play an important role in different physiological and pathological processes, such as cancer. In this study, we demonstrate that EVs from MDA-MB-231 breast cancer cells stimulated with IGF-1 (IGF-1 EVs) decrease the levels of E-cadherin, increase the expression of vimentin and N-cadherin and stimulate the secretion of metalloproteinase-9 in mammary non-tumorigenic epithelial cells MCF10A. IGF-1 EVs also induce the expression of Snail1, Twist1 and Sip1, which are transcription factors involved in EMT. Moreover, IGF-1 EVs induce activation of ERK1/2, Akt1 and Akt2, migration and invasion. In summary, we demonstrate, for the first time, that IGF-1 EVs induce an EMT process in mammary non-tumorigenic epithelial cells MCF10A.","container-title":"Journal of Cell Communication and Signaling","DOI":"10.1007/s12079-021-00638-y","ISSN":"1873-961X","journalAbbreviation":"J. Cell Commun. Signal.","language":"en","source":"Springer Link","title":"Extracellular vesicles from MDA-MB-231 breast cancer cells stimulated with insulin-like growth factor 1 mediate an epithelial–mesenchymal transition process in MCF10A mammary epithelial cells","URL":"https://doi.org/10.1007/s12079-021-00638-y","author":[{"family":"Leal-Orta","given":"Elizabeth"},{"family":"Ramirez-Ricardo","given":"Javier"},{"family":"Garcia-Hernandez","given":"Alejandra"},{"family":"Cortes-Reynosa","given":"Pedro"},{"family":"Salazar","given":"Eduardo Perez"}],"accessed":{"date-parts":[["2022",5,14]]},"issued":{"date-parts":[["2021",7,26]]}}}],"schema":"https://github.com/citation-style-language/schema/raw/master/csl-citation.json"} </w:instrText>
      </w:r>
      <w:r>
        <w:fldChar w:fldCharType="separate"/>
      </w:r>
      <w:r w:rsidR="0070527C" w:rsidRPr="0070527C">
        <w:rPr>
          <w:rFonts w:cs="Times New Roman"/>
          <w:szCs w:val="24"/>
          <w:vertAlign w:val="superscript"/>
        </w:rPr>
        <w:t>18,19</w:t>
      </w:r>
      <w:r>
        <w:fldChar w:fldCharType="end"/>
      </w:r>
      <w:r>
        <w:t xml:space="preserve">. </w:t>
      </w:r>
      <w:r w:rsidR="00961B70">
        <w:br w:type="page"/>
      </w:r>
      <w:r w:rsidR="00BF5387">
        <w:rPr>
          <w:noProof/>
        </w:rPr>
        <w:lastRenderedPageBreak/>
        <w:drawing>
          <wp:inline distT="0" distB="0" distL="0" distR="0" wp14:anchorId="277E4B55" wp14:editId="331CB161">
            <wp:extent cx="5728855" cy="537426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25339"/>
                    <a:stretch/>
                  </pic:blipFill>
                  <pic:spPr bwMode="auto">
                    <a:xfrm>
                      <a:off x="0" y="0"/>
                      <a:ext cx="5763653" cy="5406906"/>
                    </a:xfrm>
                    <a:prstGeom prst="rect">
                      <a:avLst/>
                    </a:prstGeom>
                    <a:noFill/>
                    <a:ln>
                      <a:noFill/>
                    </a:ln>
                    <a:extLst>
                      <a:ext uri="{53640926-AAD7-44D8-BBD7-CCE9431645EC}">
                        <a14:shadowObscured xmlns:a14="http://schemas.microsoft.com/office/drawing/2010/main"/>
                      </a:ext>
                    </a:extLst>
                  </pic:spPr>
                </pic:pic>
              </a:graphicData>
            </a:graphic>
          </wp:inline>
        </w:drawing>
      </w:r>
    </w:p>
    <w:p w14:paraId="472B9E16" w14:textId="6CB07F88" w:rsidR="0052016D" w:rsidRDefault="00BF5387" w:rsidP="004B59FA">
      <w:pPr>
        <w:rPr>
          <w:iCs/>
          <w:sz w:val="18"/>
          <w:szCs w:val="18"/>
        </w:rPr>
      </w:pPr>
      <w:bookmarkStart w:id="12" w:name="_Toc104452805"/>
      <w:r w:rsidRPr="00C84C4C">
        <w:rPr>
          <w:b/>
          <w:bCs/>
        </w:rPr>
        <w:t>Figure S</w:t>
      </w:r>
      <w:r w:rsidR="006E2500">
        <w:rPr>
          <w:b/>
          <w:bCs/>
        </w:rPr>
        <w:t>6</w:t>
      </w:r>
      <w:r w:rsidR="00DD3A21" w:rsidRPr="00DD69F0">
        <w:rPr>
          <w:b/>
          <w:bCs/>
        </w:rPr>
        <w:fldChar w:fldCharType="begin"/>
      </w:r>
      <w:r w:rsidR="00DD3A21" w:rsidRPr="00DD69F0">
        <w:rPr>
          <w:b/>
          <w:bCs/>
        </w:rPr>
        <w:instrText xml:space="preserve"> SEQ Figure \* ARABIC </w:instrText>
      </w:r>
      <w:r w:rsidR="001037DD">
        <w:rPr>
          <w:b/>
          <w:bCs/>
        </w:rPr>
        <w:fldChar w:fldCharType="separate"/>
      </w:r>
      <w:r w:rsidR="00DD3A21" w:rsidRPr="00DD69F0">
        <w:rPr>
          <w:b/>
          <w:bCs/>
        </w:rPr>
        <w:fldChar w:fldCharType="end"/>
      </w:r>
      <w:r w:rsidR="00DD3A21">
        <w:rPr>
          <w:b/>
          <w:bCs/>
        </w:rPr>
        <w:t>:</w:t>
      </w:r>
      <w:r>
        <w:t xml:space="preserve"> </w:t>
      </w:r>
      <w:r w:rsidRPr="00E173FC">
        <w:t xml:space="preserve">Immunofluorescence of E-cadherin (green), N-cadherin (red), and nuclei (blue) on MCF10A monolayer with no treatment (left column), treated with 50 μg of </w:t>
      </w:r>
      <w:r>
        <w:t>MDA</w:t>
      </w:r>
      <w:r w:rsidR="00290A3C">
        <w:t>-</w:t>
      </w:r>
      <w:r>
        <w:t>TEVs</w:t>
      </w:r>
      <w:r w:rsidRPr="00E173FC">
        <w:t xml:space="preserve"> (middle column), or with 10 ng/mL TGFβ (right column) every 12 hours for 60 hours.</w:t>
      </w:r>
      <w:bookmarkEnd w:id="12"/>
      <w:r w:rsidRPr="00E173FC">
        <w:t xml:space="preserve"> </w:t>
      </w:r>
      <w:r w:rsidR="0052016D">
        <w:rPr>
          <w:iCs/>
          <w:sz w:val="18"/>
          <w:szCs w:val="18"/>
        </w:rPr>
        <w:br w:type="page"/>
      </w:r>
    </w:p>
    <w:p w14:paraId="1E7C915A" w14:textId="77777777" w:rsidR="0052016D" w:rsidRDefault="0052016D" w:rsidP="0052016D">
      <w:r>
        <w:rPr>
          <w:noProof/>
        </w:rPr>
        <w:lastRenderedPageBreak/>
        <w:drawing>
          <wp:inline distT="0" distB="0" distL="0" distR="0" wp14:anchorId="6C2197B3" wp14:editId="5FC58EAF">
            <wp:extent cx="5609705" cy="53964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116" cy="5405550"/>
                    </a:xfrm>
                    <a:prstGeom prst="rect">
                      <a:avLst/>
                    </a:prstGeom>
                    <a:noFill/>
                  </pic:spPr>
                </pic:pic>
              </a:graphicData>
            </a:graphic>
          </wp:inline>
        </w:drawing>
      </w:r>
    </w:p>
    <w:p w14:paraId="5A4609B8" w14:textId="35FFA644" w:rsidR="00961B70" w:rsidRDefault="0052016D" w:rsidP="00816402">
      <w:pPr>
        <w:rPr>
          <w:iCs/>
          <w:sz w:val="18"/>
          <w:szCs w:val="18"/>
        </w:rPr>
      </w:pPr>
      <w:bookmarkStart w:id="13" w:name="_Toc104452806"/>
      <w:r w:rsidRPr="0040669B">
        <w:rPr>
          <w:b/>
          <w:bCs/>
        </w:rPr>
        <w:t>Figure S</w:t>
      </w:r>
      <w:r w:rsidR="00217A3B">
        <w:rPr>
          <w:b/>
          <w:bCs/>
        </w:rPr>
        <w:t>7</w:t>
      </w:r>
      <w:r w:rsidRPr="0040669B">
        <w:rPr>
          <w:b/>
          <w:bCs/>
        </w:rPr>
        <w:t>:</w:t>
      </w:r>
      <w:r>
        <w:t xml:space="preserve"> Unedited</w:t>
      </w:r>
      <w:r w:rsidRPr="00360E76">
        <w:rPr>
          <w:rFonts w:eastAsiaTheme="minorEastAsia"/>
        </w:rPr>
        <w:t xml:space="preserve"> x/z and y/z orthogonal views (ortho-views, right) of each cell layer in the OECT channel (</w:t>
      </w:r>
      <w:r>
        <w:rPr>
          <w:rFonts w:eastAsiaTheme="minorEastAsia"/>
        </w:rPr>
        <w:t xml:space="preserve">treatment </w:t>
      </w:r>
      <w:r w:rsidRPr="00360E76">
        <w:rPr>
          <w:rFonts w:eastAsiaTheme="minorEastAsia"/>
        </w:rPr>
        <w:t xml:space="preserve">day </w:t>
      </w:r>
      <w:r>
        <w:rPr>
          <w:rFonts w:eastAsiaTheme="minorEastAsia"/>
        </w:rPr>
        <w:t>9</w:t>
      </w:r>
      <w:r w:rsidRPr="00360E76">
        <w:rPr>
          <w:rFonts w:eastAsiaTheme="minorEastAsia"/>
        </w:rPr>
        <w:t>), obtained by z-stacked confocal images</w:t>
      </w:r>
      <w:r>
        <w:rPr>
          <w:rFonts w:eastAsiaTheme="minorEastAsia"/>
        </w:rPr>
        <w:t>. Cell height was calculated using the built-in tools in the Zen software, as shown in the images.</w:t>
      </w:r>
      <w:bookmarkEnd w:id="13"/>
      <w:r>
        <w:rPr>
          <w:rFonts w:eastAsiaTheme="minorEastAsia"/>
        </w:rPr>
        <w:t xml:space="preserve"> </w:t>
      </w:r>
    </w:p>
    <w:p w14:paraId="695E9187" w14:textId="77777777" w:rsidR="00A47E01" w:rsidRDefault="00A47E01" w:rsidP="00816402">
      <w:r>
        <w:rPr>
          <w:noProof/>
        </w:rPr>
        <w:lastRenderedPageBreak/>
        <w:drawing>
          <wp:inline distT="0" distB="0" distL="0" distR="0" wp14:anchorId="7DE913B3" wp14:editId="3F89F903">
            <wp:extent cx="5715000" cy="49155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300" r="14570"/>
                    <a:stretch/>
                  </pic:blipFill>
                  <pic:spPr bwMode="auto">
                    <a:xfrm>
                      <a:off x="0" y="0"/>
                      <a:ext cx="5730890" cy="4929230"/>
                    </a:xfrm>
                    <a:prstGeom prst="rect">
                      <a:avLst/>
                    </a:prstGeom>
                    <a:noFill/>
                    <a:ln>
                      <a:noFill/>
                    </a:ln>
                    <a:extLst>
                      <a:ext uri="{53640926-AAD7-44D8-BBD7-CCE9431645EC}">
                        <a14:shadowObscured xmlns:a14="http://schemas.microsoft.com/office/drawing/2010/main"/>
                      </a:ext>
                    </a:extLst>
                  </pic:spPr>
                </pic:pic>
              </a:graphicData>
            </a:graphic>
          </wp:inline>
        </w:drawing>
      </w:r>
    </w:p>
    <w:p w14:paraId="58479174" w14:textId="18F0EFDB" w:rsidR="00053B2A" w:rsidRDefault="00A47E01" w:rsidP="00816402">
      <w:bookmarkStart w:id="14" w:name="_Toc104452807"/>
      <w:r w:rsidRPr="00125EE2">
        <w:rPr>
          <w:b/>
          <w:bCs/>
        </w:rPr>
        <w:t>Figure S</w:t>
      </w:r>
      <w:r w:rsidR="00FB1115">
        <w:rPr>
          <w:b/>
          <w:bCs/>
        </w:rPr>
        <w:t>8</w:t>
      </w:r>
      <w:r w:rsidRPr="00125EE2">
        <w:rPr>
          <w:b/>
          <w:bCs/>
        </w:rPr>
        <w:t>:</w:t>
      </w:r>
      <w:r>
        <w:t xml:space="preserve"> Unedited immunoblots</w:t>
      </w:r>
      <w:r w:rsidR="009C2401" w:rsidRPr="009C2401">
        <w:t xml:space="preserve"> </w:t>
      </w:r>
      <w:r w:rsidR="009C2401">
        <w:t>of whole-cell lysates collected on treatment day 9</w:t>
      </w:r>
      <w:r w:rsidR="00521F8F">
        <w:t xml:space="preserve"> against EMT markers</w:t>
      </w:r>
      <w:r w:rsidR="00CF4E70">
        <w:t>.</w:t>
      </w:r>
      <w:r w:rsidR="00F1044D">
        <w:t xml:space="preserve"> Equal quantities of protein were separated on SDS-PAGE gels and membranes were blotted with indicated antibodies. Vimentin, predicted: 54-75 kDa; E-cadherin, predicted: 97 kDa; N-cadherin, predicted: 125-135 kDa; </w:t>
      </w:r>
      <w:r w:rsidR="00DA506F">
        <w:t>f</w:t>
      </w:r>
      <w:r w:rsidR="009F66A6">
        <w:t>ibronectin</w:t>
      </w:r>
      <w:r w:rsidR="004510FA">
        <w:t xml:space="preserve"> (slightly smeared due to glycosylation</w:t>
      </w:r>
      <w:r w:rsidR="004510FA">
        <w:fldChar w:fldCharType="begin"/>
      </w:r>
      <w:r w:rsidR="00603188">
        <w:instrText xml:space="preserve"> ADDIN ZOTERO_ITEM CSL_CITATION {"citationID":"a124paeead9","properties":{"formattedCitation":"\\super 33\\nosupersub{}","plainCitation":"33","noteIndex":0},"citationItems":[{"id":2395,"uris":["http://zotero.org/users/5214051/items/8S2NRA85"],"itemData":{"id":2395,"type":"chapter","container-title":"Encyclopedia of Cancer","event-place":"Berlin, Heidelberg","ISBN":"978-3-642-16483-5","language":"en","note":"DOI: 10.1007/978-3-642-16483-5_2182","page":"1399-1402","publisher":"Springer","publisher-place":"Berlin, Heidelberg","source":"Springer Link","title":"Fibronectin","URL":"https://doi.org/10.1007/978-3-642-16483-5_2182","author":[{"family":"Verma","given":"Rakesh"}],"editor":[{"family":"Schwab","given":"Manfred"}],"accessed":{"date-parts":[["2022",5,26]]},"issued":{"date-parts":[["2011"]]}}}],"schema":"https://github.com/citation-style-language/schema/raw/master/csl-citation.json"} </w:instrText>
      </w:r>
      <w:r w:rsidR="004510FA">
        <w:fldChar w:fldCharType="separate"/>
      </w:r>
      <w:r w:rsidR="00603188" w:rsidRPr="00603188">
        <w:rPr>
          <w:rFonts w:cs="Times New Roman"/>
          <w:sz w:val="22"/>
          <w:szCs w:val="24"/>
          <w:vertAlign w:val="superscript"/>
        </w:rPr>
        <w:t>33</w:t>
      </w:r>
      <w:r w:rsidR="004510FA">
        <w:fldChar w:fldCharType="end"/>
      </w:r>
      <w:r w:rsidR="00BF08EC">
        <w:t xml:space="preserve"> and shows multiple bands with lower MW;</w:t>
      </w:r>
      <w:r w:rsidR="004510FA">
        <w:t>)</w:t>
      </w:r>
      <w:r w:rsidR="003E7A0D">
        <w:t>,</w:t>
      </w:r>
      <w:r w:rsidR="004510FA">
        <w:t xml:space="preserve"> predicted: 262-285 kDa</w:t>
      </w:r>
      <w:r w:rsidR="00BF08EC">
        <w:t>; and</w:t>
      </w:r>
      <w:r w:rsidR="005C4004">
        <w:t xml:space="preserve"> </w:t>
      </w:r>
      <w:r w:rsidR="00C5258F">
        <w:t>F-acti</w:t>
      </w:r>
      <w:r w:rsidR="00152CDC">
        <w:t>n</w:t>
      </w:r>
      <w:r w:rsidR="006F7B44">
        <w:t xml:space="preserve"> (band at ~70 kDa may indicate presence of dimers)</w:t>
      </w:r>
      <w:r w:rsidR="00152CDC">
        <w:t>, predicted</w:t>
      </w:r>
      <w:r w:rsidR="000F7F40">
        <w:t xml:space="preserve"> 42 kDa</w:t>
      </w:r>
      <w:r w:rsidR="005A07EE">
        <w:t>.</w:t>
      </w:r>
      <w:r w:rsidR="00C404E3">
        <w:t xml:space="preserve"> </w:t>
      </w:r>
      <w:r w:rsidR="00E010B0">
        <w:t>The p</w:t>
      </w:r>
      <w:r w:rsidR="00542B4E">
        <w:t xml:space="preserve">resence of multiple bands </w:t>
      </w:r>
      <w:r w:rsidR="008D6B9A">
        <w:t xml:space="preserve">is </w:t>
      </w:r>
      <w:r w:rsidR="00542B4E">
        <w:t xml:space="preserve">also </w:t>
      </w:r>
      <w:r w:rsidR="00834B7D">
        <w:t>indicated</w:t>
      </w:r>
      <w:r w:rsidR="00B52056">
        <w:t xml:space="preserve"> on antibody product page</w:t>
      </w:r>
      <w:r w:rsidR="00E010B0">
        <w:t xml:space="preserve"> </w:t>
      </w:r>
      <w:r w:rsidR="00291149">
        <w:t>(Abcam)</w:t>
      </w:r>
      <w:r w:rsidR="00B52056">
        <w:t>.</w:t>
      </w:r>
      <w:bookmarkEnd w:id="14"/>
      <w:r w:rsidR="00C5258F">
        <w:t xml:space="preserve"> </w:t>
      </w:r>
      <w:r w:rsidR="009C6CF4">
        <w:br w:type="page"/>
      </w:r>
    </w:p>
    <w:p w14:paraId="67E08FF2" w14:textId="77777777" w:rsidR="000F1054" w:rsidRDefault="002F6D79" w:rsidP="002F6D79">
      <w:pPr>
        <w:jc w:val="left"/>
        <w:rPr>
          <w:b/>
          <w:bCs/>
        </w:rPr>
      </w:pPr>
      <w:r>
        <w:rPr>
          <w:b/>
          <w:bCs/>
          <w:noProof/>
        </w:rPr>
        <w:lastRenderedPageBreak/>
        <w:drawing>
          <wp:inline distT="0" distB="0" distL="0" distR="0" wp14:anchorId="23752415" wp14:editId="3B2FD60D">
            <wp:extent cx="4622699" cy="385023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6655" cy="3853530"/>
                    </a:xfrm>
                    <a:prstGeom prst="rect">
                      <a:avLst/>
                    </a:prstGeom>
                    <a:noFill/>
                  </pic:spPr>
                </pic:pic>
              </a:graphicData>
            </a:graphic>
          </wp:inline>
        </w:drawing>
      </w:r>
    </w:p>
    <w:p w14:paraId="77BD3EF8" w14:textId="335D3632" w:rsidR="005D2E91" w:rsidRDefault="00053B2A" w:rsidP="004B59FA">
      <w:pPr>
        <w:jc w:val="left"/>
      </w:pPr>
      <w:bookmarkStart w:id="15" w:name="_Toc104452808"/>
      <w:r w:rsidRPr="00D03BDA">
        <w:rPr>
          <w:b/>
          <w:bCs/>
        </w:rPr>
        <w:t>Figure S</w:t>
      </w:r>
      <w:r w:rsidR="00C141A7">
        <w:rPr>
          <w:b/>
          <w:bCs/>
        </w:rPr>
        <w:t>9</w:t>
      </w:r>
      <w:r w:rsidRPr="00D03BDA">
        <w:rPr>
          <w:b/>
          <w:bCs/>
        </w:rPr>
        <w:t>:</w:t>
      </w:r>
      <w:r>
        <w:t xml:space="preserve"> </w:t>
      </w:r>
      <w:r w:rsidR="00957C92">
        <w:t>Unedited immunoblots</w:t>
      </w:r>
      <w:r w:rsidR="00AD6E11">
        <w:t xml:space="preserve"> of TWIST1 protein expression in</w:t>
      </w:r>
      <w:r w:rsidR="002126FF">
        <w:t xml:space="preserve"> (</w:t>
      </w:r>
      <w:r w:rsidR="002126FF" w:rsidRPr="002B0D40">
        <w:rPr>
          <w:b/>
          <w:bCs/>
        </w:rPr>
        <w:t>a</w:t>
      </w:r>
      <w:r w:rsidR="002126FF">
        <w:t xml:space="preserve">) </w:t>
      </w:r>
      <w:r w:rsidR="00AD6E11">
        <w:t>MDA-MB-231 total cell lysate and MDA-TEV</w:t>
      </w:r>
      <w:r w:rsidR="00C25F13">
        <w:t>s, and (</w:t>
      </w:r>
      <w:r w:rsidR="00C25F13" w:rsidRPr="002B0D40">
        <w:rPr>
          <w:b/>
          <w:bCs/>
        </w:rPr>
        <w:t>b</w:t>
      </w:r>
      <w:r w:rsidR="00C25F13">
        <w:t>)</w:t>
      </w:r>
      <w:r w:rsidR="00AC0374">
        <w:t xml:space="preserve"> </w:t>
      </w:r>
      <w:r w:rsidR="00616912">
        <w:t xml:space="preserve">MCF10A cells </w:t>
      </w:r>
      <w:r w:rsidR="0034033B">
        <w:t xml:space="preserve">treated under conditions indicated. </w:t>
      </w:r>
      <w:r w:rsidR="00AC0374">
        <w:t>TWIST1 has a predicted M</w:t>
      </w:r>
      <w:r w:rsidR="00E622F0">
        <w:t>w</w:t>
      </w:r>
      <w:r w:rsidR="00AC0374">
        <w:t xml:space="preserve"> of 21 kDa</w:t>
      </w:r>
      <w:bookmarkEnd w:id="15"/>
      <w:r w:rsidR="005D2E91">
        <w:br w:type="page"/>
      </w:r>
    </w:p>
    <w:p w14:paraId="6CE3A06C" w14:textId="46C3EA2D" w:rsidR="002041DB" w:rsidRDefault="00FE7F81" w:rsidP="00816402">
      <w:r>
        <w:rPr>
          <w:noProof/>
        </w:rPr>
        <w:lastRenderedPageBreak/>
        <w:drawing>
          <wp:inline distT="0" distB="0" distL="0" distR="0" wp14:anchorId="184B57C4" wp14:editId="54C985B5">
            <wp:extent cx="5673110" cy="286789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745" r="29638"/>
                    <a:stretch/>
                  </pic:blipFill>
                  <pic:spPr bwMode="auto">
                    <a:xfrm>
                      <a:off x="0" y="0"/>
                      <a:ext cx="5702605" cy="2882801"/>
                    </a:xfrm>
                    <a:prstGeom prst="rect">
                      <a:avLst/>
                    </a:prstGeom>
                    <a:noFill/>
                    <a:ln>
                      <a:noFill/>
                    </a:ln>
                    <a:extLst>
                      <a:ext uri="{53640926-AAD7-44D8-BBD7-CCE9431645EC}">
                        <a14:shadowObscured xmlns:a14="http://schemas.microsoft.com/office/drawing/2010/main"/>
                      </a:ext>
                    </a:extLst>
                  </pic:spPr>
                </pic:pic>
              </a:graphicData>
            </a:graphic>
          </wp:inline>
        </w:drawing>
      </w:r>
    </w:p>
    <w:p w14:paraId="6A118EFA" w14:textId="45F1F077" w:rsidR="0070527C" w:rsidRDefault="002041DB" w:rsidP="00816402">
      <w:pPr>
        <w:rPr>
          <w:rFonts w:eastAsiaTheme="minorEastAsia"/>
        </w:rPr>
      </w:pPr>
      <w:bookmarkStart w:id="16" w:name="_Toc104452809"/>
      <w:r w:rsidRPr="00A200B8">
        <w:rPr>
          <w:b/>
          <w:bCs/>
        </w:rPr>
        <w:t xml:space="preserve">Figure </w:t>
      </w:r>
      <w:r w:rsidR="004B59FA">
        <w:rPr>
          <w:b/>
          <w:bCs/>
        </w:rPr>
        <w:t xml:space="preserve">S10: </w:t>
      </w:r>
      <w:r w:rsidR="00E924BA">
        <w:t xml:space="preserve">LHS: </w:t>
      </w:r>
      <w:r w:rsidR="00AD5525" w:rsidRPr="00AD5525">
        <w:t xml:space="preserve">Cut-off frequency normalised to day 0 (treatment start day) over time for the four </w:t>
      </w:r>
      <w:r w:rsidR="00AD5525">
        <w:t>drug treatment</w:t>
      </w:r>
      <w:r w:rsidR="00AD5525" w:rsidRPr="00AD5525">
        <w:t xml:space="preserve"> conditions: non-treated; 200 μg MDA-TEVs;</w:t>
      </w:r>
      <w:r w:rsidR="00147B45">
        <w:t xml:space="preserve"> </w:t>
      </w:r>
      <w:r w:rsidR="00147B45" w:rsidRPr="003F5F03">
        <w:t>10 μg/m</w:t>
      </w:r>
      <w:r w:rsidR="00147B45">
        <w:t>l heparin;</w:t>
      </w:r>
      <w:r w:rsidR="00AD5525" w:rsidRPr="00AD5525">
        <w:t xml:space="preserve"> </w:t>
      </w:r>
      <w:r w:rsidR="00147B45">
        <w:t>and</w:t>
      </w:r>
      <w:r w:rsidR="00AD5525" w:rsidRPr="00AD5525">
        <w:t xml:space="preserve"> </w:t>
      </w:r>
      <w:r w:rsidR="00147B45" w:rsidRPr="00AD5525">
        <w:t>200 μg MDA-TEVs</w:t>
      </w:r>
      <w:r w:rsidR="00147B45">
        <w:t xml:space="preserve"> + </w:t>
      </w:r>
      <w:r w:rsidR="00147B45" w:rsidRPr="003F5F03">
        <w:t>10 μg/m</w:t>
      </w:r>
      <w:r w:rsidR="00147B45">
        <w:t>l heparin,</w:t>
      </w:r>
      <w:r w:rsidR="00AD5525" w:rsidRPr="00AD5525">
        <w:t xml:space="preserve"> (mean ± s.e.m.; s.e.m. indicated by lightly coloured areas; n=3). Data points before treatment day 0 are omitted for clarity.</w:t>
      </w:r>
      <w:r w:rsidR="00E924BA">
        <w:t xml:space="preserve"> RHS:</w:t>
      </w:r>
      <w:r w:rsidR="008B3461">
        <w:t xml:space="preserve"> </w:t>
      </w:r>
      <w:r w:rsidR="00992BA5">
        <w:t>Interaction plot illustrating the relationship between MDA-TEV and heparin treatment (mean; n</w:t>
      </w:r>
      <w:r w:rsidR="00992BA5">
        <w:rPr>
          <w:rFonts w:eastAsiaTheme="minorEastAsia"/>
        </w:rPr>
        <w:t>=3).</w:t>
      </w:r>
      <w:bookmarkEnd w:id="16"/>
    </w:p>
    <w:p w14:paraId="58643FE0" w14:textId="57DAA459" w:rsidR="005D2E91" w:rsidRPr="002B0D40" w:rsidRDefault="0070527C" w:rsidP="001037DD">
      <w:pPr>
        <w:spacing w:line="259" w:lineRule="auto"/>
        <w:jc w:val="left"/>
        <w:rPr>
          <w:b/>
          <w:bCs/>
          <w:lang w:val="da-DK"/>
        </w:rPr>
      </w:pPr>
      <w:r>
        <w:rPr>
          <w:rFonts w:eastAsiaTheme="minorEastAsia"/>
        </w:rPr>
        <w:br w:type="page"/>
      </w:r>
      <w:r w:rsidRPr="002B0D40">
        <w:rPr>
          <w:b/>
          <w:bCs/>
          <w:lang w:val="da-DK"/>
        </w:rPr>
        <w:lastRenderedPageBreak/>
        <w:t>References</w:t>
      </w:r>
    </w:p>
    <w:p w14:paraId="028AF9A7" w14:textId="77777777" w:rsidR="008F4FC5" w:rsidRPr="008F4FC5" w:rsidRDefault="0070527C" w:rsidP="008F4FC5">
      <w:pPr>
        <w:pStyle w:val="Bibliography"/>
        <w:rPr>
          <w:rFonts w:cs="Times New Roman"/>
        </w:rPr>
      </w:pPr>
      <w:r>
        <w:fldChar w:fldCharType="begin"/>
      </w:r>
      <w:r w:rsidR="008F4FC5" w:rsidRPr="004B59FA">
        <w:rPr>
          <w:lang w:val="da-DK"/>
        </w:rPr>
        <w:instrText xml:space="preserve"> ADDIN ZOTERO_BIBL {"uncited":[],"omitted":[],"custom":[]} CSL_BIBLIOGRAPHY </w:instrText>
      </w:r>
      <w:r>
        <w:fldChar w:fldCharType="separate"/>
      </w:r>
      <w:r w:rsidR="008F4FC5" w:rsidRPr="004B59FA">
        <w:rPr>
          <w:rFonts w:cs="Times New Roman"/>
          <w:lang w:val="da-DK"/>
        </w:rPr>
        <w:t>1.</w:t>
      </w:r>
      <w:r w:rsidR="008F4FC5" w:rsidRPr="004B59FA">
        <w:rPr>
          <w:rFonts w:cs="Times New Roman"/>
          <w:lang w:val="da-DK"/>
        </w:rPr>
        <w:tab/>
        <w:t xml:space="preserve">Aga, M. </w:t>
      </w:r>
      <w:r w:rsidR="008F4FC5" w:rsidRPr="004B59FA">
        <w:rPr>
          <w:rFonts w:cs="Times New Roman"/>
          <w:i/>
          <w:iCs/>
          <w:lang w:val="da-DK"/>
        </w:rPr>
        <w:t>et al.</w:t>
      </w:r>
      <w:r w:rsidR="008F4FC5" w:rsidRPr="004B59FA">
        <w:rPr>
          <w:rFonts w:cs="Times New Roman"/>
          <w:lang w:val="da-DK"/>
        </w:rPr>
        <w:t xml:space="preserve"> </w:t>
      </w:r>
      <w:r w:rsidR="008F4FC5" w:rsidRPr="008F4FC5">
        <w:rPr>
          <w:rFonts w:cs="Times New Roman"/>
        </w:rPr>
        <w:t xml:space="preserve">Exosomal HIF1α supports invasive potential of nasopharyngeal carcinoma-associated LMP1-positive exosomes. </w:t>
      </w:r>
      <w:r w:rsidR="008F4FC5" w:rsidRPr="008F4FC5">
        <w:rPr>
          <w:rFonts w:cs="Times New Roman"/>
          <w:i/>
          <w:iCs/>
        </w:rPr>
        <w:t>Oncogene</w:t>
      </w:r>
      <w:r w:rsidR="008F4FC5" w:rsidRPr="008F4FC5">
        <w:rPr>
          <w:rFonts w:cs="Times New Roman"/>
        </w:rPr>
        <w:t xml:space="preserve"> </w:t>
      </w:r>
      <w:r w:rsidR="008F4FC5" w:rsidRPr="008F4FC5">
        <w:rPr>
          <w:rFonts w:cs="Times New Roman"/>
          <w:b/>
          <w:bCs/>
        </w:rPr>
        <w:t>33</w:t>
      </w:r>
      <w:r w:rsidR="008F4FC5" w:rsidRPr="008F4FC5">
        <w:rPr>
          <w:rFonts w:cs="Times New Roman"/>
        </w:rPr>
        <w:t>, 4613–4622 (2014).</w:t>
      </w:r>
    </w:p>
    <w:p w14:paraId="28982E65" w14:textId="77777777" w:rsidR="008F4FC5" w:rsidRPr="008F4FC5" w:rsidRDefault="008F4FC5" w:rsidP="008F4FC5">
      <w:pPr>
        <w:pStyle w:val="Bibliography"/>
        <w:rPr>
          <w:rFonts w:cs="Times New Roman"/>
        </w:rPr>
      </w:pPr>
      <w:r w:rsidRPr="008F4FC5">
        <w:rPr>
          <w:rFonts w:cs="Times New Roman"/>
        </w:rPr>
        <w:t>2.</w:t>
      </w:r>
      <w:r w:rsidRPr="008F4FC5">
        <w:rPr>
          <w:rFonts w:cs="Times New Roman"/>
        </w:rPr>
        <w:tab/>
        <w:t xml:space="preserve">Franzen, C. A. </w:t>
      </w:r>
      <w:r w:rsidRPr="008F4FC5">
        <w:rPr>
          <w:rFonts w:cs="Times New Roman"/>
          <w:i/>
          <w:iCs/>
        </w:rPr>
        <w:t>et al.</w:t>
      </w:r>
      <w:r w:rsidRPr="008F4FC5">
        <w:rPr>
          <w:rFonts w:cs="Times New Roman"/>
        </w:rPr>
        <w:t xml:space="preserve"> Urothelial cells undergo epithelial-to-mesenchymal transition after exposure to muscle invasive bladder cancer exosomes. </w:t>
      </w:r>
      <w:r w:rsidRPr="008F4FC5">
        <w:rPr>
          <w:rFonts w:cs="Times New Roman"/>
          <w:i/>
          <w:iCs/>
        </w:rPr>
        <w:t>Oncogenesis</w:t>
      </w:r>
      <w:r w:rsidRPr="008F4FC5">
        <w:rPr>
          <w:rFonts w:cs="Times New Roman"/>
        </w:rPr>
        <w:t xml:space="preserve"> </w:t>
      </w:r>
      <w:r w:rsidRPr="008F4FC5">
        <w:rPr>
          <w:rFonts w:cs="Times New Roman"/>
          <w:b/>
          <w:bCs/>
        </w:rPr>
        <w:t>4</w:t>
      </w:r>
      <w:r w:rsidRPr="008F4FC5">
        <w:rPr>
          <w:rFonts w:cs="Times New Roman"/>
        </w:rPr>
        <w:t>, e163–e163 (2015).</w:t>
      </w:r>
    </w:p>
    <w:p w14:paraId="7138B168" w14:textId="77777777" w:rsidR="008F4FC5" w:rsidRPr="008F4FC5" w:rsidRDefault="008F4FC5" w:rsidP="008F4FC5">
      <w:pPr>
        <w:pStyle w:val="Bibliography"/>
        <w:rPr>
          <w:rFonts w:cs="Times New Roman"/>
        </w:rPr>
      </w:pPr>
      <w:r w:rsidRPr="008F4FC5">
        <w:rPr>
          <w:rFonts w:cs="Times New Roman"/>
        </w:rPr>
        <w:t>3.</w:t>
      </w:r>
      <w:r w:rsidRPr="008F4FC5">
        <w:rPr>
          <w:rFonts w:cs="Times New Roman"/>
        </w:rPr>
        <w:tab/>
        <w:t xml:space="preserve">Syn, N., Wang, L., Sethi, G., Thiery, J.-P. &amp; Goh, B.-C. Exosome-Mediated Metastasis: From Epithelial–Mesenchymal Transition to Escape from Immunosurveillance. </w:t>
      </w:r>
      <w:r w:rsidRPr="008F4FC5">
        <w:rPr>
          <w:rFonts w:cs="Times New Roman"/>
          <w:i/>
          <w:iCs/>
        </w:rPr>
        <w:t>Trends Pharmacol. Sci.</w:t>
      </w:r>
      <w:r w:rsidRPr="008F4FC5">
        <w:rPr>
          <w:rFonts w:cs="Times New Roman"/>
        </w:rPr>
        <w:t xml:space="preserve"> </w:t>
      </w:r>
      <w:r w:rsidRPr="008F4FC5">
        <w:rPr>
          <w:rFonts w:cs="Times New Roman"/>
          <w:b/>
          <w:bCs/>
        </w:rPr>
        <w:t>37</w:t>
      </w:r>
      <w:r w:rsidRPr="008F4FC5">
        <w:rPr>
          <w:rFonts w:cs="Times New Roman"/>
        </w:rPr>
        <w:t>, 606–617 (2016).</w:t>
      </w:r>
    </w:p>
    <w:p w14:paraId="26FAD606" w14:textId="77777777" w:rsidR="008F4FC5" w:rsidRPr="008F4FC5" w:rsidRDefault="008F4FC5" w:rsidP="008F4FC5">
      <w:pPr>
        <w:pStyle w:val="Bibliography"/>
        <w:rPr>
          <w:rFonts w:cs="Times New Roman"/>
        </w:rPr>
      </w:pPr>
      <w:r w:rsidRPr="008F4FC5">
        <w:rPr>
          <w:rFonts w:cs="Times New Roman"/>
        </w:rPr>
        <w:t>4.</w:t>
      </w:r>
      <w:r w:rsidRPr="008F4FC5">
        <w:rPr>
          <w:rFonts w:cs="Times New Roman"/>
        </w:rPr>
        <w:tab/>
        <w:t xml:space="preserve">Melo, S. A. </w:t>
      </w:r>
      <w:r w:rsidRPr="008F4FC5">
        <w:rPr>
          <w:rFonts w:cs="Times New Roman"/>
          <w:i/>
          <w:iCs/>
        </w:rPr>
        <w:t>et al.</w:t>
      </w:r>
      <w:r w:rsidRPr="008F4FC5">
        <w:rPr>
          <w:rFonts w:cs="Times New Roman"/>
        </w:rPr>
        <w:t xml:space="preserve"> Cancer Exosomes Perform Cell-Independent MicroRNA Biogenesis and Promote Tumorigenesis. </w:t>
      </w:r>
      <w:r w:rsidRPr="008F4FC5">
        <w:rPr>
          <w:rFonts w:cs="Times New Roman"/>
          <w:i/>
          <w:iCs/>
        </w:rPr>
        <w:t>Cancer Cell</w:t>
      </w:r>
      <w:r w:rsidRPr="008F4FC5">
        <w:rPr>
          <w:rFonts w:cs="Times New Roman"/>
        </w:rPr>
        <w:t xml:space="preserve"> </w:t>
      </w:r>
      <w:r w:rsidRPr="008F4FC5">
        <w:rPr>
          <w:rFonts w:cs="Times New Roman"/>
          <w:b/>
          <w:bCs/>
        </w:rPr>
        <w:t>26</w:t>
      </w:r>
      <w:r w:rsidRPr="008F4FC5">
        <w:rPr>
          <w:rFonts w:cs="Times New Roman"/>
        </w:rPr>
        <w:t>, 707–721 (2014).</w:t>
      </w:r>
    </w:p>
    <w:p w14:paraId="7FF165BD" w14:textId="77777777" w:rsidR="008F4FC5" w:rsidRPr="008F4FC5" w:rsidRDefault="008F4FC5" w:rsidP="008F4FC5">
      <w:pPr>
        <w:pStyle w:val="Bibliography"/>
        <w:rPr>
          <w:rFonts w:cs="Times New Roman"/>
        </w:rPr>
      </w:pPr>
      <w:r w:rsidRPr="008F4FC5">
        <w:rPr>
          <w:rFonts w:cs="Times New Roman"/>
        </w:rPr>
        <w:t>5.</w:t>
      </w:r>
      <w:r w:rsidRPr="008F4FC5">
        <w:rPr>
          <w:rFonts w:cs="Times New Roman"/>
        </w:rPr>
        <w:tab/>
        <w:t xml:space="preserve">You, Y. </w:t>
      </w:r>
      <w:r w:rsidRPr="008F4FC5">
        <w:rPr>
          <w:rFonts w:cs="Times New Roman"/>
          <w:i/>
          <w:iCs/>
        </w:rPr>
        <w:t>et al.</w:t>
      </w:r>
      <w:r w:rsidRPr="008F4FC5">
        <w:rPr>
          <w:rFonts w:cs="Times New Roman"/>
        </w:rPr>
        <w:t xml:space="preserve"> Matrix metalloproteinase 13-containing exosomes promote nasopharyngeal carcinoma metastasis. </w:t>
      </w:r>
      <w:r w:rsidRPr="008F4FC5">
        <w:rPr>
          <w:rFonts w:cs="Times New Roman"/>
          <w:i/>
          <w:iCs/>
        </w:rPr>
        <w:t>Cancer Sci.</w:t>
      </w:r>
      <w:r w:rsidRPr="008F4FC5">
        <w:rPr>
          <w:rFonts w:cs="Times New Roman"/>
        </w:rPr>
        <w:t xml:space="preserve"> </w:t>
      </w:r>
      <w:r w:rsidRPr="008F4FC5">
        <w:rPr>
          <w:rFonts w:cs="Times New Roman"/>
          <w:b/>
          <w:bCs/>
        </w:rPr>
        <w:t>106</w:t>
      </w:r>
      <w:r w:rsidRPr="008F4FC5">
        <w:rPr>
          <w:rFonts w:cs="Times New Roman"/>
        </w:rPr>
        <w:t>, 1669–1677 (2015).</w:t>
      </w:r>
    </w:p>
    <w:p w14:paraId="6AD90163" w14:textId="77777777" w:rsidR="008F4FC5" w:rsidRPr="008F4FC5" w:rsidRDefault="008F4FC5" w:rsidP="008F4FC5">
      <w:pPr>
        <w:pStyle w:val="Bibliography"/>
        <w:rPr>
          <w:rFonts w:cs="Times New Roman"/>
        </w:rPr>
      </w:pPr>
      <w:r w:rsidRPr="008F4FC5">
        <w:rPr>
          <w:rFonts w:cs="Times New Roman"/>
        </w:rPr>
        <w:t>6.</w:t>
      </w:r>
      <w:r w:rsidRPr="008F4FC5">
        <w:rPr>
          <w:rFonts w:cs="Times New Roman"/>
        </w:rPr>
        <w:tab/>
        <w:t xml:space="preserve">Ramteke, A. </w:t>
      </w:r>
      <w:r w:rsidRPr="008F4FC5">
        <w:rPr>
          <w:rFonts w:cs="Times New Roman"/>
          <w:i/>
          <w:iCs/>
        </w:rPr>
        <w:t>et al.</w:t>
      </w:r>
      <w:r w:rsidRPr="008F4FC5">
        <w:rPr>
          <w:rFonts w:cs="Times New Roman"/>
        </w:rPr>
        <w:t xml:space="preserve"> Exosomes secreted under hypoxia enhance invasiveness and stemness of prostate cancer cells by targeting adherens junction molecules. </w:t>
      </w:r>
      <w:r w:rsidRPr="008F4FC5">
        <w:rPr>
          <w:rFonts w:cs="Times New Roman"/>
          <w:i/>
          <w:iCs/>
        </w:rPr>
        <w:t>Mol. Carcinog.</w:t>
      </w:r>
      <w:r w:rsidRPr="008F4FC5">
        <w:rPr>
          <w:rFonts w:cs="Times New Roman"/>
        </w:rPr>
        <w:t xml:space="preserve"> </w:t>
      </w:r>
      <w:r w:rsidRPr="008F4FC5">
        <w:rPr>
          <w:rFonts w:cs="Times New Roman"/>
          <w:b/>
          <w:bCs/>
        </w:rPr>
        <w:t>54</w:t>
      </w:r>
      <w:r w:rsidRPr="008F4FC5">
        <w:rPr>
          <w:rFonts w:cs="Times New Roman"/>
        </w:rPr>
        <w:t>, 554–565 (2015).</w:t>
      </w:r>
    </w:p>
    <w:p w14:paraId="22172B60" w14:textId="77777777" w:rsidR="008F4FC5" w:rsidRPr="008F4FC5" w:rsidRDefault="008F4FC5" w:rsidP="008F4FC5">
      <w:pPr>
        <w:pStyle w:val="Bibliography"/>
        <w:rPr>
          <w:rFonts w:cs="Times New Roman"/>
        </w:rPr>
      </w:pPr>
      <w:r w:rsidRPr="008F4FC5">
        <w:rPr>
          <w:rFonts w:cs="Times New Roman"/>
        </w:rPr>
        <w:t>7.</w:t>
      </w:r>
      <w:r w:rsidRPr="008F4FC5">
        <w:rPr>
          <w:rFonts w:cs="Times New Roman"/>
        </w:rPr>
        <w:tab/>
        <w:t xml:space="preserve">Chen, Y. </w:t>
      </w:r>
      <w:r w:rsidRPr="008F4FC5">
        <w:rPr>
          <w:rFonts w:cs="Times New Roman"/>
          <w:i/>
          <w:iCs/>
        </w:rPr>
        <w:t>et al.</w:t>
      </w:r>
      <w:r w:rsidRPr="008F4FC5">
        <w:rPr>
          <w:rFonts w:cs="Times New Roman"/>
        </w:rPr>
        <w:t xml:space="preserve"> Aberrant low expression of p85α in stromal fibroblasts promotes breast cancer cell metastasis through exosome-mediated paracrine Wnt10b. </w:t>
      </w:r>
      <w:r w:rsidRPr="008F4FC5">
        <w:rPr>
          <w:rFonts w:cs="Times New Roman"/>
          <w:i/>
          <w:iCs/>
        </w:rPr>
        <w:t>Oncogene</w:t>
      </w:r>
      <w:r w:rsidRPr="008F4FC5">
        <w:rPr>
          <w:rFonts w:cs="Times New Roman"/>
        </w:rPr>
        <w:t xml:space="preserve"> </w:t>
      </w:r>
      <w:r w:rsidRPr="008F4FC5">
        <w:rPr>
          <w:rFonts w:cs="Times New Roman"/>
          <w:b/>
          <w:bCs/>
        </w:rPr>
        <w:t>36</w:t>
      </w:r>
      <w:r w:rsidRPr="008F4FC5">
        <w:rPr>
          <w:rFonts w:cs="Times New Roman"/>
        </w:rPr>
        <w:t>, 4692–4705 (2017).</w:t>
      </w:r>
    </w:p>
    <w:p w14:paraId="6DE7D7D1" w14:textId="77777777" w:rsidR="008F4FC5" w:rsidRPr="008F4FC5" w:rsidRDefault="008F4FC5" w:rsidP="008F4FC5">
      <w:pPr>
        <w:pStyle w:val="Bibliography"/>
        <w:rPr>
          <w:rFonts w:cs="Times New Roman"/>
        </w:rPr>
      </w:pPr>
      <w:r w:rsidRPr="008F4FC5">
        <w:rPr>
          <w:rFonts w:cs="Times New Roman"/>
        </w:rPr>
        <w:t>8.</w:t>
      </w:r>
      <w:r w:rsidRPr="008F4FC5">
        <w:rPr>
          <w:rFonts w:cs="Times New Roman"/>
        </w:rPr>
        <w:tab/>
        <w:t xml:space="preserve">Ozawa, P. M. M. </w:t>
      </w:r>
      <w:r w:rsidRPr="008F4FC5">
        <w:rPr>
          <w:rFonts w:cs="Times New Roman"/>
          <w:i/>
          <w:iCs/>
        </w:rPr>
        <w:t>et al.</w:t>
      </w:r>
      <w:r w:rsidRPr="008F4FC5">
        <w:rPr>
          <w:rFonts w:cs="Times New Roman"/>
        </w:rPr>
        <w:t xml:space="preserve"> Extracellular vesicles from triple-negative breast cancer cells promote proliferation and drug resistance in non-tumorigenic breast cells. </w:t>
      </w:r>
      <w:r w:rsidRPr="008F4FC5">
        <w:rPr>
          <w:rFonts w:cs="Times New Roman"/>
          <w:i/>
          <w:iCs/>
        </w:rPr>
        <w:t>Breast Cancer Res. Treat.</w:t>
      </w:r>
      <w:r w:rsidRPr="008F4FC5">
        <w:rPr>
          <w:rFonts w:cs="Times New Roman"/>
        </w:rPr>
        <w:t xml:space="preserve"> </w:t>
      </w:r>
      <w:r w:rsidRPr="008F4FC5">
        <w:rPr>
          <w:rFonts w:cs="Times New Roman"/>
          <w:b/>
          <w:bCs/>
        </w:rPr>
        <w:t>172</w:t>
      </w:r>
      <w:r w:rsidRPr="008F4FC5">
        <w:rPr>
          <w:rFonts w:cs="Times New Roman"/>
        </w:rPr>
        <w:t>, 713–723 (2018).</w:t>
      </w:r>
    </w:p>
    <w:p w14:paraId="724F53E0" w14:textId="77777777" w:rsidR="008F4FC5" w:rsidRPr="008F4FC5" w:rsidRDefault="008F4FC5" w:rsidP="008F4FC5">
      <w:pPr>
        <w:pStyle w:val="Bibliography"/>
        <w:rPr>
          <w:rFonts w:cs="Times New Roman"/>
        </w:rPr>
      </w:pPr>
      <w:r w:rsidRPr="008F4FC5">
        <w:rPr>
          <w:rFonts w:cs="Times New Roman"/>
        </w:rPr>
        <w:t>9.</w:t>
      </w:r>
      <w:r w:rsidRPr="008F4FC5">
        <w:rPr>
          <w:rFonts w:cs="Times New Roman"/>
        </w:rPr>
        <w:tab/>
        <w:t xml:space="preserve">Jordan, K. R. </w:t>
      </w:r>
      <w:r w:rsidRPr="008F4FC5">
        <w:rPr>
          <w:rFonts w:cs="Times New Roman"/>
          <w:i/>
          <w:iCs/>
        </w:rPr>
        <w:t>et al.</w:t>
      </w:r>
      <w:r w:rsidRPr="008F4FC5">
        <w:rPr>
          <w:rFonts w:cs="Times New Roman"/>
        </w:rPr>
        <w:t xml:space="preserve"> Extracellular vesicles from young women’s breast cancer patients drive increased invasion of non-malignant cells via the Focal Adhesion Kinase pathway: a proteomic approach. </w:t>
      </w:r>
      <w:r w:rsidRPr="008F4FC5">
        <w:rPr>
          <w:rFonts w:cs="Times New Roman"/>
          <w:i/>
          <w:iCs/>
        </w:rPr>
        <w:t>Breast Cancer Res.</w:t>
      </w:r>
      <w:r w:rsidRPr="008F4FC5">
        <w:rPr>
          <w:rFonts w:cs="Times New Roman"/>
        </w:rPr>
        <w:t xml:space="preserve"> </w:t>
      </w:r>
      <w:r w:rsidRPr="008F4FC5">
        <w:rPr>
          <w:rFonts w:cs="Times New Roman"/>
          <w:b/>
          <w:bCs/>
        </w:rPr>
        <w:t>22</w:t>
      </w:r>
      <w:r w:rsidRPr="008F4FC5">
        <w:rPr>
          <w:rFonts w:cs="Times New Roman"/>
        </w:rPr>
        <w:t>, 128 (2020).</w:t>
      </w:r>
    </w:p>
    <w:p w14:paraId="6851A864" w14:textId="77777777" w:rsidR="008F4FC5" w:rsidRPr="008F4FC5" w:rsidRDefault="008F4FC5" w:rsidP="008F4FC5">
      <w:pPr>
        <w:pStyle w:val="Bibliography"/>
        <w:rPr>
          <w:rFonts w:cs="Times New Roman"/>
        </w:rPr>
      </w:pPr>
      <w:r w:rsidRPr="008F4FC5">
        <w:rPr>
          <w:rFonts w:cs="Times New Roman"/>
        </w:rPr>
        <w:lastRenderedPageBreak/>
        <w:t>10.</w:t>
      </w:r>
      <w:r w:rsidRPr="008F4FC5">
        <w:rPr>
          <w:rFonts w:cs="Times New Roman"/>
        </w:rPr>
        <w:tab/>
        <w:t xml:space="preserve">Sarrió, D. </w:t>
      </w:r>
      <w:r w:rsidRPr="008F4FC5">
        <w:rPr>
          <w:rFonts w:cs="Times New Roman"/>
          <w:i/>
          <w:iCs/>
        </w:rPr>
        <w:t>et al.</w:t>
      </w:r>
      <w:r w:rsidRPr="008F4FC5">
        <w:rPr>
          <w:rFonts w:cs="Times New Roman"/>
        </w:rPr>
        <w:t xml:space="preserve"> Epithelial-Mesenchymal Transition in Breast Cancer Relates to the Basal-like Phenotype. </w:t>
      </w:r>
      <w:r w:rsidRPr="008F4FC5">
        <w:rPr>
          <w:rFonts w:cs="Times New Roman"/>
          <w:i/>
          <w:iCs/>
        </w:rPr>
        <w:t>Cancer Res.</w:t>
      </w:r>
      <w:r w:rsidRPr="008F4FC5">
        <w:rPr>
          <w:rFonts w:cs="Times New Roman"/>
        </w:rPr>
        <w:t xml:space="preserve"> </w:t>
      </w:r>
      <w:r w:rsidRPr="008F4FC5">
        <w:rPr>
          <w:rFonts w:cs="Times New Roman"/>
          <w:b/>
          <w:bCs/>
        </w:rPr>
        <w:t>68</w:t>
      </w:r>
      <w:r w:rsidRPr="008F4FC5">
        <w:rPr>
          <w:rFonts w:cs="Times New Roman"/>
        </w:rPr>
        <w:t>, 989–997 (2008).</w:t>
      </w:r>
    </w:p>
    <w:p w14:paraId="1FB5F373" w14:textId="77777777" w:rsidR="008F4FC5" w:rsidRPr="008F4FC5" w:rsidRDefault="008F4FC5" w:rsidP="008F4FC5">
      <w:pPr>
        <w:pStyle w:val="Bibliography"/>
        <w:rPr>
          <w:rFonts w:cs="Times New Roman"/>
        </w:rPr>
      </w:pPr>
      <w:r w:rsidRPr="008F4FC5">
        <w:rPr>
          <w:rFonts w:cs="Times New Roman"/>
        </w:rPr>
        <w:t>11.</w:t>
      </w:r>
      <w:r w:rsidRPr="008F4FC5">
        <w:rPr>
          <w:rFonts w:cs="Times New Roman"/>
        </w:rPr>
        <w:tab/>
        <w:t xml:space="preserve">Goh, C. Y. </w:t>
      </w:r>
      <w:r w:rsidRPr="008F4FC5">
        <w:rPr>
          <w:rFonts w:cs="Times New Roman"/>
          <w:i/>
          <w:iCs/>
        </w:rPr>
        <w:t>et al.</w:t>
      </w:r>
      <w:r w:rsidRPr="008F4FC5">
        <w:rPr>
          <w:rFonts w:cs="Times New Roman"/>
        </w:rPr>
        <w:t xml:space="preserve"> Exosomes in triple negative breast cancer: Garbage disposals or Trojan horses? </w:t>
      </w:r>
      <w:r w:rsidRPr="008F4FC5">
        <w:rPr>
          <w:rFonts w:cs="Times New Roman"/>
          <w:i/>
          <w:iCs/>
        </w:rPr>
        <w:t>Cancer Lett.</w:t>
      </w:r>
      <w:r w:rsidRPr="008F4FC5">
        <w:rPr>
          <w:rFonts w:cs="Times New Roman"/>
        </w:rPr>
        <w:t xml:space="preserve"> </w:t>
      </w:r>
      <w:r w:rsidRPr="008F4FC5">
        <w:rPr>
          <w:rFonts w:cs="Times New Roman"/>
          <w:b/>
          <w:bCs/>
        </w:rPr>
        <w:t>473</w:t>
      </w:r>
      <w:r w:rsidRPr="008F4FC5">
        <w:rPr>
          <w:rFonts w:cs="Times New Roman"/>
        </w:rPr>
        <w:t>, 90–97 (2020).</w:t>
      </w:r>
    </w:p>
    <w:p w14:paraId="22494491" w14:textId="77777777" w:rsidR="008F4FC5" w:rsidRPr="008F4FC5" w:rsidRDefault="008F4FC5" w:rsidP="008F4FC5">
      <w:pPr>
        <w:pStyle w:val="Bibliography"/>
        <w:rPr>
          <w:rFonts w:cs="Times New Roman"/>
        </w:rPr>
      </w:pPr>
      <w:r w:rsidRPr="008F4FC5">
        <w:rPr>
          <w:rFonts w:cs="Times New Roman"/>
        </w:rPr>
        <w:t>12.</w:t>
      </w:r>
      <w:r w:rsidRPr="008F4FC5">
        <w:rPr>
          <w:rFonts w:cs="Times New Roman"/>
        </w:rPr>
        <w:tab/>
        <w:t xml:space="preserve">Bauer, K. R., Brown, M., Cress, R. D., Parise, C. A. &amp; Caggiano, V. Descriptive analysis of estrogen receptor (ER)-negative, progesterone receptor (PR)-negative, and HER2-negative invasive breast cancer, the so-called triple-negative phenotype. </w:t>
      </w:r>
      <w:r w:rsidRPr="008F4FC5">
        <w:rPr>
          <w:rFonts w:cs="Times New Roman"/>
          <w:i/>
          <w:iCs/>
        </w:rPr>
        <w:t>Cancer</w:t>
      </w:r>
      <w:r w:rsidRPr="008F4FC5">
        <w:rPr>
          <w:rFonts w:cs="Times New Roman"/>
        </w:rPr>
        <w:t xml:space="preserve"> </w:t>
      </w:r>
      <w:r w:rsidRPr="008F4FC5">
        <w:rPr>
          <w:rFonts w:cs="Times New Roman"/>
          <w:b/>
          <w:bCs/>
        </w:rPr>
        <w:t>109</w:t>
      </w:r>
      <w:r w:rsidRPr="008F4FC5">
        <w:rPr>
          <w:rFonts w:cs="Times New Roman"/>
        </w:rPr>
        <w:t>, 1721–1728 (2007).</w:t>
      </w:r>
    </w:p>
    <w:p w14:paraId="6FD83495" w14:textId="77777777" w:rsidR="008F4FC5" w:rsidRPr="008F4FC5" w:rsidRDefault="008F4FC5" w:rsidP="008F4FC5">
      <w:pPr>
        <w:pStyle w:val="Bibliography"/>
        <w:rPr>
          <w:rFonts w:cs="Times New Roman"/>
        </w:rPr>
      </w:pPr>
      <w:r w:rsidRPr="008F4FC5">
        <w:rPr>
          <w:rFonts w:cs="Times New Roman"/>
        </w:rPr>
        <w:t>13.</w:t>
      </w:r>
      <w:r w:rsidRPr="008F4FC5">
        <w:rPr>
          <w:rFonts w:cs="Times New Roman"/>
        </w:rPr>
        <w:tab/>
        <w:t xml:space="preserve">Fulford, L. G. </w:t>
      </w:r>
      <w:r w:rsidRPr="008F4FC5">
        <w:rPr>
          <w:rFonts w:cs="Times New Roman"/>
          <w:i/>
          <w:iCs/>
        </w:rPr>
        <w:t>et al.</w:t>
      </w:r>
      <w:r w:rsidRPr="008F4FC5">
        <w:rPr>
          <w:rFonts w:cs="Times New Roman"/>
        </w:rPr>
        <w:t xml:space="preserve"> Basal-like grade III invasive ductal carcinoma of the breast: patterns of metastasis and long-term survival. </w:t>
      </w:r>
      <w:r w:rsidRPr="008F4FC5">
        <w:rPr>
          <w:rFonts w:cs="Times New Roman"/>
          <w:i/>
          <w:iCs/>
        </w:rPr>
        <w:t>Breast Cancer Res.</w:t>
      </w:r>
      <w:r w:rsidRPr="008F4FC5">
        <w:rPr>
          <w:rFonts w:cs="Times New Roman"/>
        </w:rPr>
        <w:t xml:space="preserve"> </w:t>
      </w:r>
      <w:r w:rsidRPr="008F4FC5">
        <w:rPr>
          <w:rFonts w:cs="Times New Roman"/>
          <w:b/>
          <w:bCs/>
        </w:rPr>
        <w:t>9</w:t>
      </w:r>
      <w:r w:rsidRPr="008F4FC5">
        <w:rPr>
          <w:rFonts w:cs="Times New Roman"/>
        </w:rPr>
        <w:t>, R4 (2007).</w:t>
      </w:r>
    </w:p>
    <w:p w14:paraId="54662406" w14:textId="77777777" w:rsidR="008F4FC5" w:rsidRPr="008F4FC5" w:rsidRDefault="008F4FC5" w:rsidP="008F4FC5">
      <w:pPr>
        <w:pStyle w:val="Bibliography"/>
        <w:rPr>
          <w:rFonts w:cs="Times New Roman"/>
        </w:rPr>
      </w:pPr>
      <w:r w:rsidRPr="008F4FC5">
        <w:rPr>
          <w:rFonts w:cs="Times New Roman"/>
        </w:rPr>
        <w:t>14.</w:t>
      </w:r>
      <w:r w:rsidRPr="008F4FC5">
        <w:rPr>
          <w:rFonts w:cs="Times New Roman"/>
        </w:rPr>
        <w:tab/>
        <w:t xml:space="preserve">Yao, H. </w:t>
      </w:r>
      <w:r w:rsidRPr="008F4FC5">
        <w:rPr>
          <w:rFonts w:cs="Times New Roman"/>
          <w:i/>
          <w:iCs/>
        </w:rPr>
        <w:t>et al.</w:t>
      </w:r>
      <w:r w:rsidRPr="008F4FC5">
        <w:rPr>
          <w:rFonts w:cs="Times New Roman"/>
        </w:rPr>
        <w:t xml:space="preserve"> Triple-negative breast cancer: is there a treatment on the horizon? </w:t>
      </w:r>
      <w:r w:rsidRPr="008F4FC5">
        <w:rPr>
          <w:rFonts w:cs="Times New Roman"/>
          <w:i/>
          <w:iCs/>
        </w:rPr>
        <w:t>Oncotarget</w:t>
      </w:r>
      <w:r w:rsidRPr="008F4FC5">
        <w:rPr>
          <w:rFonts w:cs="Times New Roman"/>
        </w:rPr>
        <w:t xml:space="preserve"> </w:t>
      </w:r>
      <w:r w:rsidRPr="008F4FC5">
        <w:rPr>
          <w:rFonts w:cs="Times New Roman"/>
          <w:b/>
          <w:bCs/>
        </w:rPr>
        <w:t>8</w:t>
      </w:r>
      <w:r w:rsidRPr="008F4FC5">
        <w:rPr>
          <w:rFonts w:cs="Times New Roman"/>
        </w:rPr>
        <w:t>, 1913–1924 (2016).</w:t>
      </w:r>
    </w:p>
    <w:p w14:paraId="6D80E998" w14:textId="77777777" w:rsidR="008F4FC5" w:rsidRPr="008F4FC5" w:rsidRDefault="008F4FC5" w:rsidP="008F4FC5">
      <w:pPr>
        <w:pStyle w:val="Bibliography"/>
        <w:rPr>
          <w:rFonts w:cs="Times New Roman"/>
        </w:rPr>
      </w:pPr>
      <w:r w:rsidRPr="008F4FC5">
        <w:rPr>
          <w:rFonts w:cs="Times New Roman"/>
        </w:rPr>
        <w:t>15.</w:t>
      </w:r>
      <w:r w:rsidRPr="008F4FC5">
        <w:rPr>
          <w:rFonts w:cs="Times New Roman"/>
        </w:rPr>
        <w:tab/>
        <w:t xml:space="preserve">Santner, S. J. </w:t>
      </w:r>
      <w:r w:rsidRPr="008F4FC5">
        <w:rPr>
          <w:rFonts w:cs="Times New Roman"/>
          <w:i/>
          <w:iCs/>
        </w:rPr>
        <w:t>et al.</w:t>
      </w:r>
      <w:r w:rsidRPr="008F4FC5">
        <w:rPr>
          <w:rFonts w:cs="Times New Roman"/>
        </w:rPr>
        <w:t xml:space="preserve"> Malignant MCF10CA1 Cell Lines Derived from Premalignant Human Breast Epithelial MCF10AT Cells. </w:t>
      </w:r>
      <w:r w:rsidRPr="008F4FC5">
        <w:rPr>
          <w:rFonts w:cs="Times New Roman"/>
          <w:i/>
          <w:iCs/>
        </w:rPr>
        <w:t>Breast Cancer Res. Treat.</w:t>
      </w:r>
      <w:r w:rsidRPr="008F4FC5">
        <w:rPr>
          <w:rFonts w:cs="Times New Roman"/>
        </w:rPr>
        <w:t xml:space="preserve"> </w:t>
      </w:r>
      <w:r w:rsidRPr="008F4FC5">
        <w:rPr>
          <w:rFonts w:cs="Times New Roman"/>
          <w:b/>
          <w:bCs/>
        </w:rPr>
        <w:t>65</w:t>
      </w:r>
      <w:r w:rsidRPr="008F4FC5">
        <w:rPr>
          <w:rFonts w:cs="Times New Roman"/>
        </w:rPr>
        <w:t>, 101–110 (2001).</w:t>
      </w:r>
    </w:p>
    <w:p w14:paraId="058E703F" w14:textId="77777777" w:rsidR="008F4FC5" w:rsidRPr="008F4FC5" w:rsidRDefault="008F4FC5" w:rsidP="008F4FC5">
      <w:pPr>
        <w:pStyle w:val="Bibliography"/>
        <w:rPr>
          <w:rFonts w:cs="Times New Roman"/>
        </w:rPr>
      </w:pPr>
      <w:r w:rsidRPr="008F4FC5">
        <w:rPr>
          <w:rFonts w:cs="Times New Roman"/>
        </w:rPr>
        <w:t>16.</w:t>
      </w:r>
      <w:r w:rsidRPr="008F4FC5">
        <w:rPr>
          <w:rFonts w:cs="Times New Roman"/>
        </w:rPr>
        <w:tab/>
        <w:t xml:space="preserve">Qu, Y. </w:t>
      </w:r>
      <w:r w:rsidRPr="008F4FC5">
        <w:rPr>
          <w:rFonts w:cs="Times New Roman"/>
          <w:i/>
          <w:iCs/>
        </w:rPr>
        <w:t>et al.</w:t>
      </w:r>
      <w:r w:rsidRPr="008F4FC5">
        <w:rPr>
          <w:rFonts w:cs="Times New Roman"/>
        </w:rPr>
        <w:t xml:space="preserve"> Evaluation of MCF10A as a Reliable Model for Normal Human Mammary Epithelial Cells. </w:t>
      </w:r>
      <w:r w:rsidRPr="008F4FC5">
        <w:rPr>
          <w:rFonts w:cs="Times New Roman"/>
          <w:i/>
          <w:iCs/>
        </w:rPr>
        <w:t>PLOS ONE</w:t>
      </w:r>
      <w:r w:rsidRPr="008F4FC5">
        <w:rPr>
          <w:rFonts w:cs="Times New Roman"/>
        </w:rPr>
        <w:t xml:space="preserve"> </w:t>
      </w:r>
      <w:r w:rsidRPr="008F4FC5">
        <w:rPr>
          <w:rFonts w:cs="Times New Roman"/>
          <w:b/>
          <w:bCs/>
        </w:rPr>
        <w:t>10</w:t>
      </w:r>
      <w:r w:rsidRPr="008F4FC5">
        <w:rPr>
          <w:rFonts w:cs="Times New Roman"/>
        </w:rPr>
        <w:t>, e0131285 (2015).</w:t>
      </w:r>
    </w:p>
    <w:p w14:paraId="4474D676" w14:textId="77777777" w:rsidR="008F4FC5" w:rsidRPr="008F4FC5" w:rsidRDefault="008F4FC5" w:rsidP="008F4FC5">
      <w:pPr>
        <w:pStyle w:val="Bibliography"/>
        <w:rPr>
          <w:rFonts w:cs="Times New Roman"/>
        </w:rPr>
      </w:pPr>
      <w:r w:rsidRPr="008F4FC5">
        <w:rPr>
          <w:rFonts w:cs="Times New Roman"/>
        </w:rPr>
        <w:t>17.</w:t>
      </w:r>
      <w:r w:rsidRPr="008F4FC5">
        <w:rPr>
          <w:rFonts w:cs="Times New Roman"/>
        </w:rPr>
        <w:tab/>
        <w:t xml:space="preserve">Puleo, J. &amp; Polyak, K. The MCF10 Model of Breast Tumor Progression. </w:t>
      </w:r>
      <w:r w:rsidRPr="008F4FC5">
        <w:rPr>
          <w:rFonts w:cs="Times New Roman"/>
          <w:i/>
          <w:iCs/>
        </w:rPr>
        <w:t>Cancer Res.</w:t>
      </w:r>
      <w:r w:rsidRPr="008F4FC5">
        <w:rPr>
          <w:rFonts w:cs="Times New Roman"/>
        </w:rPr>
        <w:t xml:space="preserve"> </w:t>
      </w:r>
      <w:r w:rsidRPr="008F4FC5">
        <w:rPr>
          <w:rFonts w:cs="Times New Roman"/>
          <w:b/>
          <w:bCs/>
        </w:rPr>
        <w:t>81</w:t>
      </w:r>
      <w:r w:rsidRPr="008F4FC5">
        <w:rPr>
          <w:rFonts w:cs="Times New Roman"/>
        </w:rPr>
        <w:t>, 4183–4185 (2021).</w:t>
      </w:r>
    </w:p>
    <w:p w14:paraId="515441D6" w14:textId="77777777" w:rsidR="008F4FC5" w:rsidRPr="008F4FC5" w:rsidRDefault="008F4FC5" w:rsidP="008F4FC5">
      <w:pPr>
        <w:pStyle w:val="Bibliography"/>
        <w:rPr>
          <w:rFonts w:cs="Times New Roman"/>
        </w:rPr>
      </w:pPr>
      <w:r w:rsidRPr="008F4FC5">
        <w:rPr>
          <w:rFonts w:cs="Times New Roman"/>
        </w:rPr>
        <w:t>18.</w:t>
      </w:r>
      <w:r w:rsidRPr="008F4FC5">
        <w:rPr>
          <w:rFonts w:cs="Times New Roman"/>
        </w:rPr>
        <w:tab/>
        <w:t xml:space="preserve">Galindo-Hernandez, O., Serna-Marquez, N., Castillo-Sanchez, R. &amp; Salazar, E. P. Extracellular vesicles from MDA-MB-231 breast cancer cells stimulated with linoleic acid promote an EMT-like process in MCF10A cells. </w:t>
      </w:r>
      <w:r w:rsidRPr="008F4FC5">
        <w:rPr>
          <w:rFonts w:cs="Times New Roman"/>
          <w:i/>
          <w:iCs/>
        </w:rPr>
        <w:t>Prostaglandins Leukot. Essent. Fatty Acids</w:t>
      </w:r>
      <w:r w:rsidRPr="008F4FC5">
        <w:rPr>
          <w:rFonts w:cs="Times New Roman"/>
        </w:rPr>
        <w:t xml:space="preserve"> </w:t>
      </w:r>
      <w:r w:rsidRPr="008F4FC5">
        <w:rPr>
          <w:rFonts w:cs="Times New Roman"/>
          <w:b/>
          <w:bCs/>
        </w:rPr>
        <w:t>91</w:t>
      </w:r>
      <w:r w:rsidRPr="008F4FC5">
        <w:rPr>
          <w:rFonts w:cs="Times New Roman"/>
        </w:rPr>
        <w:t>, 299–310 (2014).</w:t>
      </w:r>
    </w:p>
    <w:p w14:paraId="286E87D5" w14:textId="77777777" w:rsidR="008F4FC5" w:rsidRPr="008F4FC5" w:rsidRDefault="008F4FC5" w:rsidP="008F4FC5">
      <w:pPr>
        <w:pStyle w:val="Bibliography"/>
        <w:rPr>
          <w:rFonts w:cs="Times New Roman"/>
        </w:rPr>
      </w:pPr>
      <w:r w:rsidRPr="008F4FC5">
        <w:rPr>
          <w:rFonts w:cs="Times New Roman"/>
        </w:rPr>
        <w:t>19.</w:t>
      </w:r>
      <w:r w:rsidRPr="008F4FC5">
        <w:rPr>
          <w:rFonts w:cs="Times New Roman"/>
        </w:rPr>
        <w:tab/>
        <w:t xml:space="preserve">Leal-Orta, E., Ramirez-Ricardo, J., Garcia-Hernandez, A., Cortes-Reynosa, P. &amp; Salazar, E. P. Extracellular vesicles from MDA-MB-231 breast cancer cells stimulated with insulin-like growth factor 1 mediate an epithelial–mesenchymal transition process in MCF10A </w:t>
      </w:r>
      <w:r w:rsidRPr="008F4FC5">
        <w:rPr>
          <w:rFonts w:cs="Times New Roman"/>
        </w:rPr>
        <w:lastRenderedPageBreak/>
        <w:t xml:space="preserve">mammary epithelial cells. </w:t>
      </w:r>
      <w:r w:rsidRPr="008F4FC5">
        <w:rPr>
          <w:rFonts w:cs="Times New Roman"/>
          <w:i/>
          <w:iCs/>
        </w:rPr>
        <w:t>J. Cell Commun. Signal.</w:t>
      </w:r>
      <w:r w:rsidRPr="008F4FC5">
        <w:rPr>
          <w:rFonts w:cs="Times New Roman"/>
        </w:rPr>
        <w:t xml:space="preserve"> (2021) doi:10.1007/s12079-021-00638-y.</w:t>
      </w:r>
    </w:p>
    <w:p w14:paraId="335DCF18" w14:textId="77777777" w:rsidR="008F4FC5" w:rsidRPr="008F4FC5" w:rsidRDefault="008F4FC5" w:rsidP="008F4FC5">
      <w:pPr>
        <w:pStyle w:val="Bibliography"/>
        <w:rPr>
          <w:rFonts w:cs="Times New Roman"/>
        </w:rPr>
      </w:pPr>
      <w:r w:rsidRPr="008F4FC5">
        <w:rPr>
          <w:rFonts w:cs="Times New Roman"/>
        </w:rPr>
        <w:t>20.</w:t>
      </w:r>
      <w:r w:rsidRPr="008F4FC5">
        <w:rPr>
          <w:rFonts w:cs="Times New Roman"/>
        </w:rPr>
        <w:tab/>
        <w:t xml:space="preserve">Bertolini, I., Perego, M., Ghosh, J. C., Kossenkov, A. V. &amp; Altieri, D. C. NFκB activation by hypoxic small extracellular vesicles drives oncogenic reprogramming in a breast cancer microenvironment. </w:t>
      </w:r>
      <w:r w:rsidRPr="008F4FC5">
        <w:rPr>
          <w:rFonts w:cs="Times New Roman"/>
          <w:i/>
          <w:iCs/>
        </w:rPr>
        <w:t>Oncogene</w:t>
      </w:r>
      <w:r w:rsidRPr="008F4FC5">
        <w:rPr>
          <w:rFonts w:cs="Times New Roman"/>
        </w:rPr>
        <w:t xml:space="preserve"> </w:t>
      </w:r>
      <w:r w:rsidRPr="008F4FC5">
        <w:rPr>
          <w:rFonts w:cs="Times New Roman"/>
          <w:b/>
          <w:bCs/>
        </w:rPr>
        <w:t>41</w:t>
      </w:r>
      <w:r w:rsidRPr="008F4FC5">
        <w:rPr>
          <w:rFonts w:cs="Times New Roman"/>
        </w:rPr>
        <w:t>, 2520–2525 (2022).</w:t>
      </w:r>
    </w:p>
    <w:p w14:paraId="30DEA7F5" w14:textId="77777777" w:rsidR="008F4FC5" w:rsidRPr="008F4FC5" w:rsidRDefault="008F4FC5" w:rsidP="008F4FC5">
      <w:pPr>
        <w:pStyle w:val="Bibliography"/>
        <w:rPr>
          <w:rFonts w:cs="Times New Roman"/>
        </w:rPr>
      </w:pPr>
      <w:r w:rsidRPr="008F4FC5">
        <w:rPr>
          <w:rFonts w:cs="Times New Roman"/>
        </w:rPr>
        <w:t>21.</w:t>
      </w:r>
      <w:r w:rsidRPr="008F4FC5">
        <w:rPr>
          <w:rFonts w:cs="Times New Roman"/>
        </w:rPr>
        <w:tab/>
        <w:t xml:space="preserve">Lai, X. </w:t>
      </w:r>
      <w:r w:rsidRPr="008F4FC5">
        <w:rPr>
          <w:rFonts w:cs="Times New Roman"/>
          <w:i/>
          <w:iCs/>
        </w:rPr>
        <w:t>et al.</w:t>
      </w:r>
      <w:r w:rsidRPr="008F4FC5">
        <w:rPr>
          <w:rFonts w:cs="Times New Roman"/>
        </w:rPr>
        <w:t xml:space="preserve"> Epithelial-Mesenchymal Transition and Metabolic Switching in Cancer: Lessons From Somatic Cell Reprogramming. </w:t>
      </w:r>
      <w:r w:rsidRPr="008F4FC5">
        <w:rPr>
          <w:rFonts w:cs="Times New Roman"/>
          <w:i/>
          <w:iCs/>
        </w:rPr>
        <w:t>Front. Cell Dev. Biol.</w:t>
      </w:r>
      <w:r w:rsidRPr="008F4FC5">
        <w:rPr>
          <w:rFonts w:cs="Times New Roman"/>
        </w:rPr>
        <w:t xml:space="preserve"> </w:t>
      </w:r>
      <w:r w:rsidRPr="008F4FC5">
        <w:rPr>
          <w:rFonts w:cs="Times New Roman"/>
          <w:b/>
          <w:bCs/>
        </w:rPr>
        <w:t>8</w:t>
      </w:r>
      <w:r w:rsidRPr="008F4FC5">
        <w:rPr>
          <w:rFonts w:cs="Times New Roman"/>
        </w:rPr>
        <w:t>, (2020).</w:t>
      </w:r>
    </w:p>
    <w:p w14:paraId="68DE2C7B" w14:textId="77777777" w:rsidR="008F4FC5" w:rsidRPr="008F4FC5" w:rsidRDefault="008F4FC5" w:rsidP="008F4FC5">
      <w:pPr>
        <w:pStyle w:val="Bibliography"/>
        <w:rPr>
          <w:rFonts w:cs="Times New Roman"/>
        </w:rPr>
      </w:pPr>
      <w:r w:rsidRPr="008F4FC5">
        <w:rPr>
          <w:rFonts w:cs="Times New Roman"/>
        </w:rPr>
        <w:t>22.</w:t>
      </w:r>
      <w:r w:rsidRPr="008F4FC5">
        <w:rPr>
          <w:rFonts w:cs="Times New Roman"/>
        </w:rPr>
        <w:tab/>
        <w:t xml:space="preserve">Zhang, Y. &amp; Weinberg, R. A. Epithelial-to-mesenchymal transition in cancer: complexity and opportunities. </w:t>
      </w:r>
      <w:r w:rsidRPr="008F4FC5">
        <w:rPr>
          <w:rFonts w:cs="Times New Roman"/>
          <w:i/>
          <w:iCs/>
        </w:rPr>
        <w:t>Front. Med.</w:t>
      </w:r>
      <w:r w:rsidRPr="008F4FC5">
        <w:rPr>
          <w:rFonts w:cs="Times New Roman"/>
        </w:rPr>
        <w:t xml:space="preserve"> </w:t>
      </w:r>
      <w:r w:rsidRPr="008F4FC5">
        <w:rPr>
          <w:rFonts w:cs="Times New Roman"/>
          <w:b/>
          <w:bCs/>
        </w:rPr>
        <w:t>12</w:t>
      </w:r>
      <w:r w:rsidRPr="008F4FC5">
        <w:rPr>
          <w:rFonts w:cs="Times New Roman"/>
        </w:rPr>
        <w:t>, 361–373 (2018).</w:t>
      </w:r>
    </w:p>
    <w:p w14:paraId="2E5D59A7" w14:textId="77777777" w:rsidR="008F4FC5" w:rsidRPr="008F4FC5" w:rsidRDefault="008F4FC5" w:rsidP="008F4FC5">
      <w:pPr>
        <w:pStyle w:val="Bibliography"/>
        <w:rPr>
          <w:rFonts w:cs="Times New Roman"/>
        </w:rPr>
      </w:pPr>
      <w:r w:rsidRPr="008F4FC5">
        <w:rPr>
          <w:rFonts w:cs="Times New Roman"/>
        </w:rPr>
        <w:t>23.</w:t>
      </w:r>
      <w:r w:rsidRPr="008F4FC5">
        <w:rPr>
          <w:rFonts w:cs="Times New Roman"/>
        </w:rPr>
        <w:tab/>
        <w:t xml:space="preserve">Jolly, M. K., Ware, K. E., Gilja, S., Somarelli, J. A. &amp; Levine, H. EMT and MET: necessary or permissive for metastasis? </w:t>
      </w:r>
      <w:r w:rsidRPr="008F4FC5">
        <w:rPr>
          <w:rFonts w:cs="Times New Roman"/>
          <w:i/>
          <w:iCs/>
        </w:rPr>
        <w:t>Mol. Oncol.</w:t>
      </w:r>
      <w:r w:rsidRPr="008F4FC5">
        <w:rPr>
          <w:rFonts w:cs="Times New Roman"/>
        </w:rPr>
        <w:t xml:space="preserve"> </w:t>
      </w:r>
      <w:r w:rsidRPr="008F4FC5">
        <w:rPr>
          <w:rFonts w:cs="Times New Roman"/>
          <w:b/>
          <w:bCs/>
        </w:rPr>
        <w:t>11</w:t>
      </w:r>
      <w:r w:rsidRPr="008F4FC5">
        <w:rPr>
          <w:rFonts w:cs="Times New Roman"/>
        </w:rPr>
        <w:t>, 755–769 (2017).</w:t>
      </w:r>
    </w:p>
    <w:p w14:paraId="4E4535E2" w14:textId="77777777" w:rsidR="008F4FC5" w:rsidRPr="008F4FC5" w:rsidRDefault="008F4FC5" w:rsidP="008F4FC5">
      <w:pPr>
        <w:pStyle w:val="Bibliography"/>
        <w:rPr>
          <w:rFonts w:cs="Times New Roman"/>
        </w:rPr>
      </w:pPr>
      <w:r w:rsidRPr="008F4FC5">
        <w:rPr>
          <w:rFonts w:cs="Times New Roman"/>
        </w:rPr>
        <w:t>24.</w:t>
      </w:r>
      <w:r w:rsidRPr="008F4FC5">
        <w:rPr>
          <w:rFonts w:cs="Times New Roman"/>
        </w:rPr>
        <w:tab/>
        <w:t xml:space="preserve">Hiew, M. S. Y. </w:t>
      </w:r>
      <w:r w:rsidRPr="008F4FC5">
        <w:rPr>
          <w:rFonts w:cs="Times New Roman"/>
          <w:i/>
          <w:iCs/>
        </w:rPr>
        <w:t>et al.</w:t>
      </w:r>
      <w:r w:rsidRPr="008F4FC5">
        <w:rPr>
          <w:rFonts w:cs="Times New Roman"/>
        </w:rPr>
        <w:t xml:space="preserve"> Incomplete cellular reprogramming of colorectal cancer cells elicits an epithelial/mesenchymal hybrid phenotype. </w:t>
      </w:r>
      <w:r w:rsidRPr="008F4FC5">
        <w:rPr>
          <w:rFonts w:cs="Times New Roman"/>
          <w:i/>
          <w:iCs/>
        </w:rPr>
        <w:t>J. Biomed. Sci.</w:t>
      </w:r>
      <w:r w:rsidRPr="008F4FC5">
        <w:rPr>
          <w:rFonts w:cs="Times New Roman"/>
        </w:rPr>
        <w:t xml:space="preserve"> </w:t>
      </w:r>
      <w:r w:rsidRPr="008F4FC5">
        <w:rPr>
          <w:rFonts w:cs="Times New Roman"/>
          <w:b/>
          <w:bCs/>
        </w:rPr>
        <w:t>25</w:t>
      </w:r>
      <w:r w:rsidRPr="008F4FC5">
        <w:rPr>
          <w:rFonts w:cs="Times New Roman"/>
        </w:rPr>
        <w:t>, 57 (2018).</w:t>
      </w:r>
    </w:p>
    <w:p w14:paraId="5030ED40" w14:textId="77777777" w:rsidR="008F4FC5" w:rsidRPr="008F4FC5" w:rsidRDefault="008F4FC5" w:rsidP="008F4FC5">
      <w:pPr>
        <w:pStyle w:val="Bibliography"/>
        <w:rPr>
          <w:rFonts w:cs="Times New Roman"/>
        </w:rPr>
      </w:pPr>
      <w:r w:rsidRPr="008F4FC5">
        <w:rPr>
          <w:rFonts w:cs="Times New Roman"/>
        </w:rPr>
        <w:t>25.</w:t>
      </w:r>
      <w:r w:rsidRPr="008F4FC5">
        <w:rPr>
          <w:rFonts w:cs="Times New Roman"/>
        </w:rPr>
        <w:tab/>
        <w:t xml:space="preserve">Bronsert, P. </w:t>
      </w:r>
      <w:r w:rsidRPr="008F4FC5">
        <w:rPr>
          <w:rFonts w:cs="Times New Roman"/>
          <w:i/>
          <w:iCs/>
        </w:rPr>
        <w:t>et al.</w:t>
      </w:r>
      <w:r w:rsidRPr="008F4FC5">
        <w:rPr>
          <w:rFonts w:cs="Times New Roman"/>
        </w:rPr>
        <w:t xml:space="preserve"> Cancer cell invasion and EMT marker expression: a three-dimensional study of the human cancer–host interface. </w:t>
      </w:r>
      <w:r w:rsidRPr="008F4FC5">
        <w:rPr>
          <w:rFonts w:cs="Times New Roman"/>
          <w:i/>
          <w:iCs/>
        </w:rPr>
        <w:t>J. Pathol.</w:t>
      </w:r>
      <w:r w:rsidRPr="008F4FC5">
        <w:rPr>
          <w:rFonts w:cs="Times New Roman"/>
        </w:rPr>
        <w:t xml:space="preserve"> </w:t>
      </w:r>
      <w:r w:rsidRPr="008F4FC5">
        <w:rPr>
          <w:rFonts w:cs="Times New Roman"/>
          <w:b/>
          <w:bCs/>
        </w:rPr>
        <w:t>234</w:t>
      </w:r>
      <w:r w:rsidRPr="008F4FC5">
        <w:rPr>
          <w:rFonts w:cs="Times New Roman"/>
        </w:rPr>
        <w:t>, 410–422 (2014).</w:t>
      </w:r>
    </w:p>
    <w:p w14:paraId="000A9B67" w14:textId="77777777" w:rsidR="008F4FC5" w:rsidRPr="008F4FC5" w:rsidRDefault="008F4FC5" w:rsidP="008F4FC5">
      <w:pPr>
        <w:pStyle w:val="Bibliography"/>
        <w:rPr>
          <w:rFonts w:cs="Times New Roman"/>
        </w:rPr>
      </w:pPr>
      <w:r w:rsidRPr="008F4FC5">
        <w:rPr>
          <w:rFonts w:cs="Times New Roman"/>
        </w:rPr>
        <w:t>26.</w:t>
      </w:r>
      <w:r w:rsidRPr="008F4FC5">
        <w:rPr>
          <w:rFonts w:cs="Times New Roman"/>
        </w:rPr>
        <w:tab/>
        <w:t xml:space="preserve">Sampson, V. B. </w:t>
      </w:r>
      <w:r w:rsidRPr="008F4FC5">
        <w:rPr>
          <w:rFonts w:cs="Times New Roman"/>
          <w:i/>
          <w:iCs/>
        </w:rPr>
        <w:t>et al.</w:t>
      </w:r>
      <w:r w:rsidRPr="008F4FC5">
        <w:rPr>
          <w:rFonts w:cs="Times New Roman"/>
        </w:rPr>
        <w:t xml:space="preserve"> Wilms’ Tumor Protein Induces an Epithelial-Mesenchymal Hybrid Differentiation State in Clear Cell Renal Cell Carcinoma. </w:t>
      </w:r>
      <w:r w:rsidRPr="008F4FC5">
        <w:rPr>
          <w:rFonts w:cs="Times New Roman"/>
          <w:i/>
          <w:iCs/>
        </w:rPr>
        <w:t>PLOS ONE</w:t>
      </w:r>
      <w:r w:rsidRPr="008F4FC5">
        <w:rPr>
          <w:rFonts w:cs="Times New Roman"/>
        </w:rPr>
        <w:t xml:space="preserve"> </w:t>
      </w:r>
      <w:r w:rsidRPr="008F4FC5">
        <w:rPr>
          <w:rFonts w:cs="Times New Roman"/>
          <w:b/>
          <w:bCs/>
        </w:rPr>
        <w:t>9</w:t>
      </w:r>
      <w:r w:rsidRPr="008F4FC5">
        <w:rPr>
          <w:rFonts w:cs="Times New Roman"/>
        </w:rPr>
        <w:t>, e102041 (2014).</w:t>
      </w:r>
    </w:p>
    <w:p w14:paraId="31F86827" w14:textId="77777777" w:rsidR="008F4FC5" w:rsidRPr="008F4FC5" w:rsidRDefault="008F4FC5" w:rsidP="008F4FC5">
      <w:pPr>
        <w:pStyle w:val="Bibliography"/>
        <w:rPr>
          <w:rFonts w:cs="Times New Roman"/>
        </w:rPr>
      </w:pPr>
      <w:r w:rsidRPr="004B59FA">
        <w:rPr>
          <w:rFonts w:cs="Times New Roman"/>
        </w:rPr>
        <w:t>27.</w:t>
      </w:r>
      <w:r w:rsidRPr="004B59FA">
        <w:rPr>
          <w:rFonts w:cs="Times New Roman"/>
        </w:rPr>
        <w:tab/>
        <w:t xml:space="preserve">Schliekelman, M. J. </w:t>
      </w:r>
      <w:r w:rsidRPr="004B59FA">
        <w:rPr>
          <w:rFonts w:cs="Times New Roman"/>
          <w:i/>
          <w:iCs/>
        </w:rPr>
        <w:t>et al.</w:t>
      </w:r>
      <w:r w:rsidRPr="004B59FA">
        <w:rPr>
          <w:rFonts w:cs="Times New Roman"/>
        </w:rPr>
        <w:t xml:space="preserve"> </w:t>
      </w:r>
      <w:r w:rsidRPr="008F4FC5">
        <w:rPr>
          <w:rFonts w:cs="Times New Roman"/>
        </w:rPr>
        <w:t xml:space="preserve">Molecular Portraits of Epithelial, Mesenchymal, and Hybrid States in Lung Adenocarcinoma and Their Relevance to Survival. </w:t>
      </w:r>
      <w:r w:rsidRPr="008F4FC5">
        <w:rPr>
          <w:rFonts w:cs="Times New Roman"/>
          <w:i/>
          <w:iCs/>
        </w:rPr>
        <w:t>Cancer Res.</w:t>
      </w:r>
      <w:r w:rsidRPr="008F4FC5">
        <w:rPr>
          <w:rFonts w:cs="Times New Roman"/>
        </w:rPr>
        <w:t xml:space="preserve"> </w:t>
      </w:r>
      <w:r w:rsidRPr="008F4FC5">
        <w:rPr>
          <w:rFonts w:cs="Times New Roman"/>
          <w:b/>
          <w:bCs/>
        </w:rPr>
        <w:t>75</w:t>
      </w:r>
      <w:r w:rsidRPr="008F4FC5">
        <w:rPr>
          <w:rFonts w:cs="Times New Roman"/>
        </w:rPr>
        <w:t>, 1789–1800 (2015).</w:t>
      </w:r>
    </w:p>
    <w:p w14:paraId="21C080AE" w14:textId="77777777" w:rsidR="008F4FC5" w:rsidRPr="008F4FC5" w:rsidRDefault="008F4FC5" w:rsidP="008F4FC5">
      <w:pPr>
        <w:pStyle w:val="Bibliography"/>
        <w:rPr>
          <w:rFonts w:cs="Times New Roman"/>
        </w:rPr>
      </w:pPr>
      <w:r w:rsidRPr="008F4FC5">
        <w:rPr>
          <w:rFonts w:cs="Times New Roman"/>
        </w:rPr>
        <w:t>28.</w:t>
      </w:r>
      <w:r w:rsidRPr="008F4FC5">
        <w:rPr>
          <w:rFonts w:cs="Times New Roman"/>
        </w:rPr>
        <w:tab/>
        <w:t xml:space="preserve">Wrenn, E. D. </w:t>
      </w:r>
      <w:r w:rsidRPr="008F4FC5">
        <w:rPr>
          <w:rFonts w:cs="Times New Roman"/>
          <w:i/>
          <w:iCs/>
        </w:rPr>
        <w:t>et al.</w:t>
      </w:r>
      <w:r w:rsidRPr="008F4FC5">
        <w:rPr>
          <w:rFonts w:cs="Times New Roman"/>
        </w:rPr>
        <w:t xml:space="preserve"> Regulation of Collective Metastasis by Nanolumenal Signaling. </w:t>
      </w:r>
      <w:r w:rsidRPr="008F4FC5">
        <w:rPr>
          <w:rFonts w:cs="Times New Roman"/>
          <w:i/>
          <w:iCs/>
        </w:rPr>
        <w:t>Cell</w:t>
      </w:r>
      <w:r w:rsidRPr="008F4FC5">
        <w:rPr>
          <w:rFonts w:cs="Times New Roman"/>
        </w:rPr>
        <w:t xml:space="preserve"> </w:t>
      </w:r>
      <w:r w:rsidRPr="008F4FC5">
        <w:rPr>
          <w:rFonts w:cs="Times New Roman"/>
          <w:b/>
          <w:bCs/>
        </w:rPr>
        <w:t>183</w:t>
      </w:r>
      <w:r w:rsidRPr="008F4FC5">
        <w:rPr>
          <w:rFonts w:cs="Times New Roman"/>
        </w:rPr>
        <w:t>, 395-410.e19 (2020).</w:t>
      </w:r>
    </w:p>
    <w:p w14:paraId="71155286" w14:textId="77777777" w:rsidR="008F4FC5" w:rsidRPr="008F4FC5" w:rsidRDefault="008F4FC5" w:rsidP="008F4FC5">
      <w:pPr>
        <w:pStyle w:val="Bibliography"/>
        <w:rPr>
          <w:rFonts w:cs="Times New Roman"/>
        </w:rPr>
      </w:pPr>
      <w:r w:rsidRPr="008F4FC5">
        <w:rPr>
          <w:rFonts w:cs="Times New Roman"/>
        </w:rPr>
        <w:t>29.</w:t>
      </w:r>
      <w:r w:rsidRPr="008F4FC5">
        <w:rPr>
          <w:rFonts w:cs="Times New Roman"/>
        </w:rPr>
        <w:tab/>
        <w:t xml:space="preserve">Yang, J. </w:t>
      </w:r>
      <w:r w:rsidRPr="008F4FC5">
        <w:rPr>
          <w:rFonts w:cs="Times New Roman"/>
          <w:i/>
          <w:iCs/>
        </w:rPr>
        <w:t>et al.</w:t>
      </w:r>
      <w:r w:rsidRPr="008F4FC5">
        <w:rPr>
          <w:rFonts w:cs="Times New Roman"/>
        </w:rPr>
        <w:t xml:space="preserve"> Guidelines and definitions for research on epithelial–mesenchymal transition. </w:t>
      </w:r>
      <w:r w:rsidRPr="008F4FC5">
        <w:rPr>
          <w:rFonts w:cs="Times New Roman"/>
          <w:i/>
          <w:iCs/>
        </w:rPr>
        <w:t>Nat. Rev. Mol. Cell Biol.</w:t>
      </w:r>
      <w:r w:rsidRPr="008F4FC5">
        <w:rPr>
          <w:rFonts w:cs="Times New Roman"/>
        </w:rPr>
        <w:t xml:space="preserve"> </w:t>
      </w:r>
      <w:r w:rsidRPr="008F4FC5">
        <w:rPr>
          <w:rFonts w:cs="Times New Roman"/>
          <w:b/>
          <w:bCs/>
        </w:rPr>
        <w:t>21</w:t>
      </w:r>
      <w:r w:rsidRPr="008F4FC5">
        <w:rPr>
          <w:rFonts w:cs="Times New Roman"/>
        </w:rPr>
        <w:t>, 341–352 (2020).</w:t>
      </w:r>
    </w:p>
    <w:p w14:paraId="5A0BCB2D" w14:textId="77777777" w:rsidR="008F4FC5" w:rsidRPr="008F4FC5" w:rsidRDefault="008F4FC5" w:rsidP="008F4FC5">
      <w:pPr>
        <w:pStyle w:val="Bibliography"/>
        <w:rPr>
          <w:rFonts w:cs="Times New Roman"/>
        </w:rPr>
      </w:pPr>
      <w:r w:rsidRPr="004B59FA">
        <w:rPr>
          <w:rFonts w:cs="Times New Roman"/>
        </w:rPr>
        <w:lastRenderedPageBreak/>
        <w:t>30.</w:t>
      </w:r>
      <w:r w:rsidRPr="004B59FA">
        <w:rPr>
          <w:rFonts w:cs="Times New Roman"/>
        </w:rPr>
        <w:tab/>
        <w:t xml:space="preserve">Barrios-Rodiles, M. </w:t>
      </w:r>
      <w:r w:rsidRPr="004B59FA">
        <w:rPr>
          <w:rFonts w:cs="Times New Roman"/>
          <w:i/>
          <w:iCs/>
        </w:rPr>
        <w:t>et al.</w:t>
      </w:r>
      <w:r w:rsidRPr="004B59FA">
        <w:rPr>
          <w:rFonts w:cs="Times New Roman"/>
        </w:rPr>
        <w:t xml:space="preserve"> </w:t>
      </w:r>
      <w:r w:rsidRPr="008F4FC5">
        <w:rPr>
          <w:rFonts w:cs="Times New Roman"/>
        </w:rPr>
        <w:t xml:space="preserve">High-Throughput Mapping of a Dynamic Signaling Network in Mammalian Cells. </w:t>
      </w:r>
      <w:r w:rsidRPr="008F4FC5">
        <w:rPr>
          <w:rFonts w:cs="Times New Roman"/>
          <w:i/>
          <w:iCs/>
        </w:rPr>
        <w:t>Science</w:t>
      </w:r>
      <w:r w:rsidRPr="008F4FC5">
        <w:rPr>
          <w:rFonts w:cs="Times New Roman"/>
        </w:rPr>
        <w:t xml:space="preserve"> </w:t>
      </w:r>
      <w:r w:rsidRPr="008F4FC5">
        <w:rPr>
          <w:rFonts w:cs="Times New Roman"/>
          <w:b/>
          <w:bCs/>
        </w:rPr>
        <w:t>307</w:t>
      </w:r>
      <w:r w:rsidRPr="008F4FC5">
        <w:rPr>
          <w:rFonts w:cs="Times New Roman"/>
        </w:rPr>
        <w:t>, 1621–1625 (2005).</w:t>
      </w:r>
    </w:p>
    <w:p w14:paraId="117E57CA" w14:textId="77777777" w:rsidR="008F4FC5" w:rsidRPr="008F4FC5" w:rsidRDefault="008F4FC5" w:rsidP="008F4FC5">
      <w:pPr>
        <w:pStyle w:val="Bibliography"/>
        <w:rPr>
          <w:rFonts w:cs="Times New Roman"/>
        </w:rPr>
      </w:pPr>
      <w:r w:rsidRPr="008F4FC5">
        <w:rPr>
          <w:rFonts w:cs="Times New Roman"/>
        </w:rPr>
        <w:t>31.</w:t>
      </w:r>
      <w:r w:rsidRPr="008F4FC5">
        <w:rPr>
          <w:rFonts w:cs="Times New Roman"/>
        </w:rPr>
        <w:tab/>
        <w:t xml:space="preserve">Haynes, J., Srivastava, J., Madson, N., Wittmann, T. &amp; Barber, D. L. Dynamic actin remodeling during epithelial–mesenchymal transition depends on increased moesin expression. </w:t>
      </w:r>
      <w:r w:rsidRPr="008F4FC5">
        <w:rPr>
          <w:rFonts w:cs="Times New Roman"/>
          <w:i/>
          <w:iCs/>
        </w:rPr>
        <w:t>Mol. Biol. Cell</w:t>
      </w:r>
      <w:r w:rsidRPr="008F4FC5">
        <w:rPr>
          <w:rFonts w:cs="Times New Roman"/>
        </w:rPr>
        <w:t xml:space="preserve"> </w:t>
      </w:r>
      <w:r w:rsidRPr="008F4FC5">
        <w:rPr>
          <w:rFonts w:cs="Times New Roman"/>
          <w:b/>
          <w:bCs/>
        </w:rPr>
        <w:t>22</w:t>
      </w:r>
      <w:r w:rsidRPr="008F4FC5">
        <w:rPr>
          <w:rFonts w:cs="Times New Roman"/>
        </w:rPr>
        <w:t>, 4750–4764 (2011).</w:t>
      </w:r>
    </w:p>
    <w:p w14:paraId="36FA9D13" w14:textId="77777777" w:rsidR="008F4FC5" w:rsidRPr="008F4FC5" w:rsidRDefault="008F4FC5" w:rsidP="008F4FC5">
      <w:pPr>
        <w:pStyle w:val="Bibliography"/>
        <w:rPr>
          <w:rFonts w:cs="Times New Roman"/>
        </w:rPr>
      </w:pPr>
      <w:r w:rsidRPr="008F4FC5">
        <w:rPr>
          <w:rFonts w:cs="Times New Roman"/>
        </w:rPr>
        <w:t>32.</w:t>
      </w:r>
      <w:r w:rsidRPr="008F4FC5">
        <w:rPr>
          <w:rFonts w:cs="Times New Roman"/>
        </w:rPr>
        <w:tab/>
        <w:t xml:space="preserve">Liu, C.-Y., Lin, H.-H., Tang, M.-J. &amp; Wang, Y.-K. Vimentin contributes to epithelial-mesenchymal transition cancer cell mechanics by mediating cytoskeletal organization and focal adhesion maturation. </w:t>
      </w:r>
      <w:r w:rsidRPr="008F4FC5">
        <w:rPr>
          <w:rFonts w:cs="Times New Roman"/>
          <w:i/>
          <w:iCs/>
        </w:rPr>
        <w:t>Oncotarget</w:t>
      </w:r>
      <w:r w:rsidRPr="008F4FC5">
        <w:rPr>
          <w:rFonts w:cs="Times New Roman"/>
        </w:rPr>
        <w:t xml:space="preserve"> </w:t>
      </w:r>
      <w:r w:rsidRPr="008F4FC5">
        <w:rPr>
          <w:rFonts w:cs="Times New Roman"/>
          <w:b/>
          <w:bCs/>
        </w:rPr>
        <w:t>6</w:t>
      </w:r>
      <w:r w:rsidRPr="008F4FC5">
        <w:rPr>
          <w:rFonts w:cs="Times New Roman"/>
        </w:rPr>
        <w:t>, 15966–15983 (2015).</w:t>
      </w:r>
    </w:p>
    <w:p w14:paraId="4768C0B0" w14:textId="77777777" w:rsidR="008F4FC5" w:rsidRPr="008F4FC5" w:rsidRDefault="008F4FC5" w:rsidP="008F4FC5">
      <w:pPr>
        <w:pStyle w:val="Bibliography"/>
        <w:rPr>
          <w:rFonts w:cs="Times New Roman"/>
        </w:rPr>
      </w:pPr>
      <w:r w:rsidRPr="008F4FC5">
        <w:rPr>
          <w:rFonts w:cs="Times New Roman"/>
        </w:rPr>
        <w:t>33.</w:t>
      </w:r>
      <w:r w:rsidRPr="008F4FC5">
        <w:rPr>
          <w:rFonts w:cs="Times New Roman"/>
        </w:rPr>
        <w:tab/>
        <w:t xml:space="preserve">Verma, R. Fibronectin. in </w:t>
      </w:r>
      <w:r w:rsidRPr="008F4FC5">
        <w:rPr>
          <w:rFonts w:cs="Times New Roman"/>
          <w:i/>
          <w:iCs/>
        </w:rPr>
        <w:t>Encyclopedia of Cancer</w:t>
      </w:r>
      <w:r w:rsidRPr="008F4FC5">
        <w:rPr>
          <w:rFonts w:cs="Times New Roman"/>
        </w:rPr>
        <w:t xml:space="preserve"> (ed. Schwab, M.) 1399–1402 (Springer, 2011). doi:10.1007/978-3-642-16483-5_2182.</w:t>
      </w:r>
    </w:p>
    <w:p w14:paraId="1BB5B293" w14:textId="709487D6" w:rsidR="0070527C" w:rsidRPr="005D2E91" w:rsidRDefault="0070527C" w:rsidP="00816402">
      <w:r>
        <w:fldChar w:fldCharType="end"/>
      </w:r>
    </w:p>
    <w:p w14:paraId="2F64C3A4" w14:textId="2AE7981A" w:rsidR="00C33E6A" w:rsidRDefault="00A47E01" w:rsidP="00816402">
      <w:r>
        <w:tab/>
      </w:r>
    </w:p>
    <w:p w14:paraId="11C2F185" w14:textId="437EE46A" w:rsidR="00C33E6A" w:rsidRDefault="00C33E6A" w:rsidP="00816402"/>
    <w:sectPr w:rsidR="00C33E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82FA1"/>
    <w:multiLevelType w:val="hybridMultilevel"/>
    <w:tmpl w:val="64D6CFD0"/>
    <w:lvl w:ilvl="0" w:tplc="86CE058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8D3"/>
    <w:rsid w:val="00022514"/>
    <w:rsid w:val="00031533"/>
    <w:rsid w:val="00034BCD"/>
    <w:rsid w:val="000360D6"/>
    <w:rsid w:val="000471F8"/>
    <w:rsid w:val="00053B2A"/>
    <w:rsid w:val="00057A53"/>
    <w:rsid w:val="00057AA1"/>
    <w:rsid w:val="000714E4"/>
    <w:rsid w:val="000C7417"/>
    <w:rsid w:val="000D1C00"/>
    <w:rsid w:val="000E2A76"/>
    <w:rsid w:val="000F043E"/>
    <w:rsid w:val="000F1054"/>
    <w:rsid w:val="000F7F40"/>
    <w:rsid w:val="001037DD"/>
    <w:rsid w:val="0011549D"/>
    <w:rsid w:val="00125EE2"/>
    <w:rsid w:val="00147B45"/>
    <w:rsid w:val="00152CDC"/>
    <w:rsid w:val="00155C3C"/>
    <w:rsid w:val="001611FF"/>
    <w:rsid w:val="00162456"/>
    <w:rsid w:val="00167BD0"/>
    <w:rsid w:val="00175FB0"/>
    <w:rsid w:val="00182660"/>
    <w:rsid w:val="00191A58"/>
    <w:rsid w:val="001A0984"/>
    <w:rsid w:val="001A19F3"/>
    <w:rsid w:val="001B4DB9"/>
    <w:rsid w:val="001E2968"/>
    <w:rsid w:val="001F2B7D"/>
    <w:rsid w:val="002041DB"/>
    <w:rsid w:val="002047F8"/>
    <w:rsid w:val="002125AC"/>
    <w:rsid w:val="002126FF"/>
    <w:rsid w:val="00216F03"/>
    <w:rsid w:val="00217A3B"/>
    <w:rsid w:val="00231D11"/>
    <w:rsid w:val="0023346B"/>
    <w:rsid w:val="0025081B"/>
    <w:rsid w:val="002524A8"/>
    <w:rsid w:val="00270D76"/>
    <w:rsid w:val="002820CE"/>
    <w:rsid w:val="00290A3C"/>
    <w:rsid w:val="00291149"/>
    <w:rsid w:val="002940B3"/>
    <w:rsid w:val="002947E7"/>
    <w:rsid w:val="002A3A12"/>
    <w:rsid w:val="002A4BC8"/>
    <w:rsid w:val="002B0D40"/>
    <w:rsid w:val="002B2A96"/>
    <w:rsid w:val="002C13AA"/>
    <w:rsid w:val="002C3DC9"/>
    <w:rsid w:val="002C555C"/>
    <w:rsid w:val="002D2F55"/>
    <w:rsid w:val="002E561A"/>
    <w:rsid w:val="002F1177"/>
    <w:rsid w:val="002F6D79"/>
    <w:rsid w:val="0033277D"/>
    <w:rsid w:val="00332846"/>
    <w:rsid w:val="003351A7"/>
    <w:rsid w:val="0034033B"/>
    <w:rsid w:val="00341867"/>
    <w:rsid w:val="0034325D"/>
    <w:rsid w:val="00344919"/>
    <w:rsid w:val="00362BA8"/>
    <w:rsid w:val="00367528"/>
    <w:rsid w:val="00373031"/>
    <w:rsid w:val="00373EC1"/>
    <w:rsid w:val="00376B99"/>
    <w:rsid w:val="003808C5"/>
    <w:rsid w:val="00384C82"/>
    <w:rsid w:val="0039209B"/>
    <w:rsid w:val="00393632"/>
    <w:rsid w:val="00397D10"/>
    <w:rsid w:val="003A1537"/>
    <w:rsid w:val="003A51EA"/>
    <w:rsid w:val="003B265F"/>
    <w:rsid w:val="003C0095"/>
    <w:rsid w:val="003D6A6C"/>
    <w:rsid w:val="003D6C68"/>
    <w:rsid w:val="003E711C"/>
    <w:rsid w:val="003E7A0D"/>
    <w:rsid w:val="003F49FB"/>
    <w:rsid w:val="003F4BF3"/>
    <w:rsid w:val="0040547D"/>
    <w:rsid w:val="0040669B"/>
    <w:rsid w:val="00416A7E"/>
    <w:rsid w:val="00435290"/>
    <w:rsid w:val="004355BF"/>
    <w:rsid w:val="004374DB"/>
    <w:rsid w:val="00444986"/>
    <w:rsid w:val="004510FA"/>
    <w:rsid w:val="0046154A"/>
    <w:rsid w:val="00467E7E"/>
    <w:rsid w:val="004756F1"/>
    <w:rsid w:val="004A573A"/>
    <w:rsid w:val="004B4558"/>
    <w:rsid w:val="004B59FA"/>
    <w:rsid w:val="004C35F3"/>
    <w:rsid w:val="004D35B0"/>
    <w:rsid w:val="004D4D16"/>
    <w:rsid w:val="004E78D3"/>
    <w:rsid w:val="004F4044"/>
    <w:rsid w:val="004F4F01"/>
    <w:rsid w:val="00510758"/>
    <w:rsid w:val="00516D04"/>
    <w:rsid w:val="0052016D"/>
    <w:rsid w:val="00520A26"/>
    <w:rsid w:val="00521CD4"/>
    <w:rsid w:val="00521F8F"/>
    <w:rsid w:val="00523D56"/>
    <w:rsid w:val="00542B4E"/>
    <w:rsid w:val="00560F61"/>
    <w:rsid w:val="00565DF1"/>
    <w:rsid w:val="00575B61"/>
    <w:rsid w:val="00577531"/>
    <w:rsid w:val="0058041E"/>
    <w:rsid w:val="005824DE"/>
    <w:rsid w:val="00585551"/>
    <w:rsid w:val="005930BF"/>
    <w:rsid w:val="005A07EE"/>
    <w:rsid w:val="005A3961"/>
    <w:rsid w:val="005B0E6C"/>
    <w:rsid w:val="005C4004"/>
    <w:rsid w:val="005D082B"/>
    <w:rsid w:val="005D1705"/>
    <w:rsid w:val="005D2AB6"/>
    <w:rsid w:val="005D2E91"/>
    <w:rsid w:val="005D412E"/>
    <w:rsid w:val="005D46B8"/>
    <w:rsid w:val="005E22A0"/>
    <w:rsid w:val="005F48DE"/>
    <w:rsid w:val="00603188"/>
    <w:rsid w:val="00606E04"/>
    <w:rsid w:val="00611CD8"/>
    <w:rsid w:val="00616912"/>
    <w:rsid w:val="006202C8"/>
    <w:rsid w:val="00622328"/>
    <w:rsid w:val="006421F0"/>
    <w:rsid w:val="006427CA"/>
    <w:rsid w:val="00654B18"/>
    <w:rsid w:val="00655DBE"/>
    <w:rsid w:val="0066069E"/>
    <w:rsid w:val="00665F82"/>
    <w:rsid w:val="00671082"/>
    <w:rsid w:val="00680F36"/>
    <w:rsid w:val="00695A18"/>
    <w:rsid w:val="006C28CD"/>
    <w:rsid w:val="006D0C9B"/>
    <w:rsid w:val="006D472A"/>
    <w:rsid w:val="006E121A"/>
    <w:rsid w:val="006E2500"/>
    <w:rsid w:val="006F11E4"/>
    <w:rsid w:val="006F7B44"/>
    <w:rsid w:val="007037F6"/>
    <w:rsid w:val="0070527C"/>
    <w:rsid w:val="00707FB9"/>
    <w:rsid w:val="00747BEE"/>
    <w:rsid w:val="0077022A"/>
    <w:rsid w:val="0078633F"/>
    <w:rsid w:val="00795BBF"/>
    <w:rsid w:val="007A6B69"/>
    <w:rsid w:val="007A7A05"/>
    <w:rsid w:val="007B6CD2"/>
    <w:rsid w:val="007B782F"/>
    <w:rsid w:val="007C01DF"/>
    <w:rsid w:val="007C2810"/>
    <w:rsid w:val="007D0C6F"/>
    <w:rsid w:val="007D1501"/>
    <w:rsid w:val="007D2794"/>
    <w:rsid w:val="007D3151"/>
    <w:rsid w:val="007E5F03"/>
    <w:rsid w:val="007F4159"/>
    <w:rsid w:val="007F5A3E"/>
    <w:rsid w:val="00806A4B"/>
    <w:rsid w:val="0081046D"/>
    <w:rsid w:val="0081567B"/>
    <w:rsid w:val="00816402"/>
    <w:rsid w:val="008257E9"/>
    <w:rsid w:val="00834B7D"/>
    <w:rsid w:val="008439DF"/>
    <w:rsid w:val="00843CBF"/>
    <w:rsid w:val="00850E65"/>
    <w:rsid w:val="00857625"/>
    <w:rsid w:val="00865980"/>
    <w:rsid w:val="008770D9"/>
    <w:rsid w:val="008855D8"/>
    <w:rsid w:val="008A21D1"/>
    <w:rsid w:val="008A7403"/>
    <w:rsid w:val="008B3461"/>
    <w:rsid w:val="008C5EFD"/>
    <w:rsid w:val="008C67A6"/>
    <w:rsid w:val="008D6B9A"/>
    <w:rsid w:val="008E2557"/>
    <w:rsid w:val="008E38C4"/>
    <w:rsid w:val="008E4031"/>
    <w:rsid w:val="008F1A63"/>
    <w:rsid w:val="008F1B0E"/>
    <w:rsid w:val="008F24F1"/>
    <w:rsid w:val="008F4FC5"/>
    <w:rsid w:val="008F717B"/>
    <w:rsid w:val="008F7AEF"/>
    <w:rsid w:val="00902661"/>
    <w:rsid w:val="0090512E"/>
    <w:rsid w:val="00905143"/>
    <w:rsid w:val="009058BA"/>
    <w:rsid w:val="009062CA"/>
    <w:rsid w:val="00907755"/>
    <w:rsid w:val="00910A35"/>
    <w:rsid w:val="00913FCF"/>
    <w:rsid w:val="00922539"/>
    <w:rsid w:val="009302A4"/>
    <w:rsid w:val="00934DF4"/>
    <w:rsid w:val="009430F3"/>
    <w:rsid w:val="00947EE6"/>
    <w:rsid w:val="009532C3"/>
    <w:rsid w:val="00957C92"/>
    <w:rsid w:val="00961B70"/>
    <w:rsid w:val="0096293F"/>
    <w:rsid w:val="0097661A"/>
    <w:rsid w:val="00992BA5"/>
    <w:rsid w:val="00996BDD"/>
    <w:rsid w:val="009A3D1D"/>
    <w:rsid w:val="009A4E44"/>
    <w:rsid w:val="009A722E"/>
    <w:rsid w:val="009B0FFF"/>
    <w:rsid w:val="009C2401"/>
    <w:rsid w:val="009C388B"/>
    <w:rsid w:val="009C6CF4"/>
    <w:rsid w:val="009E0C49"/>
    <w:rsid w:val="009F0C4C"/>
    <w:rsid w:val="009F4371"/>
    <w:rsid w:val="009F5AF6"/>
    <w:rsid w:val="009F66A6"/>
    <w:rsid w:val="00A200B8"/>
    <w:rsid w:val="00A22F74"/>
    <w:rsid w:val="00A24CDC"/>
    <w:rsid w:val="00A46571"/>
    <w:rsid w:val="00A47E01"/>
    <w:rsid w:val="00A51F9F"/>
    <w:rsid w:val="00A6055D"/>
    <w:rsid w:val="00A62742"/>
    <w:rsid w:val="00A636A8"/>
    <w:rsid w:val="00A63C44"/>
    <w:rsid w:val="00A73400"/>
    <w:rsid w:val="00A761E5"/>
    <w:rsid w:val="00A846C9"/>
    <w:rsid w:val="00A91B71"/>
    <w:rsid w:val="00A95725"/>
    <w:rsid w:val="00AC0374"/>
    <w:rsid w:val="00AC1BC3"/>
    <w:rsid w:val="00AC49F6"/>
    <w:rsid w:val="00AC4CD8"/>
    <w:rsid w:val="00AD08A1"/>
    <w:rsid w:val="00AD0E8B"/>
    <w:rsid w:val="00AD5525"/>
    <w:rsid w:val="00AD6481"/>
    <w:rsid w:val="00AD6B55"/>
    <w:rsid w:val="00AD6E11"/>
    <w:rsid w:val="00AE5531"/>
    <w:rsid w:val="00AE5AFC"/>
    <w:rsid w:val="00AE7567"/>
    <w:rsid w:val="00AF713E"/>
    <w:rsid w:val="00B070E7"/>
    <w:rsid w:val="00B142B7"/>
    <w:rsid w:val="00B24054"/>
    <w:rsid w:val="00B27551"/>
    <w:rsid w:val="00B32540"/>
    <w:rsid w:val="00B373CB"/>
    <w:rsid w:val="00B515CA"/>
    <w:rsid w:val="00B52056"/>
    <w:rsid w:val="00B56CE4"/>
    <w:rsid w:val="00B633F6"/>
    <w:rsid w:val="00B92485"/>
    <w:rsid w:val="00B9553E"/>
    <w:rsid w:val="00BB437C"/>
    <w:rsid w:val="00BB7118"/>
    <w:rsid w:val="00BC306E"/>
    <w:rsid w:val="00BC435F"/>
    <w:rsid w:val="00BC69E6"/>
    <w:rsid w:val="00BD190D"/>
    <w:rsid w:val="00BD6F26"/>
    <w:rsid w:val="00BE0998"/>
    <w:rsid w:val="00BE420E"/>
    <w:rsid w:val="00BF08EC"/>
    <w:rsid w:val="00BF5387"/>
    <w:rsid w:val="00C00624"/>
    <w:rsid w:val="00C120C5"/>
    <w:rsid w:val="00C141A7"/>
    <w:rsid w:val="00C25F13"/>
    <w:rsid w:val="00C33E6A"/>
    <w:rsid w:val="00C34C58"/>
    <w:rsid w:val="00C36D88"/>
    <w:rsid w:val="00C37C73"/>
    <w:rsid w:val="00C404E3"/>
    <w:rsid w:val="00C40E25"/>
    <w:rsid w:val="00C47154"/>
    <w:rsid w:val="00C471BB"/>
    <w:rsid w:val="00C5258F"/>
    <w:rsid w:val="00C55199"/>
    <w:rsid w:val="00C5532F"/>
    <w:rsid w:val="00C70971"/>
    <w:rsid w:val="00C76387"/>
    <w:rsid w:val="00C811FF"/>
    <w:rsid w:val="00C84C4C"/>
    <w:rsid w:val="00C93C45"/>
    <w:rsid w:val="00CA0E8F"/>
    <w:rsid w:val="00CA190C"/>
    <w:rsid w:val="00CB2A0B"/>
    <w:rsid w:val="00CC096B"/>
    <w:rsid w:val="00CC0B38"/>
    <w:rsid w:val="00CE3099"/>
    <w:rsid w:val="00CE4EEC"/>
    <w:rsid w:val="00CF39E7"/>
    <w:rsid w:val="00CF4E70"/>
    <w:rsid w:val="00D03BDA"/>
    <w:rsid w:val="00D10E30"/>
    <w:rsid w:val="00D164CD"/>
    <w:rsid w:val="00D236D6"/>
    <w:rsid w:val="00D400CF"/>
    <w:rsid w:val="00D476B0"/>
    <w:rsid w:val="00D51AAD"/>
    <w:rsid w:val="00D60A90"/>
    <w:rsid w:val="00D76DC5"/>
    <w:rsid w:val="00DA01A6"/>
    <w:rsid w:val="00DA506F"/>
    <w:rsid w:val="00DA591C"/>
    <w:rsid w:val="00DA5E2A"/>
    <w:rsid w:val="00DA7568"/>
    <w:rsid w:val="00DB0BD0"/>
    <w:rsid w:val="00DB3AAB"/>
    <w:rsid w:val="00DC7FD6"/>
    <w:rsid w:val="00DD2EC5"/>
    <w:rsid w:val="00DD3A21"/>
    <w:rsid w:val="00DD69F0"/>
    <w:rsid w:val="00DF3FAF"/>
    <w:rsid w:val="00E010B0"/>
    <w:rsid w:val="00E05643"/>
    <w:rsid w:val="00E14829"/>
    <w:rsid w:val="00E173FC"/>
    <w:rsid w:val="00E32BF7"/>
    <w:rsid w:val="00E433BF"/>
    <w:rsid w:val="00E53B80"/>
    <w:rsid w:val="00E56713"/>
    <w:rsid w:val="00E60EEE"/>
    <w:rsid w:val="00E622F0"/>
    <w:rsid w:val="00E81A2D"/>
    <w:rsid w:val="00E8482C"/>
    <w:rsid w:val="00E924BA"/>
    <w:rsid w:val="00E964BA"/>
    <w:rsid w:val="00EA120B"/>
    <w:rsid w:val="00EB6FB5"/>
    <w:rsid w:val="00EC4AF2"/>
    <w:rsid w:val="00EE6A4D"/>
    <w:rsid w:val="00EF0431"/>
    <w:rsid w:val="00EF08A0"/>
    <w:rsid w:val="00EF174D"/>
    <w:rsid w:val="00F02451"/>
    <w:rsid w:val="00F0553B"/>
    <w:rsid w:val="00F06D6C"/>
    <w:rsid w:val="00F07B9A"/>
    <w:rsid w:val="00F1044D"/>
    <w:rsid w:val="00F12AFE"/>
    <w:rsid w:val="00F22C31"/>
    <w:rsid w:val="00F22E45"/>
    <w:rsid w:val="00F25ED9"/>
    <w:rsid w:val="00F3024F"/>
    <w:rsid w:val="00F34733"/>
    <w:rsid w:val="00F420DC"/>
    <w:rsid w:val="00F52476"/>
    <w:rsid w:val="00F64F34"/>
    <w:rsid w:val="00F7029B"/>
    <w:rsid w:val="00F74625"/>
    <w:rsid w:val="00F80358"/>
    <w:rsid w:val="00F926DD"/>
    <w:rsid w:val="00FB0E69"/>
    <w:rsid w:val="00FB1115"/>
    <w:rsid w:val="00FB1309"/>
    <w:rsid w:val="00FB4451"/>
    <w:rsid w:val="00FC7D1A"/>
    <w:rsid w:val="00FD2751"/>
    <w:rsid w:val="00FE3325"/>
    <w:rsid w:val="00FE7F81"/>
    <w:rsid w:val="00FF0E85"/>
    <w:rsid w:val="00FF0F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2F532"/>
  <w15:chartTrackingRefBased/>
  <w15:docId w15:val="{2866D86D-CCF8-4626-A74C-B0D9CD669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402"/>
    <w:pPr>
      <w:spacing w:line="360" w:lineRule="auto"/>
      <w:jc w:val="both"/>
    </w:pPr>
    <w:rPr>
      <w:rFonts w:ascii="Times New Roman" w:hAnsi="Times New Roman"/>
      <w:sz w:val="24"/>
    </w:rPr>
  </w:style>
  <w:style w:type="paragraph" w:styleId="Heading2">
    <w:name w:val="heading 2"/>
    <w:basedOn w:val="Normal"/>
    <w:next w:val="Normal"/>
    <w:link w:val="Heading2Char"/>
    <w:uiPriority w:val="9"/>
    <w:unhideWhenUsed/>
    <w:qFormat/>
    <w:rsid w:val="009F0C4C"/>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E78D3"/>
    <w:rPr>
      <w:sz w:val="16"/>
      <w:szCs w:val="16"/>
    </w:rPr>
  </w:style>
  <w:style w:type="paragraph" w:styleId="CommentText">
    <w:name w:val="annotation text"/>
    <w:basedOn w:val="Normal"/>
    <w:link w:val="CommentTextChar"/>
    <w:uiPriority w:val="99"/>
    <w:semiHidden/>
    <w:unhideWhenUsed/>
    <w:rsid w:val="004E78D3"/>
    <w:pPr>
      <w:spacing w:line="240" w:lineRule="auto"/>
    </w:pPr>
    <w:rPr>
      <w:sz w:val="20"/>
      <w:szCs w:val="20"/>
    </w:rPr>
  </w:style>
  <w:style w:type="character" w:customStyle="1" w:styleId="CommentTextChar">
    <w:name w:val="Comment Text Char"/>
    <w:basedOn w:val="DefaultParagraphFont"/>
    <w:link w:val="CommentText"/>
    <w:uiPriority w:val="99"/>
    <w:semiHidden/>
    <w:rsid w:val="004E78D3"/>
    <w:rPr>
      <w:rFonts w:ascii="Times New Roman" w:hAnsi="Times New Roman"/>
      <w:sz w:val="20"/>
      <w:szCs w:val="20"/>
    </w:rPr>
  </w:style>
  <w:style w:type="paragraph" w:styleId="Caption">
    <w:name w:val="caption"/>
    <w:basedOn w:val="Normal"/>
    <w:next w:val="Normal"/>
    <w:uiPriority w:val="35"/>
    <w:unhideWhenUsed/>
    <w:qFormat/>
    <w:rsid w:val="00167BD0"/>
    <w:pPr>
      <w:spacing w:after="200" w:line="240" w:lineRule="auto"/>
    </w:pPr>
    <w:rPr>
      <w:iCs/>
      <w:sz w:val="18"/>
      <w:szCs w:val="18"/>
    </w:rPr>
  </w:style>
  <w:style w:type="character" w:styleId="PlaceholderText">
    <w:name w:val="Placeholder Text"/>
    <w:basedOn w:val="DefaultParagraphFont"/>
    <w:uiPriority w:val="99"/>
    <w:semiHidden/>
    <w:rsid w:val="00585551"/>
    <w:rPr>
      <w:color w:val="808080"/>
    </w:rPr>
  </w:style>
  <w:style w:type="paragraph" w:styleId="TableofFigures">
    <w:name w:val="table of figures"/>
    <w:basedOn w:val="Normal"/>
    <w:next w:val="Normal"/>
    <w:uiPriority w:val="99"/>
    <w:unhideWhenUsed/>
    <w:rsid w:val="00C33E6A"/>
    <w:pPr>
      <w:spacing w:after="0"/>
    </w:pPr>
  </w:style>
  <w:style w:type="character" w:styleId="Hyperlink">
    <w:name w:val="Hyperlink"/>
    <w:basedOn w:val="DefaultParagraphFont"/>
    <w:uiPriority w:val="99"/>
    <w:unhideWhenUsed/>
    <w:rsid w:val="00C33E6A"/>
    <w:rPr>
      <w:color w:val="0563C1" w:themeColor="hyperlink"/>
      <w:u w:val="single"/>
    </w:rPr>
  </w:style>
  <w:style w:type="paragraph" w:styleId="ListParagraph">
    <w:name w:val="List Paragraph"/>
    <w:basedOn w:val="Normal"/>
    <w:uiPriority w:val="34"/>
    <w:qFormat/>
    <w:rsid w:val="00C33E6A"/>
    <w:pPr>
      <w:ind w:left="720"/>
      <w:contextualSpacing/>
    </w:pPr>
  </w:style>
  <w:style w:type="paragraph" w:styleId="CommentSubject">
    <w:name w:val="annotation subject"/>
    <w:basedOn w:val="CommentText"/>
    <w:next w:val="CommentText"/>
    <w:link w:val="CommentSubjectChar"/>
    <w:uiPriority w:val="99"/>
    <w:semiHidden/>
    <w:unhideWhenUsed/>
    <w:rsid w:val="009F5AF6"/>
    <w:rPr>
      <w:rFonts w:asciiTheme="minorHAnsi" w:hAnsiTheme="minorHAnsi"/>
      <w:b/>
      <w:bCs/>
    </w:rPr>
  </w:style>
  <w:style w:type="character" w:customStyle="1" w:styleId="CommentSubjectChar">
    <w:name w:val="Comment Subject Char"/>
    <w:basedOn w:val="CommentTextChar"/>
    <w:link w:val="CommentSubject"/>
    <w:uiPriority w:val="99"/>
    <w:semiHidden/>
    <w:rsid w:val="009F5AF6"/>
    <w:rPr>
      <w:rFonts w:ascii="Times New Roman" w:hAnsi="Times New Roman"/>
      <w:b/>
      <w:bCs/>
      <w:sz w:val="20"/>
      <w:szCs w:val="20"/>
    </w:rPr>
  </w:style>
  <w:style w:type="character" w:customStyle="1" w:styleId="Heading2Char">
    <w:name w:val="Heading 2 Char"/>
    <w:basedOn w:val="DefaultParagraphFont"/>
    <w:link w:val="Heading2"/>
    <w:uiPriority w:val="9"/>
    <w:rsid w:val="009F0C4C"/>
    <w:rPr>
      <w:rFonts w:ascii="Times New Roman" w:eastAsiaTheme="majorEastAsia" w:hAnsi="Times New Roman" w:cstheme="majorBidi"/>
      <w:b/>
      <w:sz w:val="24"/>
      <w:szCs w:val="26"/>
    </w:rPr>
  </w:style>
  <w:style w:type="paragraph" w:styleId="Bibliography">
    <w:name w:val="Bibliography"/>
    <w:basedOn w:val="Normal"/>
    <w:next w:val="Normal"/>
    <w:uiPriority w:val="37"/>
    <w:unhideWhenUsed/>
    <w:rsid w:val="0070527C"/>
    <w:pPr>
      <w:tabs>
        <w:tab w:val="left" w:pos="384"/>
      </w:tabs>
      <w:spacing w:after="0" w:line="480" w:lineRule="auto"/>
      <w:ind w:left="384" w:hanging="384"/>
    </w:pPr>
  </w:style>
  <w:style w:type="paragraph" w:styleId="Revision">
    <w:name w:val="Revision"/>
    <w:hidden/>
    <w:uiPriority w:val="99"/>
    <w:semiHidden/>
    <w:rsid w:val="00611CD8"/>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765143">
      <w:bodyDiv w:val="1"/>
      <w:marLeft w:val="0"/>
      <w:marRight w:val="0"/>
      <w:marTop w:val="0"/>
      <w:marBottom w:val="0"/>
      <w:divBdr>
        <w:top w:val="none" w:sz="0" w:space="0" w:color="auto"/>
        <w:left w:val="none" w:sz="0" w:space="0" w:color="auto"/>
        <w:bottom w:val="none" w:sz="0" w:space="0" w:color="auto"/>
        <w:right w:val="none" w:sz="0" w:space="0" w:color="auto"/>
      </w:divBdr>
    </w:div>
    <w:div w:id="106629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C6616-7C4E-421A-9550-AA7DDC533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18421</Words>
  <Characters>105003</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Traberg-Christensen</dc:creator>
  <cp:keywords/>
  <dc:description/>
  <cp:lastModifiedBy>W. Traberg-Christensen</cp:lastModifiedBy>
  <cp:revision>9</cp:revision>
  <dcterms:created xsi:type="dcterms:W3CDTF">2022-05-26T16:35:00Z</dcterms:created>
  <dcterms:modified xsi:type="dcterms:W3CDTF">2022-05-26T18:36:00Z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id="8jDtWK7T"/&gt;&lt;style id="http://www.zotero.org/styles/nature" hasBibliography="1" bibliographyStyleHasBeenSet="1"/&gt;&lt;prefs&gt;&lt;pref name="fieldType" value="Field"/&gt;&lt;pref name="automaticJournalAbbreviatio</vt:lpwstr>
  </property>
  <property fmtid="{D5CDD505-2E9C-101B-9397-08002B2CF9AE}" pid="3" name="ZOTERO_PREF_2">
    <vt:lpwstr>ns" value="true"/&gt;&lt;/prefs&gt;&lt;/data&gt;</vt:lpwstr>
  </property>
</Properties>
</file>