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BCB" w:rsidRDefault="00B705E6">
      <w:bookmarkStart w:id="0" w:name="_GoBack"/>
      <w:bookmarkEnd w:id="0"/>
      <w:r>
        <w:t xml:space="preserve">Supplement to </w:t>
      </w:r>
    </w:p>
    <w:p w:rsidR="000A6BFC" w:rsidRPr="006A27FD" w:rsidRDefault="000A6BFC" w:rsidP="000A6BFC">
      <w:pPr>
        <w:rPr>
          <w:rFonts w:ascii="Times New Roman" w:hAnsi="Times New Roman" w:cs="Times New Roman"/>
        </w:rPr>
      </w:pPr>
      <w:r>
        <w:rPr>
          <w:rFonts w:ascii="Times New Roman" w:hAnsi="Times New Roman" w:cs="Times New Roman"/>
          <w:b/>
          <w:sz w:val="32"/>
        </w:rPr>
        <w:t>Transit Closure costs from Sanctions or Sea Ice for the Northern Sea Route</w:t>
      </w:r>
    </w:p>
    <w:p w:rsidR="00B705E6" w:rsidRPr="001B7075" w:rsidRDefault="00B705E6" w:rsidP="00B705E6">
      <w:pPr>
        <w:rPr>
          <w:rFonts w:ascii="Times New Roman" w:hAnsi="Times New Roman" w:cs="Times New Roman"/>
        </w:rPr>
      </w:pPr>
    </w:p>
    <w:p w:rsidR="001B7075" w:rsidRPr="001B7075" w:rsidRDefault="001B7075" w:rsidP="001B7075">
      <w:pPr>
        <w:pStyle w:val="ListParagraph"/>
        <w:numPr>
          <w:ilvl w:val="0"/>
          <w:numId w:val="1"/>
        </w:numPr>
        <w:rPr>
          <w:rFonts w:ascii="Times New Roman" w:hAnsi="Times New Roman" w:cs="Times New Roman"/>
          <w:sz w:val="24"/>
        </w:rPr>
      </w:pPr>
      <w:r w:rsidRPr="001B7075">
        <w:rPr>
          <w:rFonts w:ascii="Times New Roman" w:hAnsi="Times New Roman" w:cs="Times New Roman"/>
          <w:sz w:val="24"/>
        </w:rPr>
        <w:t xml:space="preserve"> Distance Savings per ship</w:t>
      </w:r>
    </w:p>
    <w:p w:rsidR="006513B2" w:rsidRDefault="00DE3BC3" w:rsidP="00B705E6">
      <w:pPr>
        <w:rPr>
          <w:rFonts w:ascii="Times New Roman" w:hAnsi="Times New Roman" w:cs="Times New Roman"/>
          <w:sz w:val="24"/>
          <w:szCs w:val="24"/>
        </w:rPr>
      </w:pPr>
      <w:r>
        <w:rPr>
          <w:rFonts w:ascii="Times New Roman" w:hAnsi="Times New Roman" w:cs="Times New Roman"/>
          <w:sz w:val="24"/>
          <w:szCs w:val="24"/>
        </w:rPr>
        <w:t>The distance using the Suez Canal rou</w:t>
      </w:r>
      <w:r w:rsidR="006513B2">
        <w:rPr>
          <w:rFonts w:ascii="Times New Roman" w:hAnsi="Times New Roman" w:cs="Times New Roman"/>
          <w:sz w:val="24"/>
          <w:szCs w:val="24"/>
        </w:rPr>
        <w:t>te from Rotterdam to Yokohama</w:t>
      </w:r>
      <w:r>
        <w:rPr>
          <w:rFonts w:ascii="Times New Roman" w:hAnsi="Times New Roman" w:cs="Times New Roman"/>
          <w:sz w:val="24"/>
          <w:szCs w:val="24"/>
        </w:rPr>
        <w:t xml:space="preserve"> is </w:t>
      </w:r>
      <w:r w:rsidR="006513B2">
        <w:rPr>
          <w:rFonts w:ascii="Times New Roman" w:hAnsi="Times New Roman" w:cs="Times New Roman"/>
          <w:sz w:val="24"/>
          <w:szCs w:val="24"/>
        </w:rPr>
        <w:t xml:space="preserve">about </w:t>
      </w:r>
      <w:r>
        <w:rPr>
          <w:rFonts w:ascii="Times New Roman" w:hAnsi="Times New Roman" w:cs="Times New Roman"/>
          <w:sz w:val="24"/>
          <w:szCs w:val="24"/>
        </w:rPr>
        <w:t>11,133</w:t>
      </w:r>
      <w:r w:rsidR="006513B2">
        <w:rPr>
          <w:rFonts w:ascii="Times New Roman" w:hAnsi="Times New Roman" w:cs="Times New Roman"/>
          <w:sz w:val="24"/>
          <w:szCs w:val="24"/>
        </w:rPr>
        <w:t xml:space="preserve"> nautical miles compared with about 7010 nautical miles if the Northern Sea Route (NSR) is used instead.</w:t>
      </w:r>
      <w:r w:rsidR="006513B2" w:rsidRPr="0076147F">
        <w:rPr>
          <w:rStyle w:val="EndnoteReference"/>
          <w:rFonts w:ascii="Times New Roman" w:hAnsi="Times New Roman" w:cs="Times New Roman"/>
          <w:sz w:val="24"/>
          <w:szCs w:val="24"/>
        </w:rPr>
        <w:endnoteReference w:id="1"/>
      </w:r>
      <w:r>
        <w:rPr>
          <w:rFonts w:ascii="Times New Roman" w:hAnsi="Times New Roman" w:cs="Times New Roman"/>
          <w:sz w:val="24"/>
          <w:szCs w:val="24"/>
        </w:rPr>
        <w:t xml:space="preserve"> </w:t>
      </w:r>
      <w:r w:rsidR="006513B2" w:rsidRPr="0076147F">
        <w:rPr>
          <w:rFonts w:ascii="Times New Roman" w:hAnsi="Times New Roman" w:cs="Times New Roman"/>
          <w:color w:val="131413"/>
          <w:sz w:val="24"/>
          <w:szCs w:val="24"/>
        </w:rPr>
        <w:t xml:space="preserve">Since fuel is a major variable component of the shipping expenses, and since current fuel costs are at or near an all-time high, it is reasonable to assume that shipping costs vary with distance.  </w:t>
      </w:r>
      <w:r w:rsidR="006513B2">
        <w:rPr>
          <w:rFonts w:ascii="Times New Roman" w:hAnsi="Times New Roman" w:cs="Times New Roman"/>
          <w:sz w:val="24"/>
          <w:szCs w:val="24"/>
        </w:rPr>
        <w:t xml:space="preserve">Assuming a constant speed of 20 kts, the </w:t>
      </w:r>
      <w:r w:rsidR="00B705E6" w:rsidRPr="0076147F">
        <w:rPr>
          <w:rFonts w:ascii="Times New Roman" w:hAnsi="Times New Roman" w:cs="Times New Roman"/>
          <w:sz w:val="24"/>
          <w:szCs w:val="24"/>
        </w:rPr>
        <w:t xml:space="preserve">cost savings of using the NSR over the Suez Canal route </w:t>
      </w:r>
      <w:r>
        <w:rPr>
          <w:rFonts w:ascii="Times New Roman" w:hAnsi="Times New Roman" w:cs="Times New Roman"/>
          <w:sz w:val="24"/>
          <w:szCs w:val="24"/>
        </w:rPr>
        <w:t xml:space="preserve">is </w:t>
      </w:r>
      <w:r w:rsidR="00B705E6" w:rsidRPr="0076147F">
        <w:rPr>
          <w:rFonts w:ascii="Times New Roman" w:hAnsi="Times New Roman" w:cs="Times New Roman"/>
          <w:sz w:val="24"/>
          <w:szCs w:val="24"/>
        </w:rPr>
        <w:t>about 37% either due to distance or time.</w:t>
      </w:r>
      <w:r w:rsidR="00B705E6" w:rsidRPr="0076147F">
        <w:rPr>
          <w:rStyle w:val="EndnoteReference"/>
          <w:rFonts w:ascii="Times New Roman" w:hAnsi="Times New Roman" w:cs="Times New Roman"/>
          <w:sz w:val="24"/>
          <w:szCs w:val="24"/>
        </w:rPr>
        <w:endnoteReference w:id="2"/>
      </w:r>
      <w:r w:rsidR="00B705E6" w:rsidRPr="0076147F">
        <w:rPr>
          <w:rFonts w:ascii="Times New Roman" w:hAnsi="Times New Roman" w:cs="Times New Roman"/>
          <w:sz w:val="24"/>
          <w:szCs w:val="24"/>
        </w:rPr>
        <w:t xml:space="preserve">  </w:t>
      </w:r>
    </w:p>
    <w:p w:rsidR="001B7075" w:rsidRDefault="001B7075" w:rsidP="00B705E6">
      <w:pPr>
        <w:rPr>
          <w:rFonts w:ascii="Times New Roman" w:hAnsi="Times New Roman" w:cs="Times New Roman"/>
          <w:sz w:val="24"/>
          <w:szCs w:val="24"/>
        </w:rPr>
      </w:pPr>
    </w:p>
    <w:p w:rsidR="001B7075" w:rsidRDefault="001B7075" w:rsidP="001B7075">
      <w:pPr>
        <w:ind w:firstLine="720"/>
        <w:rPr>
          <w:rFonts w:ascii="Times New Roman" w:hAnsi="Times New Roman" w:cs="Times New Roman"/>
          <w:sz w:val="24"/>
          <w:szCs w:val="24"/>
        </w:rPr>
      </w:pPr>
      <w:r>
        <w:rPr>
          <w:rFonts w:ascii="Times New Roman" w:hAnsi="Times New Roman" w:cs="Times New Roman"/>
          <w:sz w:val="24"/>
          <w:szCs w:val="24"/>
        </w:rPr>
        <w:t>Distance Savings/Ship = Price/FEU * FEU/Ship*(1-NSR cost savings%)</w:t>
      </w:r>
      <w:r>
        <w:rPr>
          <w:rFonts w:ascii="Times New Roman" w:hAnsi="Times New Roman" w:cs="Times New Roman"/>
          <w:sz w:val="24"/>
          <w:szCs w:val="24"/>
        </w:rPr>
        <w:tab/>
      </w:r>
      <w:r>
        <w:rPr>
          <w:rFonts w:ascii="Times New Roman" w:hAnsi="Times New Roman" w:cs="Times New Roman"/>
          <w:sz w:val="24"/>
          <w:szCs w:val="24"/>
        </w:rPr>
        <w:tab/>
        <w:t>(</w:t>
      </w:r>
      <w:r w:rsidR="00CD5C0F">
        <w:rPr>
          <w:rFonts w:ascii="Times New Roman" w:hAnsi="Times New Roman" w:cs="Times New Roman"/>
          <w:sz w:val="24"/>
          <w:szCs w:val="24"/>
        </w:rPr>
        <w:t>S</w:t>
      </w:r>
      <w:r>
        <w:rPr>
          <w:rFonts w:ascii="Times New Roman" w:hAnsi="Times New Roman" w:cs="Times New Roman"/>
          <w:sz w:val="24"/>
          <w:szCs w:val="24"/>
        </w:rPr>
        <w:t>1)</w:t>
      </w:r>
    </w:p>
    <w:p w:rsidR="001B7075" w:rsidRDefault="001B7075" w:rsidP="00B705E6">
      <w:pPr>
        <w:rPr>
          <w:rFonts w:ascii="Times New Roman" w:hAnsi="Times New Roman" w:cs="Times New Roman"/>
          <w:sz w:val="24"/>
          <w:szCs w:val="24"/>
        </w:rPr>
      </w:pPr>
    </w:p>
    <w:p w:rsidR="00B705E6" w:rsidRDefault="00B705E6" w:rsidP="00B705E6">
      <w:pPr>
        <w:rPr>
          <w:rFonts w:ascii="Times New Roman" w:hAnsi="Times New Roman" w:cs="Times New Roman"/>
          <w:color w:val="131413"/>
          <w:sz w:val="24"/>
          <w:szCs w:val="24"/>
        </w:rPr>
      </w:pPr>
      <w:r w:rsidRPr="0076147F">
        <w:rPr>
          <w:rFonts w:ascii="Times New Roman" w:hAnsi="Times New Roman" w:cs="Times New Roman"/>
          <w:sz w:val="24"/>
          <w:szCs w:val="24"/>
        </w:rPr>
        <w:t>The cost of shipping has increased over 9-fold since the</w:t>
      </w:r>
      <w:r w:rsidR="00CD5C0F">
        <w:rPr>
          <w:rFonts w:ascii="Times New Roman" w:hAnsi="Times New Roman" w:cs="Times New Roman"/>
          <w:sz w:val="24"/>
          <w:szCs w:val="24"/>
        </w:rPr>
        <w:t xml:space="preserve"> </w:t>
      </w:r>
      <w:r w:rsidR="00EA1B55">
        <w:rPr>
          <w:rFonts w:ascii="Times New Roman" w:hAnsi="Times New Roman" w:cs="Times New Roman"/>
          <w:sz w:val="24"/>
          <w:szCs w:val="24"/>
        </w:rPr>
        <w:t>start of the pandemic (Figure 2 in the text</w:t>
      </w:r>
      <w:r w:rsidRPr="0076147F">
        <w:rPr>
          <w:rFonts w:ascii="Times New Roman" w:hAnsi="Times New Roman" w:cs="Times New Roman"/>
          <w:sz w:val="24"/>
          <w:szCs w:val="24"/>
        </w:rPr>
        <w:t xml:space="preserve">). This rise predates the current situation in Ukraine and is instead part of the larger worldwide logistic supply chain issues.  As of March 11, 2022, it cost $13,382 to ship </w:t>
      </w:r>
      <w:r w:rsidRPr="0076147F">
        <w:rPr>
          <w:rFonts w:ascii="Times New Roman" w:hAnsi="Times New Roman" w:cs="Times New Roman"/>
          <w:color w:val="131413"/>
          <w:sz w:val="24"/>
          <w:szCs w:val="24"/>
        </w:rPr>
        <w:t>forty foot equivalent unit (FEU) from China/East Asia to Europe</w:t>
      </w:r>
      <w:r w:rsidRPr="0076147F">
        <w:rPr>
          <w:rStyle w:val="EndnoteReference"/>
          <w:rFonts w:ascii="Times New Roman" w:hAnsi="Times New Roman" w:cs="Times New Roman"/>
          <w:color w:val="131413"/>
          <w:sz w:val="24"/>
          <w:szCs w:val="24"/>
        </w:rPr>
        <w:endnoteReference w:id="3"/>
      </w:r>
      <w:r w:rsidRPr="0076147F">
        <w:rPr>
          <w:rFonts w:ascii="Times New Roman" w:hAnsi="Times New Roman" w:cs="Times New Roman"/>
          <w:color w:val="131413"/>
          <w:sz w:val="24"/>
          <w:szCs w:val="24"/>
        </w:rPr>
        <w:t>.  In this case, the use of the NSR</w:t>
      </w:r>
      <w:r w:rsidR="001B7075">
        <w:rPr>
          <w:rFonts w:ascii="Times New Roman" w:hAnsi="Times New Roman" w:cs="Times New Roman"/>
          <w:color w:val="131413"/>
          <w:sz w:val="24"/>
          <w:szCs w:val="24"/>
        </w:rPr>
        <w:t xml:space="preserve"> would save almost </w:t>
      </w:r>
      <w:r w:rsidR="006513B2">
        <w:rPr>
          <w:rFonts w:ascii="Times New Roman" w:hAnsi="Times New Roman" w:cs="Times New Roman"/>
          <w:color w:val="131413"/>
          <w:sz w:val="24"/>
          <w:szCs w:val="24"/>
        </w:rPr>
        <w:t>$4,956</w:t>
      </w:r>
      <w:r w:rsidRPr="0076147F">
        <w:rPr>
          <w:rFonts w:ascii="Times New Roman" w:hAnsi="Times New Roman" w:cs="Times New Roman"/>
          <w:color w:val="131413"/>
          <w:sz w:val="24"/>
          <w:szCs w:val="24"/>
        </w:rPr>
        <w:t xml:space="preserve"> per container shipped over shipping the same container via the Suez Canal.  Assuming a post-Panama container ship that can hold about 2500 FEUs,</w:t>
      </w:r>
      <w:r w:rsidRPr="0076147F">
        <w:rPr>
          <w:rStyle w:val="EndnoteReference"/>
          <w:rFonts w:ascii="Times New Roman" w:hAnsi="Times New Roman" w:cs="Times New Roman"/>
          <w:color w:val="131413"/>
          <w:sz w:val="24"/>
          <w:szCs w:val="24"/>
        </w:rPr>
        <w:endnoteReference w:id="4"/>
      </w:r>
      <w:r w:rsidRPr="0076147F">
        <w:rPr>
          <w:rFonts w:ascii="Times New Roman" w:hAnsi="Times New Roman" w:cs="Times New Roman"/>
          <w:color w:val="131413"/>
          <w:sz w:val="24"/>
          <w:szCs w:val="24"/>
        </w:rPr>
        <w:t xml:space="preserve"> that is a savings of about $</w:t>
      </w:r>
      <w:r w:rsidR="001B7075">
        <w:rPr>
          <w:rFonts w:ascii="Times New Roman" w:hAnsi="Times New Roman" w:cs="Times New Roman"/>
          <w:color w:val="131413"/>
          <w:sz w:val="24"/>
          <w:szCs w:val="24"/>
        </w:rPr>
        <w:t>12,389,739</w:t>
      </w:r>
      <w:r w:rsidRPr="0076147F">
        <w:rPr>
          <w:rFonts w:ascii="Times New Roman" w:hAnsi="Times New Roman" w:cs="Times New Roman"/>
          <w:color w:val="131413"/>
          <w:sz w:val="24"/>
          <w:szCs w:val="24"/>
        </w:rPr>
        <w:t xml:space="preserve"> per ship that now has to take the Suez route instead of the NSR due to closures either due to sanctions or sea ice</w:t>
      </w:r>
      <w:r w:rsidR="001B7075">
        <w:rPr>
          <w:rFonts w:ascii="Times New Roman" w:hAnsi="Times New Roman" w:cs="Times New Roman"/>
          <w:color w:val="131413"/>
          <w:sz w:val="24"/>
          <w:szCs w:val="24"/>
        </w:rPr>
        <w:t xml:space="preserve"> (Equation </w:t>
      </w:r>
      <w:r w:rsidR="00CD5C0F">
        <w:rPr>
          <w:rFonts w:ascii="Times New Roman" w:hAnsi="Times New Roman" w:cs="Times New Roman"/>
          <w:color w:val="131413"/>
          <w:sz w:val="24"/>
          <w:szCs w:val="24"/>
        </w:rPr>
        <w:t>S</w:t>
      </w:r>
      <w:r w:rsidR="001B7075">
        <w:rPr>
          <w:rFonts w:ascii="Times New Roman" w:hAnsi="Times New Roman" w:cs="Times New Roman"/>
          <w:color w:val="131413"/>
          <w:sz w:val="24"/>
          <w:szCs w:val="24"/>
        </w:rPr>
        <w:t>1)</w:t>
      </w:r>
      <w:r w:rsidRPr="0076147F">
        <w:rPr>
          <w:rFonts w:ascii="Times New Roman" w:hAnsi="Times New Roman" w:cs="Times New Roman"/>
          <w:color w:val="131413"/>
          <w:sz w:val="24"/>
          <w:szCs w:val="24"/>
        </w:rPr>
        <w:t>.</w:t>
      </w:r>
    </w:p>
    <w:p w:rsidR="001B7075" w:rsidRDefault="001B7075" w:rsidP="00B705E6">
      <w:pPr>
        <w:rPr>
          <w:rFonts w:ascii="Times New Roman" w:hAnsi="Times New Roman" w:cs="Times New Roman"/>
          <w:color w:val="131413"/>
          <w:sz w:val="24"/>
          <w:szCs w:val="24"/>
        </w:rPr>
      </w:pPr>
    </w:p>
    <w:p w:rsidR="001B7075" w:rsidRPr="001B7075" w:rsidRDefault="001B7075" w:rsidP="001B7075">
      <w:pPr>
        <w:pStyle w:val="ListParagraph"/>
        <w:numPr>
          <w:ilvl w:val="0"/>
          <w:numId w:val="1"/>
        </w:numPr>
        <w:rPr>
          <w:rFonts w:ascii="Times New Roman" w:hAnsi="Times New Roman" w:cs="Times New Roman"/>
          <w:color w:val="131413"/>
          <w:sz w:val="24"/>
          <w:szCs w:val="24"/>
        </w:rPr>
      </w:pPr>
      <w:r>
        <w:rPr>
          <w:rFonts w:ascii="Times New Roman" w:hAnsi="Times New Roman" w:cs="Times New Roman"/>
          <w:color w:val="131413"/>
          <w:sz w:val="24"/>
          <w:szCs w:val="24"/>
        </w:rPr>
        <w:t>Estimates of additional shipping costs</w:t>
      </w:r>
    </w:p>
    <w:p w:rsidR="00B705E6" w:rsidRPr="0076147F" w:rsidRDefault="001B7075" w:rsidP="00B705E6">
      <w:pPr>
        <w:rPr>
          <w:rFonts w:ascii="Times New Roman" w:hAnsi="Times New Roman" w:cs="Times New Roman"/>
          <w:color w:val="131413"/>
          <w:sz w:val="24"/>
          <w:szCs w:val="24"/>
        </w:rPr>
      </w:pPr>
      <w:r>
        <w:rPr>
          <w:rFonts w:ascii="Times New Roman" w:hAnsi="Times New Roman" w:cs="Times New Roman"/>
          <w:color w:val="131413"/>
          <w:sz w:val="24"/>
          <w:szCs w:val="24"/>
        </w:rPr>
        <w:t>W</w:t>
      </w:r>
      <w:r w:rsidR="00B705E6" w:rsidRPr="0076147F">
        <w:rPr>
          <w:rFonts w:ascii="Times New Roman" w:hAnsi="Times New Roman" w:cs="Times New Roman"/>
          <w:color w:val="131413"/>
          <w:sz w:val="24"/>
          <w:szCs w:val="24"/>
        </w:rPr>
        <w:t>e can get a variety of estimates of the indirect additional shipping costs of the closure of the NSR.  First, assuming that shipping over the NSR in 2022 would be similar to the previous year, we could assume that if the NSR was otherwise open, there would be at least 42 international through transits.  The remaining 43 transits have at least one Russian port (29) or both (14).  Presumably transport between two Russian ports (Russian cabotage) will be unaffected by the sanctions, so those 14 would continue to use the NSR.  On the other hand, sanctions on Russia presumably would prevent the 29 transits that either loaded or off-loaded at a Russian port regardless of the use of the NSR, so those will not be considered.</w:t>
      </w:r>
    </w:p>
    <w:p w:rsidR="00B705E6" w:rsidRPr="0076147F" w:rsidRDefault="00B705E6" w:rsidP="00B705E6">
      <w:pPr>
        <w:rPr>
          <w:rFonts w:ascii="Times New Roman" w:hAnsi="Times New Roman" w:cs="Times New Roman"/>
          <w:color w:val="131413"/>
          <w:sz w:val="24"/>
          <w:szCs w:val="24"/>
        </w:rPr>
      </w:pPr>
      <w:r w:rsidRPr="0076147F">
        <w:rPr>
          <w:rFonts w:ascii="Times New Roman" w:hAnsi="Times New Roman" w:cs="Times New Roman"/>
          <w:sz w:val="24"/>
          <w:szCs w:val="24"/>
        </w:rPr>
        <w:t xml:space="preserve">Of course, many different types of ships use the NSR.  </w:t>
      </w:r>
      <w:r>
        <w:rPr>
          <w:rFonts w:ascii="Times New Roman" w:hAnsi="Times New Roman" w:cs="Times New Roman"/>
          <w:sz w:val="24"/>
          <w:szCs w:val="24"/>
        </w:rPr>
        <w:t>O</w:t>
      </w:r>
      <w:r w:rsidRPr="0076147F">
        <w:rPr>
          <w:rFonts w:ascii="Times New Roman" w:hAnsi="Times New Roman" w:cs="Times New Roman"/>
          <w:sz w:val="24"/>
          <w:szCs w:val="24"/>
        </w:rPr>
        <w:t>ver half of the 71 international destination transits (where at least one port was not in the NSR) were general cargo (36), followed by bulk carriers (26), heavy load (8) and LNG carriers (2).</w:t>
      </w:r>
      <w:r>
        <w:rPr>
          <w:rStyle w:val="EndnoteReference"/>
          <w:rFonts w:ascii="Times New Roman" w:hAnsi="Times New Roman" w:cs="Times New Roman"/>
          <w:sz w:val="24"/>
          <w:szCs w:val="24"/>
        </w:rPr>
        <w:endnoteReference w:id="5"/>
      </w:r>
      <w:r w:rsidRPr="0076147F">
        <w:rPr>
          <w:rFonts w:ascii="Times New Roman" w:hAnsi="Times New Roman" w:cs="Times New Roman"/>
          <w:sz w:val="24"/>
          <w:szCs w:val="24"/>
        </w:rPr>
        <w:t xml:space="preserve">  For ease of exposition, we estimate savings based off of the savings of container ship.  (Since half the international transits </w:t>
      </w:r>
      <w:r w:rsidRPr="0076147F">
        <w:rPr>
          <w:rFonts w:ascii="Times New Roman" w:hAnsi="Times New Roman" w:cs="Times New Roman"/>
          <w:sz w:val="24"/>
          <w:szCs w:val="24"/>
        </w:rPr>
        <w:lastRenderedPageBreak/>
        <w:t xml:space="preserve">were general cargo ships which can carry containers, this is not an unreasonable estimation.)  </w:t>
      </w:r>
      <w:r w:rsidRPr="0076147F">
        <w:rPr>
          <w:rFonts w:ascii="Times New Roman" w:hAnsi="Times New Roman" w:cs="Times New Roman"/>
          <w:color w:val="131413"/>
          <w:sz w:val="24"/>
          <w:szCs w:val="24"/>
        </w:rPr>
        <w:t>Using the theoretical savings per ship above, that would cumulate to an additional $518,890,700 shipping costs due to the closing of the NSR, or about half a billion dollars.</w:t>
      </w:r>
    </w:p>
    <w:p w:rsidR="00B705E6" w:rsidRPr="0076147F" w:rsidRDefault="00B705E6" w:rsidP="00B705E6">
      <w:pPr>
        <w:rPr>
          <w:rFonts w:ascii="Times New Roman" w:hAnsi="Times New Roman" w:cs="Times New Roman"/>
          <w:color w:val="131413"/>
          <w:sz w:val="24"/>
          <w:szCs w:val="24"/>
        </w:rPr>
      </w:pPr>
      <w:r w:rsidRPr="0076147F">
        <w:rPr>
          <w:rFonts w:ascii="Times New Roman" w:hAnsi="Times New Roman" w:cs="Times New Roman"/>
          <w:color w:val="131413"/>
          <w:sz w:val="24"/>
          <w:szCs w:val="24"/>
        </w:rPr>
        <w:t xml:space="preserve">The above estimates assume the NSR would be open in summer 2022 and there would be enough time for 42 transits.  Of course, season length is variable.  While not a forecast, different climate estimations from the CMIP6 ensemble could provide a range of possible season lengths.  </w:t>
      </w:r>
      <w:r>
        <w:rPr>
          <w:rFonts w:ascii="Times New Roman" w:hAnsi="Times New Roman" w:cs="Times New Roman"/>
          <w:color w:val="131413"/>
          <w:sz w:val="24"/>
          <w:szCs w:val="24"/>
        </w:rPr>
        <w:t>T</w:t>
      </w:r>
      <w:r w:rsidRPr="0076147F">
        <w:rPr>
          <w:rFonts w:ascii="Times New Roman" w:hAnsi="Times New Roman" w:cs="Times New Roman"/>
          <w:color w:val="131413"/>
          <w:sz w:val="24"/>
          <w:szCs w:val="24"/>
        </w:rPr>
        <w:t>here is notable variation across the 16 different CMIP6 climate realizations</w:t>
      </w:r>
      <w:r w:rsidR="00EA1B55">
        <w:rPr>
          <w:rFonts w:ascii="Times New Roman" w:hAnsi="Times New Roman" w:cs="Times New Roman"/>
          <w:color w:val="131413"/>
          <w:sz w:val="24"/>
          <w:szCs w:val="24"/>
        </w:rPr>
        <w:t xml:space="preserve"> (Table 1</w:t>
      </w:r>
      <w:r w:rsidR="00CD5C0F">
        <w:rPr>
          <w:rFonts w:ascii="Times New Roman" w:hAnsi="Times New Roman" w:cs="Times New Roman"/>
          <w:color w:val="131413"/>
          <w:sz w:val="24"/>
          <w:szCs w:val="24"/>
        </w:rPr>
        <w:t xml:space="preserve"> in main text</w:t>
      </w:r>
      <w:r>
        <w:rPr>
          <w:rFonts w:ascii="Times New Roman" w:hAnsi="Times New Roman" w:cs="Times New Roman"/>
          <w:color w:val="131413"/>
          <w:sz w:val="24"/>
          <w:szCs w:val="24"/>
        </w:rPr>
        <w:t>)</w:t>
      </w:r>
      <w:r w:rsidRPr="0076147F">
        <w:rPr>
          <w:rFonts w:ascii="Times New Roman" w:hAnsi="Times New Roman" w:cs="Times New Roman"/>
          <w:color w:val="131413"/>
          <w:sz w:val="24"/>
          <w:szCs w:val="24"/>
        </w:rPr>
        <w:t>.  In five of those realizations, the NSR would be functionally shut due to sea ice.  Four of the realizations (CESM2-WACCM, GFDL-CM4, MIROC6, and NorESM2-MM) have the NSR shut for the entire season.  While one of the climate realizations (BCC-CSM2-MR) suggests the NSR would only be open for one transit, this would be very unlikely to happen in practice and so that realization also suggests that the NSR would be functionally shut due to sea ice.</w:t>
      </w:r>
    </w:p>
    <w:p w:rsidR="00B705E6" w:rsidRPr="0076147F" w:rsidRDefault="00B705E6" w:rsidP="00B705E6">
      <w:pPr>
        <w:rPr>
          <w:rFonts w:ascii="Times New Roman" w:hAnsi="Times New Roman" w:cs="Times New Roman"/>
          <w:color w:val="131413"/>
          <w:sz w:val="24"/>
          <w:szCs w:val="24"/>
        </w:rPr>
      </w:pPr>
      <w:r w:rsidRPr="0076147F">
        <w:rPr>
          <w:rFonts w:ascii="Times New Roman" w:hAnsi="Times New Roman" w:cs="Times New Roman"/>
          <w:color w:val="131413"/>
          <w:sz w:val="24"/>
          <w:szCs w:val="24"/>
        </w:rPr>
        <w:t>The remaining climate realizations have different possible season lengths.  In 2021, the first transit entered the NSR on July 8 and the last entered the NSR on November 6, for a total season of 121 days.  There were 85 transits of the NSR over 121 days, suggesting a transit started about every 34 hours on average.  Assuming the same start frequency, the n</w:t>
      </w:r>
      <w:r w:rsidR="00CD5C0F">
        <w:rPr>
          <w:rFonts w:ascii="Times New Roman" w:hAnsi="Times New Roman" w:cs="Times New Roman"/>
          <w:color w:val="131413"/>
          <w:sz w:val="24"/>
          <w:szCs w:val="24"/>
        </w:rPr>
        <w:t>umber of ship tran</w:t>
      </w:r>
      <w:r w:rsidR="00EA1B55">
        <w:rPr>
          <w:rFonts w:ascii="Times New Roman" w:hAnsi="Times New Roman" w:cs="Times New Roman"/>
          <w:color w:val="131413"/>
          <w:sz w:val="24"/>
          <w:szCs w:val="24"/>
        </w:rPr>
        <w:t>sits (Table 1 in text</w:t>
      </w:r>
      <w:r w:rsidRPr="0076147F">
        <w:rPr>
          <w:rFonts w:ascii="Times New Roman" w:hAnsi="Times New Roman" w:cs="Times New Roman"/>
          <w:color w:val="131413"/>
          <w:sz w:val="24"/>
          <w:szCs w:val="24"/>
        </w:rPr>
        <w:t>) estimated varies from 33 (CNRM-CM6-1) up to 119 (MRI-ESM2-0).</w:t>
      </w:r>
    </w:p>
    <w:p w:rsidR="00B705E6" w:rsidRPr="0076147F" w:rsidRDefault="00B705E6" w:rsidP="00B705E6">
      <w:pPr>
        <w:rPr>
          <w:rFonts w:ascii="Times New Roman" w:hAnsi="Times New Roman" w:cs="Times New Roman"/>
          <w:noProof/>
          <w:sz w:val="24"/>
          <w:szCs w:val="24"/>
        </w:rPr>
      </w:pPr>
      <w:r w:rsidRPr="0076147F">
        <w:rPr>
          <w:rFonts w:ascii="Times New Roman" w:hAnsi="Times New Roman" w:cs="Times New Roman"/>
          <w:noProof/>
          <w:sz w:val="24"/>
          <w:szCs w:val="24"/>
        </w:rPr>
        <w:t>Assuming sea ice does not close the NSR, the remaining 11 CMIP6 realizations suggest that the additional costs of closing the NSR due to sanctions would cause shippers to incur between just over $400 million up to almost $1.5 billion of add</w:t>
      </w:r>
      <w:r w:rsidR="00CD5C0F">
        <w:rPr>
          <w:rFonts w:ascii="Times New Roman" w:hAnsi="Times New Roman" w:cs="Times New Roman"/>
          <w:noProof/>
          <w:sz w:val="24"/>
          <w:szCs w:val="24"/>
        </w:rPr>
        <w:t>itional shipping costs (Table 2 in text</w:t>
      </w:r>
      <w:r w:rsidR="00EA1B55">
        <w:rPr>
          <w:rFonts w:ascii="Times New Roman" w:hAnsi="Times New Roman" w:cs="Times New Roman"/>
          <w:noProof/>
          <w:sz w:val="24"/>
          <w:szCs w:val="24"/>
        </w:rPr>
        <w:t>)</w:t>
      </w:r>
      <w:r w:rsidRPr="0076147F">
        <w:rPr>
          <w:rFonts w:ascii="Times New Roman" w:hAnsi="Times New Roman" w:cs="Times New Roman"/>
          <w:noProof/>
          <w:sz w:val="24"/>
          <w:szCs w:val="24"/>
        </w:rPr>
        <w:t xml:space="preserve">. </w:t>
      </w:r>
    </w:p>
    <w:p w:rsidR="00B705E6" w:rsidRPr="0076147F" w:rsidRDefault="00B705E6" w:rsidP="00B705E6">
      <w:pPr>
        <w:rPr>
          <w:rFonts w:ascii="Times New Roman" w:hAnsi="Times New Roman" w:cs="Times New Roman"/>
          <w:sz w:val="24"/>
          <w:szCs w:val="24"/>
        </w:rPr>
      </w:pPr>
      <w:r w:rsidRPr="0076147F">
        <w:rPr>
          <w:rFonts w:ascii="Times New Roman" w:hAnsi="Times New Roman" w:cs="Times New Roman"/>
          <w:sz w:val="24"/>
          <w:szCs w:val="24"/>
        </w:rPr>
        <w:t>Besides differences in the direct cost of shipping, as estimated above, another way to estimate indirect costs of NSR closure is to estimate the indirect costs to the shipper or receiver based on the delay of the goods.  The NSR is not only shorter, but fa</w:t>
      </w:r>
      <w:r>
        <w:rPr>
          <w:rFonts w:ascii="Times New Roman" w:hAnsi="Times New Roman" w:cs="Times New Roman"/>
          <w:sz w:val="24"/>
          <w:szCs w:val="24"/>
        </w:rPr>
        <w:t>ster.  T</w:t>
      </w:r>
      <w:r w:rsidRPr="0076147F">
        <w:rPr>
          <w:rFonts w:ascii="Times New Roman" w:hAnsi="Times New Roman" w:cs="Times New Roman"/>
          <w:sz w:val="24"/>
          <w:szCs w:val="24"/>
        </w:rPr>
        <w:t>he total number of days of shipping time for each of the 16 realizations was estimated from</w:t>
      </w:r>
      <w:r w:rsidR="00CD5C0F">
        <w:rPr>
          <w:rFonts w:ascii="Times New Roman" w:hAnsi="Times New Roman" w:cs="Times New Roman"/>
          <w:sz w:val="24"/>
          <w:szCs w:val="24"/>
        </w:rPr>
        <w:t xml:space="preserve"> </w:t>
      </w:r>
      <w:r w:rsidR="00EA1B55">
        <w:rPr>
          <w:rFonts w:ascii="Times New Roman" w:hAnsi="Times New Roman" w:cs="Times New Roman"/>
          <w:sz w:val="24"/>
          <w:szCs w:val="24"/>
        </w:rPr>
        <w:t>Rotterdam to Yokohama (Figure S1</w:t>
      </w:r>
      <w:r w:rsidRPr="0076147F">
        <w:rPr>
          <w:rFonts w:ascii="Times New Roman" w:hAnsi="Times New Roman" w:cs="Times New Roman"/>
          <w:sz w:val="24"/>
          <w:szCs w:val="24"/>
        </w:rPr>
        <w:t>).</w:t>
      </w:r>
      <w:r>
        <w:rPr>
          <w:rFonts w:ascii="Times New Roman" w:hAnsi="Times New Roman" w:cs="Times New Roman"/>
          <w:sz w:val="24"/>
          <w:szCs w:val="24"/>
        </w:rPr>
        <w:t xml:space="preserve">  </w:t>
      </w:r>
      <w:r w:rsidRPr="0076147F">
        <w:rPr>
          <w:rFonts w:ascii="Times New Roman" w:hAnsi="Times New Roman" w:cs="Times New Roman"/>
          <w:sz w:val="24"/>
          <w:szCs w:val="24"/>
        </w:rPr>
        <w:t>These transit times were then compared with the number of days it takes to go from Rotterdam to Yokohama via the Suez Canal route</w:t>
      </w:r>
      <w:r>
        <w:rPr>
          <w:rFonts w:ascii="Times New Roman" w:hAnsi="Times New Roman" w:cs="Times New Roman"/>
          <w:sz w:val="24"/>
          <w:szCs w:val="24"/>
        </w:rPr>
        <w:t xml:space="preserve"> with no port stops, estimated at </w:t>
      </w:r>
      <w:r w:rsidRPr="0076147F">
        <w:rPr>
          <w:rFonts w:ascii="Times New Roman" w:hAnsi="Times New Roman" w:cs="Times New Roman"/>
          <w:sz w:val="24"/>
          <w:szCs w:val="24"/>
        </w:rPr>
        <w:t>24.575 days</w:t>
      </w:r>
      <w:r>
        <w:rPr>
          <w:rFonts w:ascii="Times New Roman" w:hAnsi="Times New Roman" w:cs="Times New Roman"/>
          <w:sz w:val="24"/>
          <w:szCs w:val="24"/>
        </w:rPr>
        <w:t xml:space="preserve"> at 20 knots</w:t>
      </w:r>
      <w:r w:rsidRPr="0076147F">
        <w:rPr>
          <w:rFonts w:ascii="Times New Roman" w:hAnsi="Times New Roman" w:cs="Times New Roman"/>
          <w:sz w:val="24"/>
          <w:szCs w:val="24"/>
        </w:rPr>
        <w:t>.</w:t>
      </w:r>
      <w:r>
        <w:rPr>
          <w:rStyle w:val="EndnoteReference"/>
          <w:rFonts w:ascii="Times New Roman" w:hAnsi="Times New Roman" w:cs="Times New Roman"/>
          <w:sz w:val="24"/>
          <w:szCs w:val="24"/>
        </w:rPr>
        <w:endnoteReference w:id="6"/>
      </w:r>
      <w:r w:rsidRPr="0076147F">
        <w:rPr>
          <w:rFonts w:ascii="Times New Roman" w:hAnsi="Times New Roman" w:cs="Times New Roman"/>
          <w:sz w:val="24"/>
          <w:szCs w:val="24"/>
        </w:rPr>
        <w:t xml:space="preserve">  Therefore, for most of the 16 CMIP6 realizations, use of the NSR provides a number of days of savings over</w:t>
      </w:r>
      <w:r w:rsidR="00CD5C0F">
        <w:rPr>
          <w:rFonts w:ascii="Times New Roman" w:hAnsi="Times New Roman" w:cs="Times New Roman"/>
          <w:sz w:val="24"/>
          <w:szCs w:val="24"/>
        </w:rPr>
        <w:t xml:space="preserve"> taking the Suez Canal (Table 1 </w:t>
      </w:r>
      <w:r w:rsidR="00EA1B55">
        <w:rPr>
          <w:rFonts w:ascii="Times New Roman" w:hAnsi="Times New Roman" w:cs="Times New Roman"/>
          <w:sz w:val="24"/>
          <w:szCs w:val="24"/>
        </w:rPr>
        <w:t>in text</w:t>
      </w:r>
      <w:r w:rsidRPr="0076147F">
        <w:rPr>
          <w:rFonts w:ascii="Times New Roman" w:hAnsi="Times New Roman" w:cs="Times New Roman"/>
          <w:sz w:val="24"/>
          <w:szCs w:val="24"/>
        </w:rPr>
        <w:t>).</w:t>
      </w:r>
    </w:p>
    <w:p w:rsidR="00B705E6" w:rsidRDefault="00B705E6" w:rsidP="00B705E6">
      <w:pPr>
        <w:rPr>
          <w:rFonts w:ascii="Times New Roman" w:hAnsi="Times New Roman" w:cs="Times New Roman"/>
          <w:sz w:val="24"/>
          <w:szCs w:val="24"/>
        </w:rPr>
      </w:pPr>
      <w:r w:rsidRPr="0076147F">
        <w:rPr>
          <w:rFonts w:ascii="Times New Roman" w:hAnsi="Times New Roman" w:cs="Times New Roman"/>
          <w:sz w:val="24"/>
          <w:szCs w:val="24"/>
        </w:rPr>
        <w:t>Having goods on the ship instead of delivered has a large indirect cost</w:t>
      </w:r>
      <w:r>
        <w:rPr>
          <w:rFonts w:ascii="Times New Roman" w:hAnsi="Times New Roman" w:cs="Times New Roman"/>
          <w:sz w:val="24"/>
          <w:szCs w:val="24"/>
        </w:rPr>
        <w:t xml:space="preserve">: </w:t>
      </w:r>
      <w:r w:rsidRPr="0076147F">
        <w:rPr>
          <w:rFonts w:ascii="Times New Roman" w:hAnsi="Times New Roman" w:cs="Times New Roman"/>
          <w:sz w:val="24"/>
          <w:szCs w:val="24"/>
        </w:rPr>
        <w:t>each additional day in transit costs between 0.6% and 2.1% of the value of the goods shipped.</w:t>
      </w:r>
      <w:r>
        <w:rPr>
          <w:rStyle w:val="EndnoteReference"/>
          <w:rFonts w:ascii="Times New Roman" w:hAnsi="Times New Roman" w:cs="Times New Roman"/>
          <w:sz w:val="24"/>
          <w:szCs w:val="24"/>
        </w:rPr>
        <w:endnoteReference w:id="7"/>
      </w:r>
      <w:r w:rsidRPr="0076147F">
        <w:rPr>
          <w:rFonts w:ascii="Times New Roman" w:hAnsi="Times New Roman" w:cs="Times New Roman"/>
          <w:sz w:val="24"/>
          <w:szCs w:val="24"/>
        </w:rPr>
        <w:t xml:space="preserve">   There are about 51.73 ships per day going through the Suez Canal carrying cargo valued at about $10 billion</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8"/>
      </w:r>
      <w:r w:rsidRPr="0076147F">
        <w:rPr>
          <w:rFonts w:ascii="Times New Roman" w:hAnsi="Times New Roman" w:cs="Times New Roman"/>
          <w:sz w:val="24"/>
          <w:szCs w:val="24"/>
        </w:rPr>
        <w:t xml:space="preserve"> suggesting the average ship carries about $193.3 million of cargo.  Assuming similar valuations for ships taking the NSR instead of the Suez Canal, and assuming a day’s delay is worth 1% of the value, delays cost the owners of the goods (not the shippers) a little bit under $2 million/day.   Applying this value to the average number of days saved per trip by using the NSR gives an estimate of the indirect value saved per trip due to the faster del</w:t>
      </w:r>
      <w:r w:rsidR="00EA1B55">
        <w:rPr>
          <w:rFonts w:ascii="Times New Roman" w:hAnsi="Times New Roman" w:cs="Times New Roman"/>
          <w:sz w:val="24"/>
          <w:szCs w:val="24"/>
        </w:rPr>
        <w:t>ivery of goods (Figure S2</w:t>
      </w:r>
      <w:r w:rsidRPr="0076147F">
        <w:rPr>
          <w:rFonts w:ascii="Times New Roman" w:hAnsi="Times New Roman" w:cs="Times New Roman"/>
          <w:sz w:val="24"/>
          <w:szCs w:val="24"/>
        </w:rPr>
        <w:t>)</w:t>
      </w:r>
      <w:r>
        <w:rPr>
          <w:rFonts w:ascii="Times New Roman" w:hAnsi="Times New Roman" w:cs="Times New Roman"/>
          <w:sz w:val="24"/>
          <w:szCs w:val="24"/>
        </w:rPr>
        <w:t>.</w:t>
      </w:r>
    </w:p>
    <w:p w:rsidR="00B705E6" w:rsidRDefault="00B705E6" w:rsidP="00B705E6">
      <w:pPr>
        <w:rPr>
          <w:rFonts w:ascii="Times New Roman" w:hAnsi="Times New Roman" w:cs="Times New Roman"/>
          <w:sz w:val="24"/>
          <w:szCs w:val="24"/>
        </w:rPr>
      </w:pPr>
      <w:r w:rsidRPr="0076147F">
        <w:rPr>
          <w:rFonts w:ascii="Times New Roman" w:hAnsi="Times New Roman" w:cs="Times New Roman"/>
          <w:sz w:val="24"/>
          <w:szCs w:val="24"/>
        </w:rPr>
        <w:t>Then, assuming the frequency of ships going through the NSR is one every 34 hours as it was in 2021, an estimate can be made of the indirect delay costs of the NSR closure for the entire season to the owners of goods.  These indirect delay costs are about the same magnitude as the lost of sav</w:t>
      </w:r>
      <w:r w:rsidR="00F533DF">
        <w:rPr>
          <w:rFonts w:ascii="Times New Roman" w:hAnsi="Times New Roman" w:cs="Times New Roman"/>
          <w:sz w:val="24"/>
          <w:szCs w:val="24"/>
        </w:rPr>
        <w:t>i</w:t>
      </w:r>
      <w:r w:rsidR="00EA1B55">
        <w:rPr>
          <w:rFonts w:ascii="Times New Roman" w:hAnsi="Times New Roman" w:cs="Times New Roman"/>
          <w:sz w:val="24"/>
          <w:szCs w:val="24"/>
        </w:rPr>
        <w:t>ngs on shipping costs (Table 2 in the text</w:t>
      </w:r>
      <w:r w:rsidRPr="0076147F">
        <w:rPr>
          <w:rFonts w:ascii="Times New Roman" w:hAnsi="Times New Roman" w:cs="Times New Roman"/>
          <w:sz w:val="24"/>
          <w:szCs w:val="24"/>
        </w:rPr>
        <w:t>).</w:t>
      </w:r>
      <w:r>
        <w:rPr>
          <w:rFonts w:ascii="Times New Roman" w:hAnsi="Times New Roman" w:cs="Times New Roman"/>
          <w:sz w:val="24"/>
          <w:szCs w:val="24"/>
        </w:rPr>
        <w:t xml:space="preserve">  </w:t>
      </w:r>
      <w:r w:rsidRPr="0076147F">
        <w:rPr>
          <w:rFonts w:ascii="Times New Roman" w:hAnsi="Times New Roman" w:cs="Times New Roman"/>
          <w:sz w:val="24"/>
          <w:szCs w:val="24"/>
        </w:rPr>
        <w:t xml:space="preserve">Collectively, these costs add up to a large </w:t>
      </w:r>
      <w:r w:rsidRPr="0076147F">
        <w:rPr>
          <w:rFonts w:ascii="Times New Roman" w:hAnsi="Times New Roman" w:cs="Times New Roman"/>
          <w:sz w:val="24"/>
          <w:szCs w:val="24"/>
        </w:rPr>
        <w:lastRenderedPageBreak/>
        <w:t>sum, from just under $900 million t</w:t>
      </w:r>
      <w:r w:rsidR="00F533DF">
        <w:rPr>
          <w:rFonts w:ascii="Times New Roman" w:hAnsi="Times New Roman" w:cs="Times New Roman"/>
          <w:sz w:val="24"/>
          <w:szCs w:val="24"/>
        </w:rPr>
        <w:t>o almost $3.3 billion (</w:t>
      </w:r>
      <w:r w:rsidR="00EA1B55">
        <w:rPr>
          <w:rFonts w:ascii="Times New Roman" w:hAnsi="Times New Roman" w:cs="Times New Roman"/>
          <w:sz w:val="24"/>
          <w:szCs w:val="24"/>
        </w:rPr>
        <w:t>Table 2 in the text</w:t>
      </w:r>
      <w:r w:rsidRPr="0076147F">
        <w:rPr>
          <w:rFonts w:ascii="Times New Roman" w:hAnsi="Times New Roman" w:cs="Times New Roman"/>
          <w:sz w:val="24"/>
          <w:szCs w:val="24"/>
        </w:rPr>
        <w:t>)</w:t>
      </w:r>
      <w:r w:rsidR="00AA6944">
        <w:rPr>
          <w:rFonts w:ascii="Times New Roman" w:hAnsi="Times New Roman" w:cs="Times New Roman"/>
          <w:sz w:val="24"/>
          <w:szCs w:val="24"/>
        </w:rPr>
        <w:t xml:space="preserve"> at 1% of the value of goods shipped, and up to $5.2 billion if the high end of 2.1% of value of goods shipped is used (Table 3 in the text)</w:t>
      </w:r>
      <w:r w:rsidRPr="0076147F">
        <w:rPr>
          <w:rFonts w:ascii="Times New Roman" w:hAnsi="Times New Roman" w:cs="Times New Roman"/>
          <w:sz w:val="24"/>
          <w:szCs w:val="24"/>
        </w:rPr>
        <w:t xml:space="preserve">.  </w:t>
      </w:r>
    </w:p>
    <w:p w:rsidR="00CD5C0F" w:rsidRDefault="00CD5C0F" w:rsidP="00B705E6">
      <w:pPr>
        <w:rPr>
          <w:rFonts w:ascii="Times New Roman" w:hAnsi="Times New Roman" w:cs="Times New Roman"/>
          <w:sz w:val="24"/>
          <w:szCs w:val="24"/>
        </w:rPr>
      </w:pPr>
    </w:p>
    <w:p w:rsidR="00CD5C0F" w:rsidRDefault="00CD5C0F" w:rsidP="00B705E6">
      <w:pPr>
        <w:rPr>
          <w:rFonts w:ascii="Times New Roman" w:hAnsi="Times New Roman" w:cs="Times New Roman"/>
          <w:sz w:val="24"/>
          <w:szCs w:val="24"/>
        </w:rPr>
      </w:pPr>
    </w:p>
    <w:p w:rsidR="00CD5C0F" w:rsidRDefault="00CD5C0F" w:rsidP="00B705E6">
      <w:pPr>
        <w:rPr>
          <w:rFonts w:ascii="Times New Roman" w:hAnsi="Times New Roman" w:cs="Times New Roman"/>
          <w:sz w:val="24"/>
          <w:szCs w:val="24"/>
        </w:rPr>
        <w:sectPr w:rsidR="00CD5C0F">
          <w:endnotePr>
            <w:numFmt w:val="decimal"/>
          </w:endnotePr>
          <w:pgSz w:w="12240" w:h="15840"/>
          <w:pgMar w:top="1440" w:right="1440" w:bottom="1440" w:left="1440" w:header="720" w:footer="720" w:gutter="0"/>
          <w:cols w:space="720"/>
          <w:docGrid w:linePitch="360"/>
        </w:sectPr>
      </w:pPr>
    </w:p>
    <w:p w:rsidR="00CD5C0F" w:rsidRDefault="00CD5C0F" w:rsidP="00B705E6">
      <w:pPr>
        <w:rPr>
          <w:rFonts w:ascii="Times New Roman" w:hAnsi="Times New Roman" w:cs="Times New Roman"/>
          <w:sz w:val="24"/>
          <w:szCs w:val="24"/>
        </w:rPr>
      </w:pPr>
    </w:p>
    <w:p w:rsidR="00B705E6" w:rsidRDefault="00B705E6"/>
    <w:sectPr w:rsidR="00B705E6">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5734" w:rsidRDefault="00DA5734" w:rsidP="00B705E6">
      <w:pPr>
        <w:spacing w:after="0" w:line="240" w:lineRule="auto"/>
      </w:pPr>
      <w:r>
        <w:separator/>
      </w:r>
    </w:p>
  </w:endnote>
  <w:endnote w:type="continuationSeparator" w:id="0">
    <w:p w:rsidR="00DA5734" w:rsidRDefault="00DA5734" w:rsidP="00B705E6">
      <w:pPr>
        <w:spacing w:after="0" w:line="240" w:lineRule="auto"/>
      </w:pPr>
      <w:r>
        <w:continuationSeparator/>
      </w:r>
    </w:p>
  </w:endnote>
  <w:endnote w:id="1">
    <w:p w:rsidR="006513B2" w:rsidRDefault="006513B2" w:rsidP="006513B2">
      <w:pPr>
        <w:pStyle w:val="EndnoteText"/>
        <w:ind w:left="360" w:hanging="360"/>
      </w:pPr>
      <w:r>
        <w:rPr>
          <w:rStyle w:val="EndnoteReference"/>
        </w:rPr>
        <w:endnoteRef/>
      </w:r>
      <w:r>
        <w:t xml:space="preserve"> </w:t>
      </w:r>
      <w:r w:rsidRPr="002E10B9">
        <w:rPr>
          <w:rStyle w:val="authors"/>
          <w:color w:val="333333"/>
          <w:szCs w:val="24"/>
          <w:shd w:val="clear" w:color="auto" w:fill="FFFFFF"/>
        </w:rPr>
        <w:t>Buixadé Farré,</w:t>
      </w:r>
      <w:r>
        <w:rPr>
          <w:rStyle w:val="authors"/>
          <w:color w:val="333333"/>
          <w:szCs w:val="24"/>
          <w:shd w:val="clear" w:color="auto" w:fill="FFFFFF"/>
        </w:rPr>
        <w:t xml:space="preserve"> A. B.,  S. R. Stephenson, L. Chen, M. Czub, Y. Dai, D. Demchev, Y. Efimov, P. Graczyk, H. Grythe, K. Keil, N. Kivekäs, N. Kumar, N. Liu, I. Matelenok, M. Myksvoll, D. O'Leary, J. Olsen, S. Pavithran A.P., E. Petersen, A. Raspotnik, I. Ryzhov, J. Solski, L. Suo, C. Troein, V. Valeeva, J. van Rijckevorsel, J.</w:t>
      </w:r>
      <w:r w:rsidRPr="002E10B9">
        <w:rPr>
          <w:rStyle w:val="authors"/>
          <w:color w:val="333333"/>
          <w:szCs w:val="24"/>
          <w:shd w:val="clear" w:color="auto" w:fill="FFFFFF"/>
        </w:rPr>
        <w:t xml:space="preserve"> Wighting</w:t>
      </w:r>
      <w:r>
        <w:rPr>
          <w:rStyle w:val="authors"/>
          <w:color w:val="333333"/>
          <w:szCs w:val="24"/>
          <w:shd w:val="clear" w:color="auto" w:fill="FFFFFF"/>
        </w:rPr>
        <w:t xml:space="preserve">, </w:t>
      </w:r>
      <w:r w:rsidRPr="002E10B9">
        <w:rPr>
          <w:rStyle w:val="Date2"/>
          <w:color w:val="333333"/>
          <w:szCs w:val="24"/>
          <w:shd w:val="clear" w:color="auto" w:fill="FFFFFF"/>
        </w:rPr>
        <w:t>20</w:t>
      </w:r>
      <w:r>
        <w:rPr>
          <w:rStyle w:val="Date2"/>
          <w:color w:val="333333"/>
          <w:szCs w:val="24"/>
          <w:shd w:val="clear" w:color="auto" w:fill="FFFFFF"/>
        </w:rPr>
        <w:t>14:</w:t>
      </w:r>
      <w:r w:rsidRPr="002E10B9">
        <w:rPr>
          <w:color w:val="333333"/>
          <w:szCs w:val="24"/>
          <w:shd w:val="clear" w:color="auto" w:fill="FFFFFF"/>
        </w:rPr>
        <w:t> </w:t>
      </w:r>
      <w:r w:rsidRPr="002E10B9">
        <w:rPr>
          <w:rStyle w:val="arttitle"/>
          <w:rFonts w:eastAsiaTheme="majorEastAsia"/>
          <w:color w:val="333333"/>
          <w:szCs w:val="24"/>
          <w:shd w:val="clear" w:color="auto" w:fill="FFFFFF"/>
        </w:rPr>
        <w:t>Commercial Arctic shipping through the Northeast Passage: routes, resources, governance, technology, and infrastructure,</w:t>
      </w:r>
      <w:r w:rsidRPr="002E10B9">
        <w:rPr>
          <w:color w:val="333333"/>
          <w:szCs w:val="24"/>
          <w:shd w:val="clear" w:color="auto" w:fill="FFFFFF"/>
        </w:rPr>
        <w:t> </w:t>
      </w:r>
      <w:r w:rsidRPr="002E10B9">
        <w:rPr>
          <w:rStyle w:val="serialtitle"/>
          <w:rFonts w:eastAsiaTheme="majorEastAsia"/>
          <w:i/>
          <w:color w:val="333333"/>
          <w:szCs w:val="24"/>
          <w:shd w:val="clear" w:color="auto" w:fill="FFFFFF"/>
        </w:rPr>
        <w:t>Polar Geography</w:t>
      </w:r>
      <w:r w:rsidRPr="002E10B9">
        <w:rPr>
          <w:rStyle w:val="serialtitle"/>
          <w:rFonts w:eastAsiaTheme="majorEastAsia"/>
          <w:color w:val="333333"/>
          <w:szCs w:val="24"/>
          <w:shd w:val="clear" w:color="auto" w:fill="FFFFFF"/>
        </w:rPr>
        <w:t>,</w:t>
      </w:r>
      <w:r w:rsidRPr="002E10B9">
        <w:rPr>
          <w:color w:val="333333"/>
          <w:szCs w:val="24"/>
          <w:shd w:val="clear" w:color="auto" w:fill="FFFFFF"/>
        </w:rPr>
        <w:t> </w:t>
      </w:r>
      <w:r w:rsidRPr="002E10B9">
        <w:rPr>
          <w:rStyle w:val="volumeissue"/>
          <w:rFonts w:eastAsiaTheme="majorEastAsia"/>
          <w:color w:val="333333"/>
          <w:szCs w:val="24"/>
          <w:shd w:val="clear" w:color="auto" w:fill="FFFFFF"/>
        </w:rPr>
        <w:t>37:4,</w:t>
      </w:r>
      <w:r w:rsidRPr="002E10B9">
        <w:rPr>
          <w:color w:val="333333"/>
          <w:szCs w:val="24"/>
          <w:shd w:val="clear" w:color="auto" w:fill="FFFFFF"/>
        </w:rPr>
        <w:t> </w:t>
      </w:r>
      <w:r w:rsidRPr="002E10B9">
        <w:rPr>
          <w:rStyle w:val="pagerange"/>
          <w:rFonts w:eastAsiaTheme="majorEastAsia"/>
          <w:color w:val="333333"/>
          <w:szCs w:val="24"/>
          <w:shd w:val="clear" w:color="auto" w:fill="FFFFFF"/>
        </w:rPr>
        <w:t>298-324,</w:t>
      </w:r>
      <w:r w:rsidRPr="002E10B9">
        <w:rPr>
          <w:color w:val="333333"/>
          <w:szCs w:val="24"/>
          <w:shd w:val="clear" w:color="auto" w:fill="FFFFFF"/>
        </w:rPr>
        <w:t> </w:t>
      </w:r>
      <w:r w:rsidRPr="002E10B9">
        <w:rPr>
          <w:rStyle w:val="doilink"/>
          <w:rFonts w:eastAsiaTheme="majorEastAsia"/>
          <w:color w:val="333333"/>
          <w:szCs w:val="24"/>
          <w:shd w:val="clear" w:color="auto" w:fill="FFFFFF"/>
        </w:rPr>
        <w:t>DOI: </w:t>
      </w:r>
      <w:hyperlink r:id="rId1" w:history="1">
        <w:r w:rsidRPr="002E10B9">
          <w:rPr>
            <w:rStyle w:val="Hyperlink"/>
            <w:rFonts w:eastAsiaTheme="majorEastAsia"/>
            <w:color w:val="333333"/>
            <w:szCs w:val="24"/>
            <w:shd w:val="clear" w:color="auto" w:fill="FFFFFF"/>
          </w:rPr>
          <w:t>10.1080/1088937X.2014.965769</w:t>
        </w:r>
      </w:hyperlink>
    </w:p>
  </w:endnote>
  <w:endnote w:id="2">
    <w:p w:rsidR="00B705E6" w:rsidRDefault="00B705E6" w:rsidP="00B705E6">
      <w:pPr>
        <w:pStyle w:val="H1"/>
        <w:ind w:left="360" w:hanging="360"/>
      </w:pPr>
      <w:r>
        <w:rPr>
          <w:rStyle w:val="EndnoteReference"/>
        </w:rPr>
        <w:endnoteRef/>
      </w:r>
      <w:r>
        <w:t xml:space="preserve"> </w:t>
      </w:r>
      <w:r w:rsidRPr="0076147F">
        <w:rPr>
          <w:b w:val="0"/>
          <w:sz w:val="24"/>
          <w:szCs w:val="24"/>
          <w:lang w:bidi="en-US"/>
        </w:rPr>
        <w:t xml:space="preserve">Cao, Y., S. Liang, L. Sun, J. Liu, X. Cheng, D. Wang, Y. Chen, M. Yu, K. Feng, 2022:  Trans-Arctic shipping routes expanding faster than the model projections.  </w:t>
      </w:r>
      <w:r w:rsidRPr="0076147F">
        <w:rPr>
          <w:b w:val="0"/>
          <w:i/>
          <w:sz w:val="24"/>
          <w:szCs w:val="24"/>
          <w:lang w:bidi="en-US"/>
        </w:rPr>
        <w:t>Global Environmental Change</w:t>
      </w:r>
      <w:r w:rsidRPr="0076147F">
        <w:rPr>
          <w:b w:val="0"/>
          <w:sz w:val="24"/>
          <w:szCs w:val="24"/>
          <w:lang w:bidi="en-US"/>
        </w:rPr>
        <w:t xml:space="preserve">, </w:t>
      </w:r>
      <w:r w:rsidRPr="0076147F">
        <w:rPr>
          <w:sz w:val="24"/>
          <w:szCs w:val="24"/>
          <w:lang w:bidi="en-US"/>
        </w:rPr>
        <w:t>73</w:t>
      </w:r>
      <w:r w:rsidRPr="0076147F">
        <w:rPr>
          <w:b w:val="0"/>
          <w:sz w:val="24"/>
          <w:szCs w:val="24"/>
          <w:lang w:bidi="en-US"/>
        </w:rPr>
        <w:t>, 02488,</w:t>
      </w:r>
      <w:r w:rsidRPr="0076147F">
        <w:rPr>
          <w:sz w:val="24"/>
          <w:szCs w:val="24"/>
        </w:rPr>
        <w:t xml:space="preserve"> </w:t>
      </w:r>
      <w:hyperlink r:id="rId2" w:history="1">
        <w:r w:rsidRPr="0076147F">
          <w:rPr>
            <w:rStyle w:val="Hyperlink"/>
            <w:b w:val="0"/>
            <w:sz w:val="24"/>
            <w:szCs w:val="24"/>
            <w:lang w:bidi="en-US"/>
          </w:rPr>
          <w:t>https://doi.org/10.1016/j.gloenvcha.2022.102488</w:t>
        </w:r>
      </w:hyperlink>
      <w:r>
        <w:rPr>
          <w:b w:val="0"/>
          <w:sz w:val="24"/>
          <w:szCs w:val="24"/>
          <w:lang w:bidi="en-US"/>
        </w:rPr>
        <w:t xml:space="preserve"> .</w:t>
      </w:r>
    </w:p>
  </w:endnote>
  <w:endnote w:id="3">
    <w:p w:rsidR="00B705E6" w:rsidRPr="0076147F" w:rsidRDefault="00B705E6" w:rsidP="00B705E6">
      <w:pPr>
        <w:pStyle w:val="H1"/>
        <w:ind w:left="360" w:hanging="360"/>
        <w:rPr>
          <w:b w:val="0"/>
          <w:sz w:val="24"/>
          <w:szCs w:val="24"/>
          <w:lang w:bidi="en-US"/>
        </w:rPr>
      </w:pPr>
      <w:r>
        <w:rPr>
          <w:rStyle w:val="EndnoteReference"/>
        </w:rPr>
        <w:endnoteRef/>
      </w:r>
      <w:r>
        <w:t xml:space="preserve"> </w:t>
      </w:r>
      <w:r w:rsidRPr="006A27FD">
        <w:rPr>
          <w:b w:val="0"/>
          <w:sz w:val="24"/>
          <w:szCs w:val="24"/>
          <w:lang w:bidi="en-US"/>
        </w:rPr>
        <w:t xml:space="preserve">Freightos, Ltd., 2022: </w:t>
      </w:r>
      <w:hyperlink r:id="rId3" w:history="1">
        <w:r w:rsidRPr="006A27FD">
          <w:rPr>
            <w:rStyle w:val="Hyperlink"/>
            <w:b w:val="0"/>
            <w:sz w:val="24"/>
            <w:szCs w:val="24"/>
            <w:lang w:bidi="en-US"/>
          </w:rPr>
          <w:t>https://fbx.freightos.com/freight-index/FBX01</w:t>
        </w:r>
      </w:hyperlink>
      <w:r w:rsidRPr="006A27FD">
        <w:rPr>
          <w:b w:val="0"/>
          <w:sz w:val="24"/>
          <w:szCs w:val="24"/>
          <w:lang w:bidi="en-US"/>
        </w:rPr>
        <w:t xml:space="preserve"> , sourced March 16, 2022.</w:t>
      </w:r>
    </w:p>
  </w:endnote>
  <w:endnote w:id="4">
    <w:p w:rsidR="00B705E6" w:rsidRDefault="00B705E6" w:rsidP="00B705E6">
      <w:pPr>
        <w:pStyle w:val="H1"/>
        <w:ind w:left="360" w:hanging="360"/>
      </w:pPr>
      <w:r>
        <w:rPr>
          <w:rStyle w:val="EndnoteReference"/>
        </w:rPr>
        <w:endnoteRef/>
      </w:r>
      <w:r>
        <w:t xml:space="preserve"> </w:t>
      </w:r>
      <w:r w:rsidRPr="0082784B">
        <w:rPr>
          <w:b w:val="0"/>
          <w:sz w:val="24"/>
          <w:szCs w:val="24"/>
          <w:lang w:bidi="en-US"/>
        </w:rPr>
        <w:t>Cao</w:t>
      </w:r>
      <w:r>
        <w:rPr>
          <w:b w:val="0"/>
          <w:sz w:val="24"/>
          <w:szCs w:val="24"/>
          <w:lang w:bidi="en-US"/>
        </w:rPr>
        <w:t>, Y., S. Liang, L. Sun, J. Liu, X. Cheng, D. Wang, Y. Chen, M. Yu, K.</w:t>
      </w:r>
      <w:r w:rsidRPr="0082784B">
        <w:rPr>
          <w:b w:val="0"/>
          <w:sz w:val="24"/>
          <w:szCs w:val="24"/>
          <w:lang w:bidi="en-US"/>
        </w:rPr>
        <w:t xml:space="preserve"> Feng,</w:t>
      </w:r>
      <w:r>
        <w:rPr>
          <w:b w:val="0"/>
          <w:sz w:val="24"/>
          <w:szCs w:val="24"/>
          <w:lang w:bidi="en-US"/>
        </w:rPr>
        <w:t xml:space="preserve"> 2022:  </w:t>
      </w:r>
      <w:r w:rsidRPr="0082784B">
        <w:rPr>
          <w:b w:val="0"/>
          <w:sz w:val="24"/>
          <w:szCs w:val="24"/>
          <w:lang w:bidi="en-US"/>
        </w:rPr>
        <w:t>Trans-Arctic shipping routes expanding fas</w:t>
      </w:r>
      <w:r>
        <w:rPr>
          <w:b w:val="0"/>
          <w:sz w:val="24"/>
          <w:szCs w:val="24"/>
          <w:lang w:bidi="en-US"/>
        </w:rPr>
        <w:t xml:space="preserve">ter than the model projections.  </w:t>
      </w:r>
      <w:r w:rsidRPr="0082784B">
        <w:rPr>
          <w:b w:val="0"/>
          <w:i/>
          <w:sz w:val="24"/>
          <w:szCs w:val="24"/>
          <w:lang w:bidi="en-US"/>
        </w:rPr>
        <w:t xml:space="preserve">Global Environmental </w:t>
      </w:r>
      <w:r w:rsidRPr="0076147F">
        <w:rPr>
          <w:b w:val="0"/>
          <w:i/>
          <w:sz w:val="24"/>
          <w:szCs w:val="24"/>
          <w:lang w:bidi="en-US"/>
        </w:rPr>
        <w:t>Change</w:t>
      </w:r>
      <w:r w:rsidRPr="0076147F">
        <w:rPr>
          <w:b w:val="0"/>
          <w:sz w:val="24"/>
          <w:szCs w:val="24"/>
          <w:lang w:bidi="en-US"/>
        </w:rPr>
        <w:t xml:space="preserve">, </w:t>
      </w:r>
      <w:r w:rsidRPr="0076147F">
        <w:rPr>
          <w:sz w:val="24"/>
          <w:szCs w:val="24"/>
          <w:lang w:bidi="en-US"/>
        </w:rPr>
        <w:t>73</w:t>
      </w:r>
      <w:r w:rsidRPr="0076147F">
        <w:rPr>
          <w:b w:val="0"/>
          <w:sz w:val="24"/>
          <w:szCs w:val="24"/>
          <w:lang w:bidi="en-US"/>
        </w:rPr>
        <w:t>, 02488,</w:t>
      </w:r>
      <w:r w:rsidRPr="0076147F">
        <w:rPr>
          <w:sz w:val="24"/>
          <w:szCs w:val="24"/>
        </w:rPr>
        <w:t xml:space="preserve"> </w:t>
      </w:r>
      <w:hyperlink r:id="rId4" w:history="1">
        <w:r w:rsidRPr="0076147F">
          <w:rPr>
            <w:rStyle w:val="Hyperlink"/>
            <w:b w:val="0"/>
            <w:sz w:val="24"/>
            <w:szCs w:val="24"/>
            <w:lang w:bidi="en-US"/>
          </w:rPr>
          <w:t>https://doi.org/10.1016/j.gloenvcha.2022.102488</w:t>
        </w:r>
      </w:hyperlink>
      <w:r>
        <w:rPr>
          <w:b w:val="0"/>
          <w:sz w:val="24"/>
          <w:szCs w:val="24"/>
          <w:lang w:bidi="en-US"/>
        </w:rPr>
        <w:t xml:space="preserve"> .</w:t>
      </w:r>
    </w:p>
  </w:endnote>
  <w:endnote w:id="5">
    <w:p w:rsidR="00B705E6" w:rsidRDefault="00B705E6" w:rsidP="00B705E6">
      <w:pPr>
        <w:pStyle w:val="EndnoteText"/>
        <w:ind w:left="360" w:hanging="360"/>
      </w:pPr>
      <w:r>
        <w:rPr>
          <w:rStyle w:val="EndnoteReference"/>
        </w:rPr>
        <w:endnoteRef/>
      </w:r>
      <w:r>
        <w:t xml:space="preserve"> CHNL Information Office, 2022: </w:t>
      </w:r>
      <w:r w:rsidRPr="00F016AC">
        <w:rPr>
          <w:color w:val="2C2F34"/>
          <w:szCs w:val="24"/>
        </w:rPr>
        <w:t>Tr</w:t>
      </w:r>
      <w:r>
        <w:rPr>
          <w:color w:val="2C2F34"/>
          <w:szCs w:val="24"/>
        </w:rPr>
        <w:t>ansit voyages on the NSR in 2021.  Retrieved from</w:t>
      </w:r>
      <w:r>
        <w:t xml:space="preserve"> </w:t>
      </w:r>
      <w:hyperlink r:id="rId5" w:history="1">
        <w:r w:rsidRPr="00E144C6">
          <w:rPr>
            <w:rStyle w:val="Hyperlink"/>
          </w:rPr>
          <w:t>https://arctic-lio.com/transit-voyages-on-the-nsr-in-2021-the-results-as-of-the-current-date/</w:t>
        </w:r>
      </w:hyperlink>
      <w:r>
        <w:t xml:space="preserve">  on May 6, 2022.</w:t>
      </w:r>
    </w:p>
  </w:endnote>
  <w:endnote w:id="6">
    <w:p w:rsidR="00B705E6" w:rsidRDefault="00B705E6" w:rsidP="00B705E6">
      <w:pPr>
        <w:pStyle w:val="H1"/>
        <w:ind w:left="360" w:hanging="360"/>
      </w:pPr>
      <w:r>
        <w:rPr>
          <w:rStyle w:val="EndnoteReference"/>
        </w:rPr>
        <w:endnoteRef/>
      </w:r>
      <w:r>
        <w:t xml:space="preserve"> </w:t>
      </w:r>
      <w:r w:rsidRPr="0082784B">
        <w:rPr>
          <w:b w:val="0"/>
          <w:sz w:val="24"/>
          <w:szCs w:val="24"/>
          <w:lang w:bidi="en-US"/>
        </w:rPr>
        <w:t>Cao</w:t>
      </w:r>
      <w:r>
        <w:rPr>
          <w:b w:val="0"/>
          <w:sz w:val="24"/>
          <w:szCs w:val="24"/>
          <w:lang w:bidi="en-US"/>
        </w:rPr>
        <w:t>, Y., S. Liang, L. Sun, J. Liu, X. Cheng, D. Wang, Y. Chen, M. Yu, K.</w:t>
      </w:r>
      <w:r w:rsidRPr="0082784B">
        <w:rPr>
          <w:b w:val="0"/>
          <w:sz w:val="24"/>
          <w:szCs w:val="24"/>
          <w:lang w:bidi="en-US"/>
        </w:rPr>
        <w:t xml:space="preserve"> Feng,</w:t>
      </w:r>
      <w:r>
        <w:rPr>
          <w:b w:val="0"/>
          <w:sz w:val="24"/>
          <w:szCs w:val="24"/>
          <w:lang w:bidi="en-US"/>
        </w:rPr>
        <w:t xml:space="preserve"> 2022:  </w:t>
      </w:r>
      <w:r w:rsidRPr="0082784B">
        <w:rPr>
          <w:b w:val="0"/>
          <w:sz w:val="24"/>
          <w:szCs w:val="24"/>
          <w:lang w:bidi="en-US"/>
        </w:rPr>
        <w:t>Trans-Arctic shipping routes expanding fas</w:t>
      </w:r>
      <w:r>
        <w:rPr>
          <w:b w:val="0"/>
          <w:sz w:val="24"/>
          <w:szCs w:val="24"/>
          <w:lang w:bidi="en-US"/>
        </w:rPr>
        <w:t xml:space="preserve">ter than the model projections.  </w:t>
      </w:r>
      <w:r w:rsidRPr="0082784B">
        <w:rPr>
          <w:b w:val="0"/>
          <w:i/>
          <w:sz w:val="24"/>
          <w:szCs w:val="24"/>
          <w:lang w:bidi="en-US"/>
        </w:rPr>
        <w:t xml:space="preserve">Global Environmental </w:t>
      </w:r>
      <w:r w:rsidRPr="0076147F">
        <w:rPr>
          <w:b w:val="0"/>
          <w:i/>
          <w:sz w:val="24"/>
          <w:szCs w:val="24"/>
          <w:lang w:bidi="en-US"/>
        </w:rPr>
        <w:t>Change</w:t>
      </w:r>
      <w:r w:rsidRPr="0076147F">
        <w:rPr>
          <w:b w:val="0"/>
          <w:sz w:val="24"/>
          <w:szCs w:val="24"/>
          <w:lang w:bidi="en-US"/>
        </w:rPr>
        <w:t xml:space="preserve">, </w:t>
      </w:r>
      <w:r w:rsidRPr="0076147F">
        <w:rPr>
          <w:sz w:val="24"/>
          <w:szCs w:val="24"/>
          <w:lang w:bidi="en-US"/>
        </w:rPr>
        <w:t>73</w:t>
      </w:r>
      <w:r w:rsidRPr="0076147F">
        <w:rPr>
          <w:b w:val="0"/>
          <w:sz w:val="24"/>
          <w:szCs w:val="24"/>
          <w:lang w:bidi="en-US"/>
        </w:rPr>
        <w:t>, 02488,</w:t>
      </w:r>
      <w:r w:rsidRPr="0076147F">
        <w:rPr>
          <w:sz w:val="24"/>
          <w:szCs w:val="24"/>
        </w:rPr>
        <w:t xml:space="preserve"> </w:t>
      </w:r>
      <w:hyperlink r:id="rId6" w:history="1">
        <w:r w:rsidRPr="0076147F">
          <w:rPr>
            <w:rStyle w:val="Hyperlink"/>
            <w:b w:val="0"/>
            <w:sz w:val="24"/>
            <w:szCs w:val="24"/>
            <w:lang w:bidi="en-US"/>
          </w:rPr>
          <w:t>https://doi.org/10.1016/j.gloenvcha.2022.102488</w:t>
        </w:r>
      </w:hyperlink>
      <w:r>
        <w:rPr>
          <w:b w:val="0"/>
          <w:sz w:val="24"/>
          <w:szCs w:val="24"/>
          <w:lang w:bidi="en-US"/>
        </w:rPr>
        <w:t xml:space="preserve"> .</w:t>
      </w:r>
    </w:p>
  </w:endnote>
  <w:endnote w:id="7">
    <w:p w:rsidR="00B705E6" w:rsidRDefault="00B705E6" w:rsidP="00B705E6">
      <w:pPr>
        <w:pStyle w:val="EndnoteText"/>
        <w:ind w:left="360" w:hanging="360"/>
      </w:pPr>
      <w:r>
        <w:rPr>
          <w:rStyle w:val="EndnoteReference"/>
        </w:rPr>
        <w:endnoteRef/>
      </w:r>
      <w:r>
        <w:t xml:space="preserve"> </w:t>
      </w:r>
      <w:r w:rsidRPr="006A27FD">
        <w:rPr>
          <w:color w:val="353C3F"/>
          <w:szCs w:val="24"/>
          <w:shd w:val="clear" w:color="auto" w:fill="FFFFFF"/>
        </w:rPr>
        <w:t>Hummels, David L., and Georg Schaur, </w:t>
      </w:r>
      <w:r w:rsidRPr="006A27FD">
        <w:rPr>
          <w:rStyle w:val="year"/>
          <w:color w:val="353C3F"/>
          <w:szCs w:val="24"/>
          <w:bdr w:val="none" w:sz="0" w:space="0" w:color="auto" w:frame="1"/>
          <w:shd w:val="clear" w:color="auto" w:fill="FFFFFF"/>
        </w:rPr>
        <w:t xml:space="preserve">2013: </w:t>
      </w:r>
      <w:r w:rsidRPr="006A27FD">
        <w:rPr>
          <w:rStyle w:val="Title1"/>
          <w:color w:val="353C3F"/>
          <w:szCs w:val="24"/>
          <w:bdr w:val="none" w:sz="0" w:space="0" w:color="auto" w:frame="1"/>
          <w:shd w:val="clear" w:color="auto" w:fill="FFFFFF"/>
        </w:rPr>
        <w:t>Time as a Trade Barrier.</w:t>
      </w:r>
      <w:r w:rsidRPr="006A27FD">
        <w:rPr>
          <w:color w:val="353C3F"/>
          <w:szCs w:val="24"/>
          <w:shd w:val="clear" w:color="auto" w:fill="FFFFFF"/>
        </w:rPr>
        <w:t> </w:t>
      </w:r>
      <w:r w:rsidRPr="006A27FD">
        <w:rPr>
          <w:rStyle w:val="journal"/>
          <w:rFonts w:eastAsiaTheme="majorEastAsia"/>
          <w:i/>
          <w:iCs/>
          <w:color w:val="353C3F"/>
          <w:szCs w:val="24"/>
          <w:bdr w:val="none" w:sz="0" w:space="0" w:color="auto" w:frame="1"/>
          <w:shd w:val="clear" w:color="auto" w:fill="FFFFFF"/>
        </w:rPr>
        <w:t>American Economic Review</w:t>
      </w:r>
      <w:r w:rsidRPr="006A27FD">
        <w:rPr>
          <w:color w:val="353C3F"/>
          <w:szCs w:val="24"/>
          <w:shd w:val="clear" w:color="auto" w:fill="FFFFFF"/>
        </w:rPr>
        <w:t>, </w:t>
      </w:r>
      <w:r w:rsidRPr="006A27FD">
        <w:rPr>
          <w:rStyle w:val="vol"/>
          <w:rFonts w:eastAsiaTheme="majorEastAsia"/>
          <w:color w:val="353C3F"/>
          <w:szCs w:val="24"/>
          <w:bdr w:val="none" w:sz="0" w:space="0" w:color="auto" w:frame="1"/>
          <w:shd w:val="clear" w:color="auto" w:fill="FFFFFF"/>
        </w:rPr>
        <w:t>103 (7): 2935-59</w:t>
      </w:r>
      <w:r w:rsidRPr="006A27FD">
        <w:rPr>
          <w:rStyle w:val="pages"/>
          <w:rFonts w:eastAsiaTheme="majorEastAsia"/>
          <w:color w:val="353C3F"/>
          <w:szCs w:val="24"/>
          <w:bdr w:val="none" w:sz="0" w:space="0" w:color="auto" w:frame="1"/>
          <w:shd w:val="clear" w:color="auto" w:fill="FFFFFF"/>
        </w:rPr>
        <w:t xml:space="preserve">. </w:t>
      </w:r>
      <w:r w:rsidRPr="006A27FD">
        <w:rPr>
          <w:rStyle w:val="doi"/>
          <w:rFonts w:eastAsiaTheme="majorEastAsia"/>
          <w:color w:val="353C3F"/>
          <w:szCs w:val="24"/>
          <w:bdr w:val="none" w:sz="0" w:space="0" w:color="auto" w:frame="1"/>
          <w:shd w:val="clear" w:color="auto" w:fill="FFFFFF"/>
        </w:rPr>
        <w:t>DOI: 10.1257/aer.103.7.2935</w:t>
      </w:r>
      <w:r>
        <w:rPr>
          <w:rStyle w:val="doi"/>
          <w:rFonts w:eastAsiaTheme="majorEastAsia"/>
          <w:b/>
          <w:color w:val="353C3F"/>
          <w:szCs w:val="24"/>
          <w:bdr w:val="none" w:sz="0" w:space="0" w:color="auto" w:frame="1"/>
          <w:shd w:val="clear" w:color="auto" w:fill="FFFFFF"/>
        </w:rPr>
        <w:t>.</w:t>
      </w:r>
    </w:p>
  </w:endnote>
  <w:endnote w:id="8">
    <w:p w:rsidR="00B705E6" w:rsidRDefault="00B705E6" w:rsidP="00B705E6">
      <w:pPr>
        <w:pStyle w:val="EndnoteText"/>
        <w:ind w:left="360" w:hanging="360"/>
        <w:rPr>
          <w:color w:val="262626"/>
          <w:szCs w:val="24"/>
        </w:rPr>
      </w:pPr>
      <w:r>
        <w:rPr>
          <w:rStyle w:val="EndnoteReference"/>
        </w:rPr>
        <w:endnoteRef/>
      </w:r>
      <w:r>
        <w:t xml:space="preserve"> </w:t>
      </w:r>
      <w:r>
        <w:rPr>
          <w:szCs w:val="24"/>
          <w:lang w:bidi="en-US"/>
        </w:rPr>
        <w:t xml:space="preserve">Yeung, J., 2021:  </w:t>
      </w:r>
      <w:r w:rsidRPr="002010FC">
        <w:rPr>
          <w:color w:val="262626"/>
          <w:szCs w:val="24"/>
        </w:rPr>
        <w:t>Suez Canal authorities need to remove up to 706,000 cubic feet of sand to free the Ever Given</w:t>
      </w:r>
      <w:r>
        <w:rPr>
          <w:color w:val="262626"/>
          <w:szCs w:val="24"/>
        </w:rPr>
        <w:t xml:space="preserve">, </w:t>
      </w:r>
      <w:r>
        <w:rPr>
          <w:i/>
          <w:color w:val="262626"/>
          <w:szCs w:val="24"/>
        </w:rPr>
        <w:t>CNN.com</w:t>
      </w:r>
      <w:r>
        <w:rPr>
          <w:color w:val="262626"/>
          <w:szCs w:val="24"/>
        </w:rPr>
        <w:t xml:space="preserve">, March 26, 2021.  Retrieved on March 16, 2022 from </w:t>
      </w:r>
      <w:hyperlink r:id="rId7" w:history="1">
        <w:r w:rsidRPr="00FE67F4">
          <w:rPr>
            <w:rStyle w:val="Hyperlink"/>
            <w:szCs w:val="24"/>
          </w:rPr>
          <w:t>https://www.cnn.com/2021/03/25/middleeast/suez-canal-ship-sand-intl-hnk/index.html</w:t>
        </w:r>
      </w:hyperlink>
      <w:r>
        <w:rPr>
          <w:color w:val="262626"/>
          <w:szCs w:val="24"/>
        </w:rPr>
        <w:t xml:space="preserve"> .</w:t>
      </w:r>
    </w:p>
    <w:p w:rsidR="00CD5C0F" w:rsidRPr="0076147F" w:rsidRDefault="00CD5C0F" w:rsidP="00CD5C0F">
      <w:pPr>
        <w:rPr>
          <w:rFonts w:ascii="Times New Roman" w:hAnsi="Times New Roman" w:cs="Times New Roman"/>
          <w:sz w:val="24"/>
          <w:szCs w:val="24"/>
        </w:rPr>
      </w:pPr>
    </w:p>
    <w:p w:rsidR="00CD5C0F" w:rsidRPr="0076147F" w:rsidRDefault="00CD5C0F" w:rsidP="00CD5C0F">
      <w:pPr>
        <w:rPr>
          <w:rFonts w:ascii="Times New Roman" w:hAnsi="Times New Roman" w:cs="Times New Roman"/>
          <w:sz w:val="24"/>
          <w:szCs w:val="24"/>
        </w:rPr>
      </w:pPr>
      <w:r w:rsidRPr="0076147F">
        <w:rPr>
          <w:rFonts w:ascii="Times New Roman" w:hAnsi="Times New Roman" w:cs="Times New Roman"/>
          <w:noProof/>
          <w:sz w:val="24"/>
          <w:szCs w:val="24"/>
        </w:rPr>
        <w:drawing>
          <wp:inline distT="0" distB="0" distL="0" distR="0" wp14:anchorId="743AB2B5" wp14:editId="0AE6B534">
            <wp:extent cx="5657850" cy="2798445"/>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57850" cy="2798445"/>
                    </a:xfrm>
                    <a:prstGeom prst="rect">
                      <a:avLst/>
                    </a:prstGeom>
                    <a:noFill/>
                  </pic:spPr>
                </pic:pic>
              </a:graphicData>
            </a:graphic>
          </wp:inline>
        </w:drawing>
      </w:r>
    </w:p>
    <w:p w:rsidR="00CD5C0F" w:rsidRDefault="00EA1B55" w:rsidP="00CD5C0F">
      <w:pPr>
        <w:rPr>
          <w:rFonts w:ascii="Times New Roman" w:hAnsi="Times New Roman" w:cs="Times New Roman"/>
          <w:sz w:val="24"/>
          <w:szCs w:val="24"/>
        </w:rPr>
      </w:pPr>
      <w:r>
        <w:rPr>
          <w:rFonts w:ascii="Times New Roman" w:hAnsi="Times New Roman" w:cs="Times New Roman"/>
          <w:sz w:val="24"/>
          <w:szCs w:val="24"/>
        </w:rPr>
        <w:t>Figure S1</w:t>
      </w:r>
      <w:r w:rsidR="00CD5C0F" w:rsidRPr="0076147F">
        <w:rPr>
          <w:rFonts w:ascii="Times New Roman" w:hAnsi="Times New Roman" w:cs="Times New Roman"/>
          <w:sz w:val="24"/>
          <w:szCs w:val="24"/>
        </w:rPr>
        <w:t>:  Average Transit time between Yokohama and Rotterdam using the NSR</w:t>
      </w:r>
    </w:p>
    <w:p w:rsidR="00CD5C0F" w:rsidRPr="0076147F" w:rsidRDefault="00CD5C0F" w:rsidP="00CD5C0F">
      <w:pPr>
        <w:rPr>
          <w:rFonts w:ascii="Times New Roman" w:hAnsi="Times New Roman" w:cs="Times New Roman"/>
          <w:sz w:val="24"/>
          <w:szCs w:val="24"/>
        </w:rPr>
      </w:pPr>
    </w:p>
    <w:p w:rsidR="00CD5C0F" w:rsidRPr="0076147F" w:rsidRDefault="00CD5C0F" w:rsidP="00CD5C0F">
      <w:pPr>
        <w:rPr>
          <w:rFonts w:ascii="Times New Roman" w:hAnsi="Times New Roman" w:cs="Times New Roman"/>
          <w:sz w:val="24"/>
          <w:szCs w:val="24"/>
        </w:rPr>
      </w:pPr>
      <w:r w:rsidRPr="0076147F">
        <w:rPr>
          <w:rFonts w:ascii="Times New Roman" w:hAnsi="Times New Roman" w:cs="Times New Roman"/>
          <w:noProof/>
          <w:sz w:val="24"/>
          <w:szCs w:val="24"/>
        </w:rPr>
        <w:drawing>
          <wp:inline distT="0" distB="0" distL="0" distR="0" wp14:anchorId="4FC251A6" wp14:editId="6CC32B43">
            <wp:extent cx="5516880" cy="2965477"/>
            <wp:effectExtent l="0" t="0" r="762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32437" cy="2973839"/>
                    </a:xfrm>
                    <a:prstGeom prst="rect">
                      <a:avLst/>
                    </a:prstGeom>
                    <a:noFill/>
                  </pic:spPr>
                </pic:pic>
              </a:graphicData>
            </a:graphic>
          </wp:inline>
        </w:drawing>
      </w:r>
    </w:p>
    <w:p w:rsidR="00CD5C0F" w:rsidRPr="0076147F" w:rsidRDefault="00EA1B55" w:rsidP="00CD5C0F">
      <w:pPr>
        <w:rPr>
          <w:rFonts w:ascii="Times New Roman" w:hAnsi="Times New Roman" w:cs="Times New Roman"/>
          <w:sz w:val="24"/>
          <w:szCs w:val="24"/>
        </w:rPr>
      </w:pPr>
      <w:r>
        <w:rPr>
          <w:rFonts w:ascii="Times New Roman" w:hAnsi="Times New Roman" w:cs="Times New Roman"/>
          <w:sz w:val="24"/>
          <w:szCs w:val="24"/>
        </w:rPr>
        <w:t>Figure S2</w:t>
      </w:r>
      <w:r w:rsidR="00680C14">
        <w:rPr>
          <w:rFonts w:ascii="Times New Roman" w:hAnsi="Times New Roman" w:cs="Times New Roman"/>
          <w:sz w:val="24"/>
          <w:szCs w:val="24"/>
        </w:rPr>
        <w:t xml:space="preserve">:  Estimated value of savings based on shorter transit times by using NSR over the Suez Canal route for 16 CMIP6 realizations for 2022. </w:t>
      </w:r>
    </w:p>
    <w:p w:rsidR="00CD5C0F" w:rsidRPr="0076147F" w:rsidRDefault="00CD5C0F" w:rsidP="00CD5C0F">
      <w:pPr>
        <w:rPr>
          <w:rFonts w:ascii="Times New Roman" w:hAnsi="Times New Roman" w:cs="Times New Roman"/>
          <w:sz w:val="24"/>
          <w:szCs w:val="24"/>
        </w:rPr>
      </w:pPr>
    </w:p>
    <w:p w:rsidR="00B705E6" w:rsidRDefault="00B705E6" w:rsidP="00B705E6">
      <w:pPr>
        <w:pStyle w:val="EndnoteText"/>
        <w:ind w:left="360" w:hanging="36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5734" w:rsidRDefault="00DA5734" w:rsidP="00B705E6">
      <w:pPr>
        <w:spacing w:after="0" w:line="240" w:lineRule="auto"/>
      </w:pPr>
      <w:r>
        <w:separator/>
      </w:r>
    </w:p>
  </w:footnote>
  <w:footnote w:type="continuationSeparator" w:id="0">
    <w:p w:rsidR="00DA5734" w:rsidRDefault="00DA5734" w:rsidP="00B705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557DE"/>
    <w:multiLevelType w:val="hybridMultilevel"/>
    <w:tmpl w:val="3814A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5E6"/>
    <w:rsid w:val="0007514A"/>
    <w:rsid w:val="000A6BFC"/>
    <w:rsid w:val="0010647B"/>
    <w:rsid w:val="001B7075"/>
    <w:rsid w:val="001E0C43"/>
    <w:rsid w:val="00295348"/>
    <w:rsid w:val="00352201"/>
    <w:rsid w:val="00436851"/>
    <w:rsid w:val="00442AAE"/>
    <w:rsid w:val="006513B2"/>
    <w:rsid w:val="00680C14"/>
    <w:rsid w:val="0085153F"/>
    <w:rsid w:val="009F49DA"/>
    <w:rsid w:val="00AA6944"/>
    <w:rsid w:val="00AB113A"/>
    <w:rsid w:val="00B705E6"/>
    <w:rsid w:val="00CD355E"/>
    <w:rsid w:val="00CD5C0F"/>
    <w:rsid w:val="00DA5734"/>
    <w:rsid w:val="00DE3BC3"/>
    <w:rsid w:val="00EA1B55"/>
    <w:rsid w:val="00F533DF"/>
    <w:rsid w:val="00FD4B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8C9993-F854-469B-8DE8-2C41C4E5F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05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qFormat/>
    <w:rsid w:val="00B705E6"/>
    <w:pPr>
      <w:snapToGrid w:val="0"/>
      <w:spacing w:before="240" w:after="0" w:line="360" w:lineRule="auto"/>
    </w:pPr>
    <w:rPr>
      <w:rFonts w:ascii="Times New Roman" w:eastAsia="Times New Roman" w:hAnsi="Times New Roman" w:cs="Times New Roman"/>
      <w:b/>
      <w:kern w:val="28"/>
      <w:sz w:val="28"/>
      <w:szCs w:val="20"/>
    </w:rPr>
  </w:style>
  <w:style w:type="paragraph" w:styleId="EndnoteText">
    <w:name w:val="endnote text"/>
    <w:basedOn w:val="Normal"/>
    <w:link w:val="EndnoteTextChar"/>
    <w:uiPriority w:val="99"/>
    <w:unhideWhenUsed/>
    <w:rsid w:val="00B705E6"/>
    <w:pPr>
      <w:snapToGrid w:val="0"/>
      <w:spacing w:before="120" w:after="120" w:line="360" w:lineRule="auto"/>
      <w:ind w:firstLine="360"/>
    </w:pPr>
    <w:rPr>
      <w:rFonts w:ascii="Times New Roman" w:eastAsia="Times New Roman" w:hAnsi="Times New Roman" w:cs="Times New Roman"/>
      <w:sz w:val="24"/>
      <w:szCs w:val="20"/>
    </w:rPr>
  </w:style>
  <w:style w:type="character" w:customStyle="1" w:styleId="EndnoteTextChar">
    <w:name w:val="Endnote Text Char"/>
    <w:basedOn w:val="DefaultParagraphFont"/>
    <w:link w:val="EndnoteText"/>
    <w:uiPriority w:val="99"/>
    <w:rsid w:val="00B705E6"/>
    <w:rPr>
      <w:rFonts w:ascii="Times New Roman" w:eastAsia="Times New Roman" w:hAnsi="Times New Roman" w:cs="Times New Roman"/>
      <w:sz w:val="24"/>
      <w:szCs w:val="20"/>
    </w:rPr>
  </w:style>
  <w:style w:type="character" w:styleId="Hyperlink">
    <w:name w:val="Hyperlink"/>
    <w:basedOn w:val="DefaultParagraphFont"/>
    <w:uiPriority w:val="99"/>
    <w:rsid w:val="00B705E6"/>
    <w:rPr>
      <w:color w:val="0563C1" w:themeColor="hyperlink"/>
      <w:u w:val="single"/>
    </w:rPr>
  </w:style>
  <w:style w:type="character" w:styleId="EndnoteReference">
    <w:name w:val="endnote reference"/>
    <w:uiPriority w:val="99"/>
    <w:rsid w:val="00B705E6"/>
    <w:rPr>
      <w:vertAlign w:val="superscript"/>
    </w:rPr>
  </w:style>
  <w:style w:type="character" w:customStyle="1" w:styleId="authors">
    <w:name w:val="authors"/>
    <w:basedOn w:val="DefaultParagraphFont"/>
    <w:rsid w:val="00B705E6"/>
  </w:style>
  <w:style w:type="character" w:customStyle="1" w:styleId="arttitle">
    <w:name w:val="art_title"/>
    <w:basedOn w:val="DefaultParagraphFont"/>
    <w:rsid w:val="00B705E6"/>
  </w:style>
  <w:style w:type="character" w:customStyle="1" w:styleId="serialtitle">
    <w:name w:val="serial_title"/>
    <w:basedOn w:val="DefaultParagraphFont"/>
    <w:rsid w:val="00B705E6"/>
  </w:style>
  <w:style w:type="character" w:customStyle="1" w:styleId="volumeissue">
    <w:name w:val="volume_issue"/>
    <w:basedOn w:val="DefaultParagraphFont"/>
    <w:rsid w:val="00B705E6"/>
  </w:style>
  <w:style w:type="character" w:customStyle="1" w:styleId="doilink">
    <w:name w:val="doi_link"/>
    <w:basedOn w:val="DefaultParagraphFont"/>
    <w:rsid w:val="00B705E6"/>
  </w:style>
  <w:style w:type="character" w:customStyle="1" w:styleId="Date2">
    <w:name w:val="Date2"/>
    <w:basedOn w:val="DefaultParagraphFont"/>
    <w:rsid w:val="00B705E6"/>
  </w:style>
  <w:style w:type="character" w:customStyle="1" w:styleId="pagerange">
    <w:name w:val="page_range"/>
    <w:basedOn w:val="DefaultParagraphFont"/>
    <w:rsid w:val="00B705E6"/>
  </w:style>
  <w:style w:type="character" w:customStyle="1" w:styleId="year">
    <w:name w:val="year"/>
    <w:basedOn w:val="DefaultParagraphFont"/>
    <w:rsid w:val="00B705E6"/>
  </w:style>
  <w:style w:type="character" w:customStyle="1" w:styleId="Title1">
    <w:name w:val="Title1"/>
    <w:basedOn w:val="DefaultParagraphFont"/>
    <w:rsid w:val="00B705E6"/>
  </w:style>
  <w:style w:type="character" w:customStyle="1" w:styleId="journal">
    <w:name w:val="journal"/>
    <w:basedOn w:val="DefaultParagraphFont"/>
    <w:rsid w:val="00B705E6"/>
  </w:style>
  <w:style w:type="character" w:customStyle="1" w:styleId="vol">
    <w:name w:val="vol"/>
    <w:basedOn w:val="DefaultParagraphFont"/>
    <w:rsid w:val="00B705E6"/>
  </w:style>
  <w:style w:type="character" w:customStyle="1" w:styleId="pages">
    <w:name w:val="pages"/>
    <w:basedOn w:val="DefaultParagraphFont"/>
    <w:rsid w:val="00B705E6"/>
  </w:style>
  <w:style w:type="character" w:customStyle="1" w:styleId="doi">
    <w:name w:val="doi"/>
    <w:basedOn w:val="DefaultParagraphFont"/>
    <w:rsid w:val="00B705E6"/>
  </w:style>
  <w:style w:type="paragraph" w:styleId="ListParagraph">
    <w:name w:val="List Paragraph"/>
    <w:basedOn w:val="Normal"/>
    <w:uiPriority w:val="34"/>
    <w:qFormat/>
    <w:rsid w:val="001B70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hyperlink" Target="https://fbx.freightos.com/freight-index/FBX01" TargetMode="External"/><Relationship Id="rId7" Type="http://schemas.openxmlformats.org/officeDocument/2006/relationships/hyperlink" Target="https://www.cnn.com/2021/03/25/middleeast/suez-canal-ship-sand-intl-hnk/index.html" TargetMode="External"/><Relationship Id="rId2" Type="http://schemas.openxmlformats.org/officeDocument/2006/relationships/hyperlink" Target="https://doi.org/10.1016/j.gloenvcha.2022.102488" TargetMode="External"/><Relationship Id="rId1" Type="http://schemas.openxmlformats.org/officeDocument/2006/relationships/hyperlink" Target="https://doi.org/10.1080/1088937X.2014.965769" TargetMode="External"/><Relationship Id="rId6" Type="http://schemas.openxmlformats.org/officeDocument/2006/relationships/hyperlink" Target="https://doi.org/10.1016/j.gloenvcha.2022.102488" TargetMode="External"/><Relationship Id="rId5" Type="http://schemas.openxmlformats.org/officeDocument/2006/relationships/hyperlink" Target="https://arctic-lio.com/transit-voyages-on-the-nsr-in-2021-the-results-as-of-the-current-date/" TargetMode="External"/><Relationship Id="rId4" Type="http://schemas.openxmlformats.org/officeDocument/2006/relationships/hyperlink" Target="https://doi.org/10.1016/j.gloenvcha.2022.102488" TargetMode="Externa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F08FF0A-78C3-462B-8145-61E4A3C36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1063</Words>
  <Characters>5466</Characters>
  <Application>Microsoft Office Word</Application>
  <DocSecurity>0</DocSecurity>
  <Lines>227</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Goldstein, Michael</cp:lastModifiedBy>
  <cp:revision>7</cp:revision>
  <dcterms:created xsi:type="dcterms:W3CDTF">2022-05-24T19:56:00Z</dcterms:created>
  <dcterms:modified xsi:type="dcterms:W3CDTF">2022-05-26T16:05:00Z</dcterms:modified>
</cp:coreProperties>
</file>