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3901D" w14:textId="21001076" w:rsidR="00384246" w:rsidRDefault="00384246" w:rsidP="00384246">
      <w:pPr>
        <w:spacing w:line="480" w:lineRule="auto"/>
        <w:ind w:right="29"/>
        <w:jc w:val="both"/>
        <w:rPr>
          <w:b/>
        </w:rPr>
      </w:pPr>
      <w:r>
        <w:rPr>
          <w:b/>
        </w:rPr>
        <w:t>Supplementary Figure Legends</w:t>
      </w:r>
    </w:p>
    <w:p w14:paraId="14CC148F" w14:textId="7DFEEE94" w:rsidR="00384246" w:rsidRPr="00FE5F23" w:rsidRDefault="00384246" w:rsidP="00384246">
      <w:pPr>
        <w:spacing w:line="480" w:lineRule="auto"/>
        <w:ind w:right="29"/>
        <w:jc w:val="both"/>
        <w:rPr>
          <w:b/>
        </w:rPr>
      </w:pPr>
      <w:r w:rsidRPr="00FE5F23">
        <w:rPr>
          <w:b/>
        </w:rPr>
        <w:t>Supplementary Figure 1</w:t>
      </w:r>
    </w:p>
    <w:p w14:paraId="743D7CA6" w14:textId="77777777" w:rsidR="00384246" w:rsidRPr="00FE5F23" w:rsidRDefault="00384246" w:rsidP="00384246">
      <w:pPr>
        <w:spacing w:line="480" w:lineRule="auto"/>
        <w:ind w:right="29"/>
        <w:jc w:val="both"/>
      </w:pPr>
      <w:r w:rsidRPr="00FE5F23">
        <w:rPr>
          <w:b/>
        </w:rPr>
        <w:t>a</w:t>
      </w:r>
      <w:r>
        <w:rPr>
          <w:b/>
        </w:rPr>
        <w:t>.</w:t>
      </w:r>
      <w:r w:rsidRPr="00FE5F23">
        <w:t xml:space="preserve"> Gating strategy to assess the effect of chemotherapy on </w:t>
      </w:r>
      <w:r>
        <w:t xml:space="preserve">live </w:t>
      </w:r>
      <w:r w:rsidRPr="00FE5F23">
        <w:t>AML cell</w:t>
      </w:r>
      <w:r>
        <w:t xml:space="preserve">s defined </w:t>
      </w:r>
      <w:r w:rsidRPr="00FE5F23">
        <w:t xml:space="preserve">using </w:t>
      </w:r>
      <w:r>
        <w:t xml:space="preserve">viability </w:t>
      </w:r>
      <w:r w:rsidRPr="00FE5F23">
        <w:t>700 stain/FSC</w:t>
      </w:r>
      <w:r>
        <w:t>-</w:t>
      </w:r>
      <w:r w:rsidRPr="00FE5F23">
        <w:t>A and CD45</w:t>
      </w:r>
      <w:r>
        <w:t>.1</w:t>
      </w:r>
      <w:r w:rsidRPr="00FE5F23">
        <w:t>/FSC</w:t>
      </w:r>
      <w:r>
        <w:t>-</w:t>
      </w:r>
      <w:r w:rsidRPr="00FE5F23">
        <w:t xml:space="preserve">A in mononuclear cells isolated from the bone marrow of mice treated with vehicle (Control, upper panel) or chemotherapy (Treated, lower panel). </w:t>
      </w:r>
      <w:r>
        <w:rPr>
          <w:b/>
        </w:rPr>
        <w:t>b.</w:t>
      </w:r>
      <w:r w:rsidRPr="00FE5F23">
        <w:rPr>
          <w:b/>
        </w:rPr>
        <w:t xml:space="preserve"> </w:t>
      </w:r>
      <w:r w:rsidRPr="00FE5F23">
        <w:t xml:space="preserve">The effect of chemotherapy on p4E-BP, pS6, TMRE or </w:t>
      </w:r>
      <w:proofErr w:type="spellStart"/>
      <w:r w:rsidRPr="00FE5F23">
        <w:t>Mitosox</w:t>
      </w:r>
      <w:proofErr w:type="spellEnd"/>
      <w:r w:rsidRPr="00FE5F23">
        <w:t xml:space="preserve"> staining was assessed in </w:t>
      </w:r>
      <w:r>
        <w:t>live AML cells</w:t>
      </w:r>
      <w:r w:rsidRPr="00FE5F23">
        <w:t>.</w:t>
      </w:r>
    </w:p>
    <w:p w14:paraId="75E3F02D" w14:textId="77777777" w:rsidR="00384246" w:rsidRPr="00FE5F23" w:rsidRDefault="00384246" w:rsidP="00384246">
      <w:pPr>
        <w:spacing w:line="480" w:lineRule="auto"/>
        <w:ind w:right="29"/>
        <w:jc w:val="both"/>
        <w:rPr>
          <w:b/>
        </w:rPr>
      </w:pPr>
      <w:r w:rsidRPr="00FE5F23">
        <w:rPr>
          <w:b/>
        </w:rPr>
        <w:t>Supplementary Figure 2</w:t>
      </w:r>
    </w:p>
    <w:p w14:paraId="4481E290" w14:textId="77777777" w:rsidR="00384246" w:rsidRPr="00FE5F23" w:rsidRDefault="00384246" w:rsidP="00384246">
      <w:pPr>
        <w:spacing w:line="480" w:lineRule="auto"/>
        <w:ind w:right="29"/>
        <w:jc w:val="both"/>
        <w:rPr>
          <w:bCs/>
          <w:color w:val="000000"/>
          <w:shd w:val="clear" w:color="auto" w:fill="FFFFFF"/>
        </w:rPr>
      </w:pPr>
      <w:r w:rsidRPr="00FE5F23">
        <w:rPr>
          <w:bCs/>
          <w:color w:val="000000"/>
          <w:shd w:val="clear" w:color="auto" w:fill="FFFFFF"/>
        </w:rPr>
        <w:t xml:space="preserve">MOLM-14 cells were treated with DMSO, 250 </w:t>
      </w:r>
      <w:proofErr w:type="spellStart"/>
      <w:r w:rsidRPr="00FE5F23">
        <w:rPr>
          <w:bCs/>
          <w:color w:val="000000"/>
          <w:shd w:val="clear" w:color="auto" w:fill="FFFFFF"/>
        </w:rPr>
        <w:t>nM</w:t>
      </w:r>
      <w:proofErr w:type="spellEnd"/>
      <w:r w:rsidRPr="00FE5F23">
        <w:rPr>
          <w:bCs/>
          <w:color w:val="000000"/>
          <w:shd w:val="clear" w:color="auto" w:fill="FFFFFF"/>
        </w:rPr>
        <w:t xml:space="preserve"> </w:t>
      </w:r>
      <w:proofErr w:type="spellStart"/>
      <w:r w:rsidRPr="00FE5F23">
        <w:rPr>
          <w:bCs/>
          <w:color w:val="000000"/>
          <w:shd w:val="clear" w:color="auto" w:fill="FFFFFF"/>
        </w:rPr>
        <w:t>araC</w:t>
      </w:r>
      <w:proofErr w:type="spellEnd"/>
      <w:r w:rsidRPr="00FE5F23">
        <w:rPr>
          <w:bCs/>
          <w:color w:val="000000"/>
          <w:shd w:val="clear" w:color="auto" w:fill="FFFFFF"/>
        </w:rPr>
        <w:t xml:space="preserve"> for 48 hours</w:t>
      </w:r>
      <w:r>
        <w:rPr>
          <w:bCs/>
          <w:color w:val="000000"/>
          <w:shd w:val="clear" w:color="auto" w:fill="FFFFFF"/>
        </w:rPr>
        <w:t>,</w:t>
      </w:r>
      <w:r w:rsidRPr="00FE5F23">
        <w:rPr>
          <w:bCs/>
          <w:color w:val="000000"/>
          <w:shd w:val="clear" w:color="auto" w:fill="FFFFFF"/>
        </w:rPr>
        <w:t xml:space="preserve"> and/or 2.5 </w:t>
      </w:r>
      <w:proofErr w:type="spellStart"/>
      <w:r w:rsidRPr="00FE5F23">
        <w:rPr>
          <w:bCs/>
          <w:color w:val="000000"/>
          <w:shd w:val="clear" w:color="auto" w:fill="FFFFFF"/>
        </w:rPr>
        <w:t>nM</w:t>
      </w:r>
      <w:proofErr w:type="spellEnd"/>
      <w:r w:rsidRPr="00FE5F23">
        <w:rPr>
          <w:bCs/>
          <w:color w:val="000000"/>
          <w:shd w:val="clear" w:color="auto" w:fill="FFFFFF"/>
        </w:rPr>
        <w:t xml:space="preserve"> CR-1-31-B for 24 hours. Oxygen consumption</w:t>
      </w:r>
      <w:r w:rsidRPr="00FE5F23">
        <w:rPr>
          <w:b/>
          <w:bCs/>
          <w:color w:val="000000"/>
          <w:shd w:val="clear" w:color="auto" w:fill="FFFFFF"/>
        </w:rPr>
        <w:t xml:space="preserve"> (OCR) </w:t>
      </w:r>
      <w:r w:rsidRPr="00FE5F23">
        <w:rPr>
          <w:bCs/>
          <w:color w:val="000000"/>
          <w:shd w:val="clear" w:color="auto" w:fill="FFFFFF"/>
        </w:rPr>
        <w:t>and extracellular acidification rate (</w:t>
      </w:r>
      <w:r w:rsidRPr="00FE5F23">
        <w:rPr>
          <w:b/>
          <w:bCs/>
          <w:color w:val="000000"/>
          <w:shd w:val="clear" w:color="auto" w:fill="FFFFFF"/>
        </w:rPr>
        <w:t>ECAR</w:t>
      </w:r>
      <w:r w:rsidRPr="00FE5F23">
        <w:rPr>
          <w:bCs/>
          <w:color w:val="000000"/>
          <w:shd w:val="clear" w:color="auto" w:fill="FFFFFF"/>
        </w:rPr>
        <w:t>) measurements are shown in</w:t>
      </w:r>
      <w:r w:rsidRPr="00FE5F23">
        <w:rPr>
          <w:b/>
          <w:bCs/>
          <w:color w:val="000000"/>
          <w:shd w:val="clear" w:color="auto" w:fill="FFFFFF"/>
        </w:rPr>
        <w:t xml:space="preserve"> a</w:t>
      </w:r>
      <w:r w:rsidRPr="00FE5F23">
        <w:rPr>
          <w:bCs/>
          <w:color w:val="000000"/>
          <w:shd w:val="clear" w:color="auto" w:fill="FFFFFF"/>
        </w:rPr>
        <w:t xml:space="preserve"> and </w:t>
      </w:r>
      <w:r w:rsidRPr="00FE5F23">
        <w:rPr>
          <w:b/>
          <w:bCs/>
          <w:color w:val="000000"/>
          <w:shd w:val="clear" w:color="auto" w:fill="FFFFFF"/>
        </w:rPr>
        <w:t>b</w:t>
      </w:r>
      <w:r>
        <w:rPr>
          <w:color w:val="000000"/>
          <w:shd w:val="clear" w:color="auto" w:fill="FFFFFF"/>
        </w:rPr>
        <w:t>,</w:t>
      </w:r>
      <w:r w:rsidRPr="00FE5F23">
        <w:rPr>
          <w:bCs/>
          <w:color w:val="000000"/>
          <w:shd w:val="clear" w:color="auto" w:fill="FFFFFF"/>
        </w:rPr>
        <w:t xml:space="preserve"> respectively</w:t>
      </w:r>
      <w:r>
        <w:rPr>
          <w:bCs/>
          <w:color w:val="000000"/>
          <w:shd w:val="clear" w:color="auto" w:fill="FFFFFF"/>
        </w:rPr>
        <w:t>,</w:t>
      </w:r>
      <w:r w:rsidRPr="00FE5F23">
        <w:rPr>
          <w:bCs/>
          <w:color w:val="000000"/>
          <w:shd w:val="clear" w:color="auto" w:fill="FFFFFF"/>
        </w:rPr>
        <w:t xml:space="preserve"> and were conducted in an XFe96 Seahorse extracellular flux analyzer and normalized to cell counts in the presence of different stressors. Oligomycin is </w:t>
      </w:r>
      <w:r>
        <w:rPr>
          <w:bCs/>
          <w:color w:val="000000"/>
          <w:shd w:val="clear" w:color="auto" w:fill="FFFFFF"/>
        </w:rPr>
        <w:t xml:space="preserve">an </w:t>
      </w:r>
      <w:r w:rsidRPr="00FE5F23">
        <w:rPr>
          <w:bCs/>
          <w:color w:val="000000"/>
          <w:shd w:val="clear" w:color="auto" w:fill="FFFFFF"/>
        </w:rPr>
        <w:t>inhibitor of mitochondrial complex V (ATP synthase), FCCP is an uncoupler that dissipates mitochondrial proton gradient, Rotenone and Antim</w:t>
      </w:r>
      <w:r>
        <w:rPr>
          <w:bCs/>
          <w:color w:val="000000"/>
          <w:shd w:val="clear" w:color="auto" w:fill="FFFFFF"/>
        </w:rPr>
        <w:t>y</w:t>
      </w:r>
      <w:r w:rsidRPr="00FE5F23">
        <w:rPr>
          <w:bCs/>
          <w:color w:val="000000"/>
          <w:shd w:val="clear" w:color="auto" w:fill="FFFFFF"/>
        </w:rPr>
        <w:t>c</w:t>
      </w:r>
      <w:r>
        <w:rPr>
          <w:bCs/>
          <w:color w:val="000000"/>
          <w:shd w:val="clear" w:color="auto" w:fill="FFFFFF"/>
        </w:rPr>
        <w:t>i</w:t>
      </w:r>
      <w:r w:rsidRPr="00FE5F23">
        <w:rPr>
          <w:bCs/>
          <w:color w:val="000000"/>
          <w:shd w:val="clear" w:color="auto" w:fill="FFFFFF"/>
        </w:rPr>
        <w:t xml:space="preserve">n </w:t>
      </w:r>
      <w:r>
        <w:rPr>
          <w:bCs/>
          <w:color w:val="000000"/>
          <w:shd w:val="clear" w:color="auto" w:fill="FFFFFF"/>
        </w:rPr>
        <w:t>a</w:t>
      </w:r>
      <w:r w:rsidRPr="00FE5F23">
        <w:rPr>
          <w:bCs/>
          <w:color w:val="000000"/>
          <w:shd w:val="clear" w:color="auto" w:fill="FFFFFF"/>
        </w:rPr>
        <w:t xml:space="preserve"> (Aa) are inhibitors of Complex I and II</w:t>
      </w:r>
      <w:r>
        <w:rPr>
          <w:bCs/>
          <w:color w:val="000000"/>
          <w:shd w:val="clear" w:color="auto" w:fill="FFFFFF"/>
        </w:rPr>
        <w:t>,</w:t>
      </w:r>
      <w:r w:rsidRPr="00FE5F23">
        <w:rPr>
          <w:bCs/>
          <w:color w:val="000000"/>
          <w:shd w:val="clear" w:color="auto" w:fill="FFFFFF"/>
        </w:rPr>
        <w:t xml:space="preserve"> respectively; 2DG is a glucose analogue that inhibits the first step of glycolysis. OCR and ECAR rates were utilized to calculate </w:t>
      </w:r>
      <w:r w:rsidRPr="00FE5F23">
        <w:rPr>
          <w:b/>
          <w:bCs/>
          <w:color w:val="000000"/>
          <w:shd w:val="clear" w:color="auto" w:fill="FFFFFF"/>
        </w:rPr>
        <w:t>c</w:t>
      </w:r>
      <w:r w:rsidRPr="00FE5F23">
        <w:rPr>
          <w:bCs/>
          <w:color w:val="000000"/>
          <w:shd w:val="clear" w:color="auto" w:fill="FFFFFF"/>
        </w:rPr>
        <w:t xml:space="preserve"> oxidative phosphorylation, </w:t>
      </w:r>
      <w:r w:rsidRPr="00FE5F23">
        <w:rPr>
          <w:b/>
          <w:bCs/>
          <w:color w:val="000000"/>
          <w:shd w:val="clear" w:color="auto" w:fill="FFFFFF"/>
        </w:rPr>
        <w:t>d</w:t>
      </w:r>
      <w:r>
        <w:rPr>
          <w:bCs/>
          <w:color w:val="000000"/>
          <w:shd w:val="clear" w:color="auto" w:fill="FFFFFF"/>
        </w:rPr>
        <w:t xml:space="preserve"> </w:t>
      </w:r>
      <w:r w:rsidRPr="00FE5F23">
        <w:rPr>
          <w:bCs/>
          <w:color w:val="000000"/>
          <w:shd w:val="clear" w:color="auto" w:fill="FFFFFF"/>
        </w:rPr>
        <w:t>glycolytic parameters</w:t>
      </w:r>
      <w:r>
        <w:rPr>
          <w:bCs/>
          <w:color w:val="000000"/>
          <w:shd w:val="clear" w:color="auto" w:fill="FFFFFF"/>
        </w:rPr>
        <w:t>,</w:t>
      </w:r>
      <w:r w:rsidRPr="00FE5F23">
        <w:rPr>
          <w:bCs/>
          <w:color w:val="000000"/>
          <w:shd w:val="clear" w:color="auto" w:fill="FFFFFF"/>
        </w:rPr>
        <w:t xml:space="preserve"> and </w:t>
      </w:r>
      <w:r w:rsidRPr="00FE5F23">
        <w:rPr>
          <w:b/>
          <w:bCs/>
          <w:color w:val="000000"/>
          <w:shd w:val="clear" w:color="auto" w:fill="FFFFFF"/>
        </w:rPr>
        <w:t>e</w:t>
      </w:r>
      <w:r w:rsidRPr="00FE5F23">
        <w:rPr>
          <w:bCs/>
          <w:color w:val="000000"/>
          <w:shd w:val="clear" w:color="auto" w:fill="FFFFFF"/>
        </w:rPr>
        <w:t xml:space="preserve"> to estimate the contribution of </w:t>
      </w:r>
      <w:proofErr w:type="spellStart"/>
      <w:r w:rsidRPr="00FE5F23">
        <w:rPr>
          <w:bCs/>
          <w:color w:val="000000"/>
          <w:shd w:val="clear" w:color="auto" w:fill="FFFFFF"/>
        </w:rPr>
        <w:t>OxPhos</w:t>
      </w:r>
      <w:proofErr w:type="spellEnd"/>
      <w:r w:rsidRPr="00FE5F23">
        <w:rPr>
          <w:bCs/>
          <w:color w:val="000000"/>
          <w:shd w:val="clear" w:color="auto" w:fill="FFFFFF"/>
        </w:rPr>
        <w:t xml:space="preserve"> and glycoly</w:t>
      </w:r>
      <w:r>
        <w:rPr>
          <w:bCs/>
          <w:color w:val="000000"/>
          <w:shd w:val="clear" w:color="auto" w:fill="FFFFFF"/>
        </w:rPr>
        <w:t>sis</w:t>
      </w:r>
      <w:r w:rsidRPr="00FE5F23">
        <w:rPr>
          <w:bCs/>
          <w:color w:val="000000"/>
          <w:shd w:val="clear" w:color="auto" w:fill="FFFFFF"/>
        </w:rPr>
        <w:t xml:space="preserve"> to ATP production. The results represent 4 independent experiments and SEM; ns indicates p&gt;0.05 and *** p&lt;0.05.</w:t>
      </w:r>
    </w:p>
    <w:p w14:paraId="45DD7DA9" w14:textId="77777777" w:rsidR="00384246" w:rsidRPr="00FE5F23" w:rsidRDefault="00384246" w:rsidP="00384246">
      <w:pPr>
        <w:spacing w:line="480" w:lineRule="auto"/>
        <w:rPr>
          <w:b/>
        </w:rPr>
      </w:pPr>
      <w:r w:rsidRPr="00FE5F23">
        <w:rPr>
          <w:b/>
        </w:rPr>
        <w:t xml:space="preserve">Supplementary Figure 3 </w:t>
      </w:r>
    </w:p>
    <w:p w14:paraId="5D2AA3F2" w14:textId="77777777" w:rsidR="00384246" w:rsidRPr="00FE5F23" w:rsidRDefault="00384246" w:rsidP="00384246">
      <w:pPr>
        <w:spacing w:line="480" w:lineRule="auto"/>
        <w:rPr>
          <w:b/>
        </w:rPr>
      </w:pPr>
      <w:r>
        <w:rPr>
          <w:b/>
        </w:rPr>
        <w:t>a</w:t>
      </w:r>
      <w:r w:rsidRPr="00FE5F23">
        <w:rPr>
          <w:b/>
        </w:rPr>
        <w:t xml:space="preserve"> </w:t>
      </w:r>
      <w:r w:rsidRPr="004C5BC9">
        <w:rPr>
          <w:bCs/>
        </w:rPr>
        <w:t>BM cells</w:t>
      </w:r>
      <w:r w:rsidRPr="00FE5F23">
        <w:rPr>
          <w:b/>
        </w:rPr>
        <w:t xml:space="preserve"> </w:t>
      </w:r>
      <w:r w:rsidRPr="00FE5F23">
        <w:t xml:space="preserve">from vehicle (control, black bars) or CR-1-31-B treated mice (0.20 mg/kg </w:t>
      </w:r>
      <w:proofErr w:type="spellStart"/>
      <w:r w:rsidRPr="00FE5F23">
        <w:t>i.p.</w:t>
      </w:r>
      <w:proofErr w:type="spellEnd"/>
      <w:r w:rsidRPr="00FE5F23">
        <w:t xml:space="preserve"> daily for 7 days, red bars) were stained with acridine orange/propidium iodide</w:t>
      </w:r>
      <w:r w:rsidRPr="00FE5F23">
        <w:rPr>
          <w:b/>
        </w:rPr>
        <w:t xml:space="preserve">. </w:t>
      </w:r>
      <w:r w:rsidRPr="00FE5F23">
        <w:t xml:space="preserve">The bars represent mean absolute cell numbers and SEM, </w:t>
      </w:r>
      <w:r w:rsidRPr="00FE5F23">
        <w:rPr>
          <w:bCs/>
          <w:color w:val="000000"/>
          <w:shd w:val="clear" w:color="auto" w:fill="FFFFFF"/>
        </w:rPr>
        <w:t>ns indicates p&gt;0.05</w:t>
      </w:r>
      <w:r>
        <w:rPr>
          <w:bCs/>
          <w:color w:val="000000"/>
          <w:shd w:val="clear" w:color="auto" w:fill="FFFFFF"/>
        </w:rPr>
        <w:t>.</w:t>
      </w:r>
    </w:p>
    <w:p w14:paraId="47E055CD" w14:textId="77777777" w:rsidR="00384246" w:rsidRPr="00FE5F23" w:rsidRDefault="00384246" w:rsidP="00384246">
      <w:pPr>
        <w:spacing w:line="480" w:lineRule="auto"/>
        <w:rPr>
          <w:b/>
        </w:rPr>
      </w:pPr>
      <w:r>
        <w:rPr>
          <w:b/>
        </w:rPr>
        <w:t>b</w:t>
      </w:r>
      <w:r w:rsidRPr="00FE5F23">
        <w:rPr>
          <w:b/>
        </w:rPr>
        <w:t xml:space="preserve"> </w:t>
      </w:r>
      <w:r w:rsidRPr="00FE5F23">
        <w:t>Gating strategy for the evaluation of hematopoietic lineages for B cell</w:t>
      </w:r>
      <w:r>
        <w:t>s</w:t>
      </w:r>
      <w:r w:rsidRPr="00FE5F23">
        <w:t xml:space="preserve"> (B220+), helper T cells (CD4</w:t>
      </w:r>
      <w:r w:rsidRPr="00FE5F23">
        <w:rPr>
          <w:vertAlign w:val="superscript"/>
        </w:rPr>
        <w:t>+</w:t>
      </w:r>
      <w:r w:rsidRPr="00FE5F23">
        <w:t>), cytotoxic T cells (CD8</w:t>
      </w:r>
      <w:r w:rsidRPr="00FE5F23">
        <w:rPr>
          <w:vertAlign w:val="superscript"/>
        </w:rPr>
        <w:t>+</w:t>
      </w:r>
      <w:r w:rsidRPr="00FE5F23">
        <w:t xml:space="preserve">) and myeloid cells (CD11b+ GR-1+). </w:t>
      </w:r>
    </w:p>
    <w:p w14:paraId="04487FFB" w14:textId="77777777" w:rsidR="00384246" w:rsidRDefault="00384246" w:rsidP="00384246">
      <w:pPr>
        <w:spacing w:line="480" w:lineRule="auto"/>
      </w:pPr>
      <w:proofErr w:type="gramStart"/>
      <w:r w:rsidRPr="00FE5F23">
        <w:rPr>
          <w:b/>
        </w:rPr>
        <w:lastRenderedPageBreak/>
        <w:t xml:space="preserve">c </w:t>
      </w:r>
      <w:r w:rsidRPr="00FE5F23">
        <w:t xml:space="preserve"> Gating</w:t>
      </w:r>
      <w:proofErr w:type="gramEnd"/>
      <w:r w:rsidRPr="00FE5F23">
        <w:t xml:space="preserve"> </w:t>
      </w:r>
      <w:r>
        <w:t>strategy</w:t>
      </w:r>
      <w:r w:rsidRPr="00FE5F23">
        <w:t xml:space="preserve"> for hematopoietic stem and progenitor cells (HSPC) in viable</w:t>
      </w:r>
      <w:r>
        <w:t>,</w:t>
      </w:r>
      <w:r w:rsidRPr="00FE5F23">
        <w:t xml:space="preserve"> lineage</w:t>
      </w:r>
      <w:r>
        <w:t>-</w:t>
      </w:r>
      <w:r w:rsidRPr="00FE5F23">
        <w:t>negative (Lin</w:t>
      </w:r>
      <w:r w:rsidRPr="00FE5F23">
        <w:rPr>
          <w:vertAlign w:val="superscript"/>
        </w:rPr>
        <w:t>-</w:t>
      </w:r>
      <w:r w:rsidRPr="00FE5F23">
        <w:t>)</w:t>
      </w:r>
      <w:r>
        <w:t xml:space="preserve"> cells:</w:t>
      </w:r>
      <w:r w:rsidRPr="00FE5F23">
        <w:t xml:space="preserve"> Sca-1</w:t>
      </w:r>
      <w:r w:rsidRPr="00FE5F23">
        <w:rPr>
          <w:vertAlign w:val="superscript"/>
        </w:rPr>
        <w:t>+</w:t>
      </w:r>
      <w:r w:rsidRPr="00FE5F23">
        <w:t xml:space="preserve"> and c-kit</w:t>
      </w:r>
      <w:r w:rsidRPr="00FE5F23">
        <w:rPr>
          <w:vertAlign w:val="superscript"/>
        </w:rPr>
        <w:t xml:space="preserve">+ </w:t>
      </w:r>
      <w:r w:rsidRPr="00FE5F23">
        <w:t>cells (LSK cells) , granulocyte-macrophage progenitors (GMPs, CD16/32</w:t>
      </w:r>
      <w:r w:rsidRPr="00FE5F23">
        <w:rPr>
          <w:vertAlign w:val="superscript"/>
        </w:rPr>
        <w:t>+</w:t>
      </w:r>
      <w:r w:rsidRPr="00FE5F23">
        <w:t>CD34</w:t>
      </w:r>
      <w:r w:rsidRPr="00FE5F23">
        <w:rPr>
          <w:vertAlign w:val="superscript"/>
        </w:rPr>
        <w:t>+</w:t>
      </w:r>
      <w:r w:rsidRPr="00FE5F23">
        <w:t>L</w:t>
      </w:r>
      <w:r>
        <w:t>in</w:t>
      </w:r>
      <w:r w:rsidRPr="00FD0217">
        <w:rPr>
          <w:vertAlign w:val="superscript"/>
        </w:rPr>
        <w:t>-</w:t>
      </w:r>
      <w:r w:rsidRPr="00FE5F23">
        <w:t>Sca-1</w:t>
      </w:r>
      <w:r>
        <w:rPr>
          <w:vertAlign w:val="superscript"/>
        </w:rPr>
        <w:t>-</w:t>
      </w:r>
      <w:r w:rsidRPr="00FE5F23">
        <w:t>c-kit</w:t>
      </w:r>
      <w:r w:rsidRPr="00FE5F23">
        <w:rPr>
          <w:vertAlign w:val="superscript"/>
        </w:rPr>
        <w:t>+</w:t>
      </w:r>
      <w:r w:rsidRPr="00FE5F23">
        <w:t>), common lymphoid progenitor (CLPs, CD127</w:t>
      </w:r>
      <w:r w:rsidRPr="00FE5F23">
        <w:rPr>
          <w:vertAlign w:val="superscript"/>
        </w:rPr>
        <w:t>+</w:t>
      </w:r>
      <w:r w:rsidRPr="00FE5F23">
        <w:t xml:space="preserve">/LSK cells).  Lymphoid myeloid progenitors (LMPPs) and HSPC were discriminated by differential expression </w:t>
      </w:r>
      <w:r>
        <w:t>of</w:t>
      </w:r>
      <w:r w:rsidRPr="00FE5F23">
        <w:t xml:space="preserve"> CD135</w:t>
      </w:r>
      <w:r>
        <w:t xml:space="preserve"> in </w:t>
      </w:r>
      <w:r w:rsidRPr="00FE5F23">
        <w:t>LSK cells</w:t>
      </w:r>
      <w:r>
        <w:t xml:space="preserve">, HSCs enriched within the HSPC gate as </w:t>
      </w:r>
      <w:r w:rsidRPr="00FE5F23">
        <w:t>CD</w:t>
      </w:r>
      <w:r>
        <w:t>48</w:t>
      </w:r>
      <w:r>
        <w:rPr>
          <w:vertAlign w:val="superscript"/>
        </w:rPr>
        <w:t>-</w:t>
      </w:r>
      <w:r w:rsidRPr="00FE5F23">
        <w:t>CD</w:t>
      </w:r>
      <w:r>
        <w:t>150</w:t>
      </w:r>
      <w:r w:rsidRPr="00FE5F23">
        <w:rPr>
          <w:vertAlign w:val="superscript"/>
        </w:rPr>
        <w:t>+</w:t>
      </w:r>
      <w:r w:rsidRPr="00FE5F23">
        <w:t xml:space="preserve"> (</w:t>
      </w:r>
      <w:r>
        <w:t>LSK</w:t>
      </w:r>
      <w:r w:rsidRPr="00FE5F23">
        <w:t xml:space="preserve"> SLAM).  </w:t>
      </w:r>
      <w:r w:rsidRPr="00FE5F23">
        <w:rPr>
          <w:b/>
        </w:rPr>
        <w:t>d</w:t>
      </w:r>
      <w:r w:rsidRPr="00FE5F23">
        <w:t xml:space="preserve"> Effect of vehicle (control, black bars) or CR-1-31-B 0.20 mg/kg </w:t>
      </w:r>
      <w:proofErr w:type="spellStart"/>
      <w:r w:rsidRPr="00FE5F23">
        <w:t>i.p.</w:t>
      </w:r>
      <w:proofErr w:type="spellEnd"/>
      <w:r w:rsidRPr="00FE5F23">
        <w:t xml:space="preserve"> daily for 7 days (red bars) in </w:t>
      </w:r>
      <w:r>
        <w:t>defined HSPC</w:t>
      </w:r>
      <w:r w:rsidRPr="00FE5F23">
        <w:t xml:space="preserve"> populations</w:t>
      </w:r>
      <w:r>
        <w:t xml:space="preserve">. </w:t>
      </w:r>
      <w:r w:rsidRPr="00FE5F23">
        <w:t>The results are expressed as absolute cell number means and SEM. Differences were assessed by t-test, ***p&lt;0.05.</w:t>
      </w:r>
    </w:p>
    <w:p w14:paraId="6C625FE0" w14:textId="77777777" w:rsidR="00384246" w:rsidRDefault="00384246" w:rsidP="00384246">
      <w:pPr>
        <w:spacing w:line="480" w:lineRule="auto"/>
      </w:pPr>
      <w:r w:rsidRPr="00FE5F23">
        <w:rPr>
          <w:b/>
        </w:rPr>
        <w:t>Suppleme</w:t>
      </w:r>
      <w:r>
        <w:rPr>
          <w:b/>
        </w:rPr>
        <w:t>ntary Figure 4</w:t>
      </w:r>
    </w:p>
    <w:p w14:paraId="15050E36" w14:textId="77777777" w:rsidR="00384246" w:rsidRPr="007C428E" w:rsidRDefault="00384246" w:rsidP="00384246">
      <w:pPr>
        <w:spacing w:line="480" w:lineRule="auto"/>
      </w:pPr>
      <w:r w:rsidRPr="007C428E">
        <w:t xml:space="preserve">Lymphocyte suspensions from bone marrow were stained with the following mouse specific antibodies: PerCP-Cy5.5-anti-B220 (RA3-6B2; BD), PE-Cy7-anti-CD43 (S7; BD), PE-anti-Ly-51(BP-1; BD), FITC-anti-CD24(M1/69; BD), BV421-anti-IgM (R6-60.2; BD) and BV605-anti-IgD (11-26c.2a; BD). Samples were acquired on </w:t>
      </w:r>
      <w:proofErr w:type="spellStart"/>
      <w:r w:rsidRPr="007C428E">
        <w:t>LSRFortessa</w:t>
      </w:r>
      <w:proofErr w:type="spellEnd"/>
      <w:r w:rsidRPr="007C428E">
        <w:t xml:space="preserve"> (BD</w:t>
      </w:r>
      <w:proofErr w:type="gramStart"/>
      <w:r w:rsidRPr="007C428E">
        <w:t>)</w:t>
      </w:r>
      <w:proofErr w:type="gramEnd"/>
      <w:r w:rsidRPr="007C428E">
        <w:t xml:space="preserve"> and data were analyzed with </w:t>
      </w:r>
      <w:proofErr w:type="spellStart"/>
      <w:r w:rsidRPr="007C428E">
        <w:t>FlowJo</w:t>
      </w:r>
      <w:proofErr w:type="spellEnd"/>
      <w:r w:rsidRPr="007C428E">
        <w:t xml:space="preserve"> software (</w:t>
      </w:r>
      <w:proofErr w:type="spellStart"/>
      <w:r w:rsidRPr="007C428E">
        <w:t>Treestar</w:t>
      </w:r>
      <w:proofErr w:type="spellEnd"/>
      <w:r w:rsidRPr="007C428E">
        <w:t>).</w:t>
      </w:r>
    </w:p>
    <w:p w14:paraId="3126EB01" w14:textId="77777777" w:rsidR="00222BE5" w:rsidRDefault="00384246"/>
    <w:sectPr w:rsidR="00222BE5" w:rsidSect="00A157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246"/>
    <w:rsid w:val="00011DC8"/>
    <w:rsid w:val="00046A94"/>
    <w:rsid w:val="00185887"/>
    <w:rsid w:val="00213369"/>
    <w:rsid w:val="00246261"/>
    <w:rsid w:val="00281DF3"/>
    <w:rsid w:val="0029215D"/>
    <w:rsid w:val="00295923"/>
    <w:rsid w:val="002A2AF3"/>
    <w:rsid w:val="002E539E"/>
    <w:rsid w:val="00323F24"/>
    <w:rsid w:val="003468CC"/>
    <w:rsid w:val="00347C11"/>
    <w:rsid w:val="003567D3"/>
    <w:rsid w:val="003600F4"/>
    <w:rsid w:val="003737EF"/>
    <w:rsid w:val="00384246"/>
    <w:rsid w:val="004E0334"/>
    <w:rsid w:val="0050121B"/>
    <w:rsid w:val="005B595B"/>
    <w:rsid w:val="005B6644"/>
    <w:rsid w:val="006354AD"/>
    <w:rsid w:val="006361EE"/>
    <w:rsid w:val="00653C68"/>
    <w:rsid w:val="00753643"/>
    <w:rsid w:val="00767053"/>
    <w:rsid w:val="009648BE"/>
    <w:rsid w:val="00975D8F"/>
    <w:rsid w:val="009A2270"/>
    <w:rsid w:val="009C33AC"/>
    <w:rsid w:val="009F2F68"/>
    <w:rsid w:val="00A12932"/>
    <w:rsid w:val="00A157D1"/>
    <w:rsid w:val="00A67B25"/>
    <w:rsid w:val="00B92DEF"/>
    <w:rsid w:val="00BB14CC"/>
    <w:rsid w:val="00BB6317"/>
    <w:rsid w:val="00C149F8"/>
    <w:rsid w:val="00C56663"/>
    <w:rsid w:val="00CE3151"/>
    <w:rsid w:val="00CE451D"/>
    <w:rsid w:val="00DB4D46"/>
    <w:rsid w:val="00DF0965"/>
    <w:rsid w:val="00E854B5"/>
    <w:rsid w:val="00EC3879"/>
    <w:rsid w:val="00ED7700"/>
    <w:rsid w:val="00F958FE"/>
    <w:rsid w:val="00FA5343"/>
    <w:rsid w:val="00FB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9062EE"/>
  <w15:chartTrackingRefBased/>
  <w15:docId w15:val="{2C65F2A7-F90F-0F41-82A6-E1A91BEF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24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Mercier, Dr</dc:creator>
  <cp:keywords/>
  <dc:description/>
  <cp:lastModifiedBy>Francois Mercier, Dr</cp:lastModifiedBy>
  <cp:revision>1</cp:revision>
  <dcterms:created xsi:type="dcterms:W3CDTF">2022-05-29T14:51:00Z</dcterms:created>
  <dcterms:modified xsi:type="dcterms:W3CDTF">2022-05-29T14:52:00Z</dcterms:modified>
</cp:coreProperties>
</file>