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AAB8E" w14:textId="3AA273CE" w:rsidR="00E9241A" w:rsidRDefault="0046554D">
      <w:pPr>
        <w:pStyle w:val="Refhead"/>
        <w:spacing w:before="0" w:after="0"/>
      </w:pPr>
      <w:r>
        <w:t xml:space="preserve">Supplementary </w:t>
      </w:r>
      <w:r w:rsidR="000A75B8">
        <w:rPr>
          <w:rFonts w:eastAsia="宋体"/>
          <w:lang w:eastAsia="zh-CN"/>
        </w:rPr>
        <w:t>I</w:t>
      </w:r>
      <w:r>
        <w:rPr>
          <w:rFonts w:eastAsia="宋体" w:hint="eastAsia"/>
          <w:lang w:eastAsia="zh-CN"/>
        </w:rPr>
        <w:t>nformation</w:t>
      </w:r>
      <w:r>
        <w:t xml:space="preserve"> </w:t>
      </w:r>
    </w:p>
    <w:p w14:paraId="42A4606B" w14:textId="77777777" w:rsidR="00E9241A" w:rsidRDefault="0046554D">
      <w:pPr>
        <w:pStyle w:val="Head"/>
        <w:spacing w:before="0" w:after="0" w:line="720" w:lineRule="auto"/>
        <w:rPr>
          <w:b w:val="0"/>
          <w:sz w:val="30"/>
          <w:szCs w:val="30"/>
        </w:rPr>
      </w:pPr>
      <w:r>
        <w:rPr>
          <w:rFonts w:hint="eastAsia"/>
          <w:sz w:val="30"/>
          <w:szCs w:val="30"/>
        </w:rPr>
        <w:t>Multimodal bubble microrobot near free liquid surface</w:t>
      </w:r>
    </w:p>
    <w:p w14:paraId="3713D00C" w14:textId="77777777" w:rsidR="00E9241A" w:rsidRDefault="0046554D">
      <w:pPr>
        <w:pStyle w:val="Teaser"/>
        <w:spacing w:before="0" w:line="360" w:lineRule="auto"/>
        <w:rPr>
          <w:sz w:val="22"/>
          <w:szCs w:val="22"/>
        </w:rPr>
      </w:pPr>
      <w:r>
        <w:rPr>
          <w:sz w:val="22"/>
          <w:szCs w:val="22"/>
        </w:rPr>
        <w:t xml:space="preserve">Leilei Wang </w:t>
      </w:r>
      <w:r>
        <w:rPr>
          <w:sz w:val="22"/>
          <w:szCs w:val="22"/>
          <w:vertAlign w:val="superscript"/>
        </w:rPr>
        <w:t>1, 2†</w:t>
      </w:r>
      <w:r>
        <w:rPr>
          <w:sz w:val="22"/>
          <w:szCs w:val="22"/>
        </w:rPr>
        <w:t xml:space="preserve">, Li Chen </w:t>
      </w:r>
      <w:r>
        <w:rPr>
          <w:sz w:val="22"/>
          <w:szCs w:val="22"/>
          <w:vertAlign w:val="superscript"/>
        </w:rPr>
        <w:t>3†</w:t>
      </w:r>
      <w:r>
        <w:rPr>
          <w:sz w:val="22"/>
          <w:szCs w:val="22"/>
        </w:rPr>
        <w:t xml:space="preserve">, Xu Zheng </w:t>
      </w:r>
      <w:r>
        <w:rPr>
          <w:sz w:val="22"/>
          <w:szCs w:val="22"/>
          <w:vertAlign w:val="superscript"/>
        </w:rPr>
        <w:t>2</w:t>
      </w:r>
      <w:r>
        <w:rPr>
          <w:rFonts w:eastAsia="宋体" w:hint="eastAsia"/>
          <w:sz w:val="22"/>
          <w:szCs w:val="22"/>
          <w:vertAlign w:val="superscript"/>
          <w:lang w:eastAsia="zh-CN"/>
        </w:rPr>
        <w:t xml:space="preserve">, </w:t>
      </w:r>
      <w:r>
        <w:rPr>
          <w:rFonts w:eastAsia="宋体"/>
          <w:sz w:val="22"/>
          <w:szCs w:val="22"/>
          <w:vertAlign w:val="superscript"/>
          <w:lang w:eastAsia="zh-CN"/>
        </w:rPr>
        <w:t>4</w:t>
      </w:r>
      <w:r>
        <w:rPr>
          <w:sz w:val="22"/>
          <w:szCs w:val="22"/>
        </w:rPr>
        <w:t>*, Zexiong Yu</w:t>
      </w:r>
      <w:r>
        <w:rPr>
          <w:rFonts w:eastAsia="宋体" w:hint="eastAsia"/>
          <w:sz w:val="22"/>
          <w:szCs w:val="22"/>
          <w:lang w:eastAsia="zh-CN"/>
        </w:rPr>
        <w:t xml:space="preserve"> </w:t>
      </w:r>
      <w:r>
        <w:rPr>
          <w:sz w:val="22"/>
          <w:szCs w:val="22"/>
          <w:vertAlign w:val="superscript"/>
        </w:rPr>
        <w:t>1</w:t>
      </w:r>
      <w:r>
        <w:rPr>
          <w:sz w:val="22"/>
          <w:szCs w:val="22"/>
        </w:rPr>
        <w:t>, Wenchao Lv</w:t>
      </w:r>
      <w:r>
        <w:rPr>
          <w:rFonts w:eastAsia="宋体" w:hint="eastAsia"/>
          <w:sz w:val="22"/>
          <w:szCs w:val="22"/>
          <w:lang w:eastAsia="zh-CN"/>
        </w:rPr>
        <w:t xml:space="preserve"> </w:t>
      </w:r>
      <w:r>
        <w:rPr>
          <w:rFonts w:eastAsia="宋体"/>
          <w:sz w:val="22"/>
          <w:szCs w:val="22"/>
          <w:vertAlign w:val="superscript"/>
          <w:lang w:eastAsia="zh-CN"/>
        </w:rPr>
        <w:t>3</w:t>
      </w:r>
      <w:r>
        <w:rPr>
          <w:sz w:val="22"/>
          <w:szCs w:val="22"/>
        </w:rPr>
        <w:t>, Minjia Sheng</w:t>
      </w:r>
      <w:r>
        <w:rPr>
          <w:rFonts w:eastAsia="宋体" w:hint="eastAsia"/>
          <w:sz w:val="22"/>
          <w:szCs w:val="22"/>
          <w:lang w:eastAsia="zh-CN"/>
        </w:rPr>
        <w:t xml:space="preserve"> </w:t>
      </w:r>
      <w:r>
        <w:rPr>
          <w:rFonts w:eastAsia="宋体" w:hint="eastAsia"/>
          <w:sz w:val="22"/>
          <w:szCs w:val="22"/>
          <w:vertAlign w:val="superscript"/>
          <w:lang w:eastAsia="zh-CN"/>
        </w:rPr>
        <w:t>3</w:t>
      </w:r>
      <w:r>
        <w:rPr>
          <w:sz w:val="22"/>
          <w:szCs w:val="22"/>
        </w:rPr>
        <w:t xml:space="preserve">, </w:t>
      </w:r>
      <w:r>
        <w:rPr>
          <w:rFonts w:eastAsia="宋体" w:hint="eastAsia"/>
          <w:sz w:val="22"/>
          <w:szCs w:val="22"/>
          <w:lang w:eastAsia="zh-CN"/>
        </w:rPr>
        <w:t xml:space="preserve">Lina Wang </w:t>
      </w:r>
      <w:r>
        <w:rPr>
          <w:rFonts w:eastAsia="宋体" w:hint="eastAsia"/>
          <w:sz w:val="22"/>
          <w:szCs w:val="22"/>
          <w:vertAlign w:val="superscript"/>
          <w:lang w:eastAsia="zh-CN"/>
        </w:rPr>
        <w:t>3</w:t>
      </w:r>
      <w:r>
        <w:rPr>
          <w:sz w:val="22"/>
          <w:szCs w:val="22"/>
        </w:rPr>
        <w:t xml:space="preserve">, Pengcheng Nie </w:t>
      </w:r>
      <w:r>
        <w:rPr>
          <w:sz w:val="22"/>
          <w:szCs w:val="22"/>
          <w:vertAlign w:val="superscript"/>
        </w:rPr>
        <w:t>2</w:t>
      </w:r>
      <w:r>
        <w:rPr>
          <w:rFonts w:eastAsia="宋体" w:hint="eastAsia"/>
          <w:sz w:val="22"/>
          <w:szCs w:val="22"/>
          <w:vertAlign w:val="superscript"/>
          <w:lang w:eastAsia="zh-CN"/>
        </w:rPr>
        <w:t xml:space="preserve">, </w:t>
      </w:r>
      <w:r>
        <w:rPr>
          <w:rFonts w:eastAsia="宋体"/>
          <w:sz w:val="22"/>
          <w:szCs w:val="22"/>
          <w:vertAlign w:val="superscript"/>
          <w:lang w:eastAsia="zh-CN"/>
        </w:rPr>
        <w:t>4</w:t>
      </w:r>
      <w:r>
        <w:rPr>
          <w:sz w:val="22"/>
          <w:szCs w:val="22"/>
        </w:rPr>
        <w:t xml:space="preserve">, Hangyu Li </w:t>
      </w:r>
      <w:r>
        <w:rPr>
          <w:sz w:val="22"/>
          <w:szCs w:val="22"/>
          <w:vertAlign w:val="superscript"/>
        </w:rPr>
        <w:t>2</w:t>
      </w:r>
      <w:r>
        <w:rPr>
          <w:rFonts w:eastAsia="宋体" w:hint="eastAsia"/>
          <w:sz w:val="22"/>
          <w:szCs w:val="22"/>
          <w:vertAlign w:val="superscript"/>
          <w:lang w:eastAsia="zh-CN"/>
        </w:rPr>
        <w:t>,</w:t>
      </w:r>
      <w:r>
        <w:rPr>
          <w:rFonts w:eastAsia="宋体"/>
          <w:sz w:val="22"/>
          <w:szCs w:val="22"/>
          <w:vertAlign w:val="superscript"/>
          <w:lang w:eastAsia="zh-CN"/>
        </w:rPr>
        <w:t xml:space="preserve"> 4</w:t>
      </w:r>
      <w:r>
        <w:rPr>
          <w:sz w:val="22"/>
          <w:szCs w:val="22"/>
        </w:rPr>
        <w:t xml:space="preserve">, Dongshi Guan </w:t>
      </w:r>
      <w:r>
        <w:rPr>
          <w:sz w:val="22"/>
          <w:szCs w:val="22"/>
          <w:vertAlign w:val="superscript"/>
        </w:rPr>
        <w:t xml:space="preserve">2, </w:t>
      </w:r>
      <w:r>
        <w:rPr>
          <w:rFonts w:eastAsia="宋体"/>
          <w:sz w:val="22"/>
          <w:szCs w:val="22"/>
          <w:vertAlign w:val="superscript"/>
          <w:lang w:eastAsia="zh-CN"/>
        </w:rPr>
        <w:t>4</w:t>
      </w:r>
      <w:r>
        <w:rPr>
          <w:rFonts w:eastAsia="宋体" w:hint="eastAsia"/>
          <w:sz w:val="22"/>
          <w:szCs w:val="22"/>
          <w:lang w:eastAsia="zh-CN"/>
        </w:rPr>
        <w:t>,</w:t>
      </w:r>
      <w:r>
        <w:rPr>
          <w:sz w:val="22"/>
          <w:szCs w:val="22"/>
        </w:rPr>
        <w:t xml:space="preserve"> Haihang Cui</w:t>
      </w:r>
      <w:r>
        <w:rPr>
          <w:sz w:val="22"/>
          <w:szCs w:val="22"/>
          <w:vertAlign w:val="superscript"/>
        </w:rPr>
        <w:t xml:space="preserve"> </w:t>
      </w:r>
      <w:r>
        <w:rPr>
          <w:rFonts w:eastAsia="宋体"/>
          <w:sz w:val="22"/>
          <w:szCs w:val="22"/>
          <w:vertAlign w:val="superscript"/>
          <w:lang w:eastAsia="zh-CN"/>
        </w:rPr>
        <w:t>3</w:t>
      </w:r>
      <w:r>
        <w:rPr>
          <w:sz w:val="22"/>
          <w:szCs w:val="22"/>
        </w:rPr>
        <w:t>*</w:t>
      </w:r>
    </w:p>
    <w:p w14:paraId="0E213AC6" w14:textId="77777777" w:rsidR="00E9241A" w:rsidRDefault="0046554D">
      <w:pPr>
        <w:pStyle w:val="Paragraph"/>
        <w:spacing w:before="0" w:line="276" w:lineRule="auto"/>
        <w:ind w:firstLine="0"/>
        <w:jc w:val="both"/>
        <w:rPr>
          <w:sz w:val="21"/>
          <w:szCs w:val="21"/>
        </w:rPr>
      </w:pPr>
      <w:r>
        <w:rPr>
          <w:sz w:val="21"/>
          <w:szCs w:val="21"/>
          <w:vertAlign w:val="superscript"/>
        </w:rPr>
        <w:t>1</w:t>
      </w:r>
      <w:r>
        <w:rPr>
          <w:sz w:val="21"/>
          <w:szCs w:val="21"/>
        </w:rPr>
        <w:t xml:space="preserve"> School of Environmental and Municipal Engineering, Xi’an University of Architecture and Technology, Xi’an, 710055, China.</w:t>
      </w:r>
    </w:p>
    <w:p w14:paraId="2BD86C50" w14:textId="77777777" w:rsidR="00E9241A" w:rsidRDefault="0046554D">
      <w:pPr>
        <w:pStyle w:val="Paragraph"/>
        <w:spacing w:before="0" w:line="276" w:lineRule="auto"/>
        <w:ind w:firstLine="0"/>
        <w:jc w:val="both"/>
        <w:rPr>
          <w:sz w:val="21"/>
          <w:szCs w:val="21"/>
        </w:rPr>
      </w:pPr>
      <w:r>
        <w:rPr>
          <w:sz w:val="21"/>
          <w:szCs w:val="21"/>
          <w:vertAlign w:val="superscript"/>
        </w:rPr>
        <w:t>2</w:t>
      </w:r>
      <w:r>
        <w:rPr>
          <w:sz w:val="21"/>
          <w:szCs w:val="21"/>
        </w:rPr>
        <w:t xml:space="preserve"> State Key Laboratory of Nonlinear Mechanics, Institute of Mechanics, Chinese Academy of Science, Beijing, 100190, </w:t>
      </w:r>
      <w:r>
        <w:rPr>
          <w:sz w:val="21"/>
          <w:szCs w:val="21"/>
        </w:rPr>
        <w:t>China.</w:t>
      </w:r>
    </w:p>
    <w:p w14:paraId="28BFFD40" w14:textId="77777777" w:rsidR="00E9241A" w:rsidRDefault="0046554D">
      <w:pPr>
        <w:pStyle w:val="Paragraph"/>
        <w:spacing w:before="0" w:line="276" w:lineRule="auto"/>
        <w:ind w:firstLine="0"/>
        <w:jc w:val="both"/>
        <w:rPr>
          <w:sz w:val="21"/>
          <w:szCs w:val="21"/>
        </w:rPr>
      </w:pPr>
      <w:r>
        <w:rPr>
          <w:rFonts w:eastAsia="宋体"/>
          <w:sz w:val="21"/>
          <w:szCs w:val="21"/>
          <w:vertAlign w:val="superscript"/>
          <w:lang w:eastAsia="zh-CN"/>
        </w:rPr>
        <w:t>3</w:t>
      </w:r>
      <w:r>
        <w:rPr>
          <w:sz w:val="21"/>
          <w:szCs w:val="21"/>
        </w:rPr>
        <w:t xml:space="preserve"> </w:t>
      </w:r>
      <w:bookmarkStart w:id="0" w:name="OLE_LINK5"/>
      <w:r>
        <w:rPr>
          <w:sz w:val="21"/>
          <w:szCs w:val="21"/>
        </w:rPr>
        <w:t>School of Building Services Science and Engineering</w:t>
      </w:r>
      <w:bookmarkEnd w:id="0"/>
      <w:r>
        <w:rPr>
          <w:sz w:val="21"/>
          <w:szCs w:val="21"/>
        </w:rPr>
        <w:t>, Xi’an University of Architecture and Technology, Xi’an, 710055, China.</w:t>
      </w:r>
    </w:p>
    <w:p w14:paraId="68633EF6" w14:textId="77777777" w:rsidR="00E9241A" w:rsidRDefault="0046554D">
      <w:pPr>
        <w:pStyle w:val="Paragraph"/>
        <w:spacing w:before="0" w:line="276" w:lineRule="auto"/>
        <w:ind w:firstLine="0"/>
        <w:jc w:val="both"/>
        <w:rPr>
          <w:sz w:val="21"/>
          <w:szCs w:val="21"/>
        </w:rPr>
      </w:pPr>
      <w:r>
        <w:rPr>
          <w:rFonts w:eastAsia="宋体"/>
          <w:sz w:val="21"/>
          <w:szCs w:val="21"/>
          <w:vertAlign w:val="superscript"/>
          <w:lang w:eastAsia="zh-CN"/>
        </w:rPr>
        <w:t>4</w:t>
      </w:r>
      <w:r>
        <w:rPr>
          <w:rFonts w:hint="eastAsia"/>
          <w:sz w:val="21"/>
          <w:szCs w:val="21"/>
        </w:rPr>
        <w:t xml:space="preserve"> School of Engineering Science, University of Chinese Academy of Sciences, Beijing 100049, China.</w:t>
      </w:r>
    </w:p>
    <w:p w14:paraId="427364D8" w14:textId="77777777" w:rsidR="00E9241A" w:rsidRDefault="0046554D">
      <w:pPr>
        <w:pStyle w:val="AbstractSummary"/>
        <w:spacing w:before="0" w:line="276" w:lineRule="auto"/>
        <w:jc w:val="both"/>
        <w:rPr>
          <w:sz w:val="21"/>
          <w:szCs w:val="21"/>
        </w:rPr>
      </w:pPr>
      <w:r>
        <w:rPr>
          <w:sz w:val="21"/>
          <w:szCs w:val="21"/>
        </w:rPr>
        <w:t>*Corresponding author: E</w:t>
      </w:r>
      <w:r>
        <w:rPr>
          <w:sz w:val="21"/>
          <w:szCs w:val="21"/>
        </w:rPr>
        <w:t>mail: zhengxu@lnm.imech.ac.cn</w:t>
      </w:r>
      <w:r>
        <w:rPr>
          <w:rFonts w:eastAsia="宋体" w:hint="eastAsia"/>
          <w:sz w:val="21"/>
          <w:szCs w:val="21"/>
          <w:lang w:eastAsia="zh-CN"/>
        </w:rPr>
        <w:t>;</w:t>
      </w:r>
      <w:r>
        <w:rPr>
          <w:rFonts w:eastAsia="宋体"/>
          <w:sz w:val="21"/>
          <w:szCs w:val="21"/>
          <w:lang w:eastAsia="zh-CN"/>
        </w:rPr>
        <w:t xml:space="preserve"> </w:t>
      </w:r>
      <w:r>
        <w:rPr>
          <w:rFonts w:eastAsia="宋体" w:hint="eastAsia"/>
          <w:sz w:val="21"/>
          <w:szCs w:val="21"/>
          <w:lang w:eastAsia="zh-CN"/>
        </w:rPr>
        <w:t>cuihaihang@xauat.edu.cn.</w:t>
      </w:r>
    </w:p>
    <w:p w14:paraId="5FF08783" w14:textId="77777777" w:rsidR="00E9241A" w:rsidRDefault="00E9241A">
      <w:pPr>
        <w:pStyle w:val="AbstractSummary"/>
        <w:spacing w:line="360" w:lineRule="auto"/>
      </w:pPr>
    </w:p>
    <w:p w14:paraId="298B8CA6" w14:textId="1284655F" w:rsidR="00E9241A" w:rsidRDefault="00380D7A">
      <w:pPr>
        <w:pStyle w:val="2"/>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Note</w:t>
      </w:r>
      <w:r w:rsidR="0046554D">
        <w:rPr>
          <w:rFonts w:ascii="Times New Roman" w:eastAsia="宋体" w:hAnsi="Times New Roman" w:cs="Times New Roman" w:hint="eastAsia"/>
          <w:sz w:val="24"/>
          <w:szCs w:val="24"/>
        </w:rPr>
        <w:t xml:space="preserve"> S1. </w:t>
      </w:r>
      <w:r w:rsidR="0046554D">
        <w:rPr>
          <w:rFonts w:ascii="Times New Roman" w:eastAsia="宋体" w:hAnsi="Times New Roman" w:cs="Times New Roman"/>
          <w:sz w:val="24"/>
          <w:szCs w:val="24"/>
        </w:rPr>
        <w:t>Characterizing the Janus Microsphere</w:t>
      </w:r>
    </w:p>
    <w:p w14:paraId="699F90E6" w14:textId="77777777" w:rsidR="00E9241A" w:rsidRDefault="0046554D">
      <w:pPr>
        <w:tabs>
          <w:tab w:val="left" w:pos="1890"/>
        </w:tabs>
        <w:spacing w:line="360" w:lineRule="auto"/>
        <w:jc w:val="center"/>
        <w:rPr>
          <w:rFonts w:ascii="Times New Roman" w:hAnsi="Times New Roman" w:cs="Times New Roman"/>
        </w:rPr>
      </w:pPr>
      <w:r>
        <w:rPr>
          <w:noProof/>
        </w:rPr>
        <w:drawing>
          <wp:inline distT="0" distB="0" distL="0" distR="0" wp14:anchorId="084457B7" wp14:editId="40E5CB4A">
            <wp:extent cx="4897120" cy="25761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900867" cy="2578472"/>
                    </a:xfrm>
                    <a:prstGeom prst="rect">
                      <a:avLst/>
                    </a:prstGeom>
                    <a:noFill/>
                    <a:ln>
                      <a:noFill/>
                    </a:ln>
                  </pic:spPr>
                </pic:pic>
              </a:graphicData>
            </a:graphic>
          </wp:inline>
        </w:drawing>
      </w:r>
    </w:p>
    <w:p w14:paraId="2986A42B" w14:textId="77777777" w:rsidR="00E9241A" w:rsidRDefault="0046554D">
      <w:pPr>
        <w:pStyle w:val="AbstractSummary"/>
        <w:spacing w:line="360" w:lineRule="auto"/>
        <w:jc w:val="both"/>
      </w:pPr>
      <w:r>
        <w:rPr>
          <w:rFonts w:eastAsia="宋体"/>
          <w:b/>
          <w:szCs w:val="21"/>
        </w:rPr>
        <w:t>Fig</w:t>
      </w:r>
      <w:r>
        <w:rPr>
          <w:rFonts w:eastAsia="宋体" w:hint="eastAsia"/>
          <w:b/>
          <w:szCs w:val="21"/>
          <w:lang w:eastAsia="zh-CN"/>
        </w:rPr>
        <w:t>. S1.</w:t>
      </w:r>
      <w:r>
        <w:rPr>
          <w:rFonts w:ascii="宋体" w:eastAsia="宋体" w:hAnsi="宋体" w:hint="eastAsia"/>
          <w:b/>
          <w:szCs w:val="21"/>
          <w:lang w:eastAsia="zh-CN"/>
        </w:rPr>
        <w:t xml:space="preserve"> </w:t>
      </w:r>
      <w:r>
        <w:rPr>
          <w:rFonts w:eastAsia="宋体"/>
          <w:b/>
          <w:szCs w:val="21"/>
        </w:rPr>
        <w:t>Fabrication and characterization of Janus Microrobots</w:t>
      </w:r>
      <w:r>
        <w:t xml:space="preserve"> (</w:t>
      </w:r>
      <w:r>
        <w:rPr>
          <w:b/>
        </w:rPr>
        <w:t>A</w:t>
      </w:r>
      <w:r>
        <w:t>)Schematic illustration of fabrication procedure of Janus micromotors. (</w:t>
      </w:r>
      <w:r>
        <w:rPr>
          <w:b/>
        </w:rPr>
        <w:t>B</w:t>
      </w:r>
      <w:r>
        <w:t xml:space="preserve">) SEM </w:t>
      </w:r>
      <w:r>
        <w:t>image (in the back scatter mode) and EDX analysis of a typical Janus micromotor. Scale bar, 25 μm.</w:t>
      </w:r>
    </w:p>
    <w:p w14:paraId="2D54CC94" w14:textId="77777777" w:rsidR="00E9241A" w:rsidRDefault="0046554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hollow magnetic Janus micromotors (JM) were fabricated by coating Ni (</w:t>
      </w:r>
      <w:r>
        <w:rPr>
          <w:rFonts w:ascii="Times New Roman" w:eastAsia="宋体" w:hAnsi="Times New Roman" w:cs="Times New Roman"/>
          <w:sz w:val="24"/>
          <w:szCs w:val="24"/>
        </w:rPr>
        <w:t xml:space="preserve">~ </w:t>
      </w:r>
      <w:r>
        <w:rPr>
          <w:rFonts w:ascii="Times New Roman" w:hAnsi="Times New Roman" w:cs="Times New Roman"/>
          <w:sz w:val="24"/>
          <w:szCs w:val="24"/>
        </w:rPr>
        <w:t>40 nm) and Pt (</w:t>
      </w:r>
      <w:r>
        <w:rPr>
          <w:rFonts w:ascii="Times New Roman" w:eastAsia="宋体" w:hAnsi="Times New Roman" w:cs="Times New Roman"/>
          <w:sz w:val="24"/>
          <w:szCs w:val="24"/>
        </w:rPr>
        <w:t xml:space="preserve">~ </w:t>
      </w:r>
      <w:r>
        <w:rPr>
          <w:rFonts w:ascii="Times New Roman" w:hAnsi="Times New Roman" w:cs="Times New Roman"/>
          <w:sz w:val="24"/>
          <w:szCs w:val="24"/>
        </w:rPr>
        <w:t xml:space="preserve">20 nm) layers successively on the hemispheres of hollow glass </w:t>
      </w:r>
      <w:r>
        <w:rPr>
          <w:rFonts w:ascii="Times New Roman" w:hAnsi="Times New Roman" w:cs="Times New Roman"/>
          <w:sz w:val="24"/>
          <w:szCs w:val="24"/>
        </w:rPr>
        <w:lastRenderedPageBreak/>
        <w:t>mi</w:t>
      </w:r>
      <w:r>
        <w:rPr>
          <w:rFonts w:ascii="Times New Roman" w:hAnsi="Times New Roman" w:cs="Times New Roman"/>
          <w:sz w:val="24"/>
          <w:szCs w:val="24"/>
        </w:rPr>
        <w:t>crospheres (HGMs</w:t>
      </w:r>
      <w:r>
        <w:rPr>
          <w:rFonts w:ascii="Times New Roman" w:hAnsi="Times New Roman" w:cs="Times New Roman" w:hint="eastAsia"/>
          <w:sz w:val="24"/>
          <w:szCs w:val="24"/>
        </w:rPr>
        <w:t>,</w:t>
      </w:r>
      <w:r>
        <w:rPr>
          <w:rFonts w:ascii="Times New Roman" w:hAnsi="Times New Roman" w:cs="Times New Roman"/>
          <w:sz w:val="24"/>
          <w:szCs w:val="24"/>
        </w:rPr>
        <w:t xml:space="preserve"> Fig. S1A). We used SEM and EDX (energy dispersive X ray) to characterize the fabricated JMs, as shown in Fig. S1B. The SEM image of the JM is obtained in back scatter mode shows the clear half bright and dark structure which indicates dif</w:t>
      </w:r>
      <w:r>
        <w:rPr>
          <w:rFonts w:ascii="Times New Roman" w:hAnsi="Times New Roman" w:cs="Times New Roman"/>
          <w:sz w:val="24"/>
          <w:szCs w:val="24"/>
        </w:rPr>
        <w:t xml:space="preserve">ferent elements distribution on the surface of HGM. The EDX mapping shows the specific elements distribution of Si, Ni </w:t>
      </w:r>
      <w:r>
        <w:rPr>
          <w:rFonts w:ascii="Times New Roman" w:hAnsi="Times New Roman" w:cs="Times New Roman" w:hint="eastAsia"/>
          <w:sz w:val="24"/>
          <w:szCs w:val="24"/>
        </w:rPr>
        <w:t>and</w:t>
      </w:r>
      <w:r>
        <w:rPr>
          <w:rFonts w:ascii="Times New Roman" w:hAnsi="Times New Roman" w:cs="Times New Roman"/>
          <w:sz w:val="24"/>
          <w:szCs w:val="24"/>
        </w:rPr>
        <w:t xml:space="preserve"> Pt, respectively. The result demonstrates the successful deposition of Ni </w:t>
      </w:r>
      <w:r>
        <w:rPr>
          <w:rFonts w:ascii="Times New Roman" w:hAnsi="Times New Roman" w:cs="Times New Roman" w:hint="eastAsia"/>
          <w:sz w:val="24"/>
          <w:szCs w:val="24"/>
        </w:rPr>
        <w:t>and</w:t>
      </w:r>
      <w:r>
        <w:rPr>
          <w:rFonts w:ascii="Times New Roman" w:hAnsi="Times New Roman" w:cs="Times New Roman"/>
          <w:sz w:val="24"/>
          <w:szCs w:val="24"/>
        </w:rPr>
        <w:t xml:space="preserve"> Pt </w:t>
      </w:r>
      <w:r>
        <w:rPr>
          <w:rFonts w:ascii="Times New Roman" w:hAnsi="Times New Roman" w:cs="Times New Roman" w:hint="eastAsia"/>
          <w:sz w:val="24"/>
          <w:szCs w:val="24"/>
        </w:rPr>
        <w:t>on</w:t>
      </w:r>
      <w:r>
        <w:rPr>
          <w:rFonts w:ascii="Times New Roman" w:hAnsi="Times New Roman" w:cs="Times New Roman"/>
          <w:sz w:val="24"/>
          <w:szCs w:val="24"/>
        </w:rPr>
        <w:t xml:space="preserve"> the half microsphere.</w:t>
      </w:r>
    </w:p>
    <w:p w14:paraId="29392422" w14:textId="77777777" w:rsidR="00E9241A" w:rsidRDefault="00E9241A">
      <w:pPr>
        <w:pStyle w:val="AbstractSummary"/>
        <w:spacing w:line="360" w:lineRule="auto"/>
        <w:jc w:val="both"/>
        <w:rPr>
          <w:b/>
          <w:bCs/>
        </w:rPr>
      </w:pPr>
    </w:p>
    <w:p w14:paraId="102BE214" w14:textId="3088527D" w:rsidR="00E9241A" w:rsidRDefault="00380D7A">
      <w:pPr>
        <w:pStyle w:val="AbstractSummary"/>
        <w:spacing w:line="360" w:lineRule="auto"/>
        <w:rPr>
          <w:b/>
          <w:bCs/>
        </w:rPr>
      </w:pPr>
      <w:r>
        <w:rPr>
          <w:b/>
          <w:bCs/>
        </w:rPr>
        <w:t>Note</w:t>
      </w:r>
      <w:r w:rsidR="0046554D">
        <w:rPr>
          <w:b/>
          <w:bCs/>
        </w:rPr>
        <w:t xml:space="preserve"> S</w:t>
      </w:r>
      <w:r w:rsidR="0046554D">
        <w:rPr>
          <w:rFonts w:eastAsia="宋体" w:hint="eastAsia"/>
          <w:b/>
          <w:bCs/>
          <w:lang w:eastAsia="zh-CN"/>
        </w:rPr>
        <w:t>2</w:t>
      </w:r>
      <w:r w:rsidR="0046554D">
        <w:t xml:space="preserve">. </w:t>
      </w:r>
      <w:r w:rsidR="0046554D">
        <w:rPr>
          <w:b/>
          <w:bCs/>
        </w:rPr>
        <w:t>Numerical simulation</w:t>
      </w:r>
      <w:r w:rsidR="0046554D">
        <w:rPr>
          <w:rFonts w:eastAsia="宋体" w:hint="eastAsia"/>
          <w:b/>
          <w:bCs/>
          <w:lang w:eastAsia="zh-CN"/>
        </w:rPr>
        <w:t>.</w:t>
      </w:r>
      <w:r w:rsidR="0046554D">
        <w:t xml:space="preserve"> </w:t>
      </w:r>
    </w:p>
    <w:p w14:paraId="7E8CD5CE" w14:textId="77777777" w:rsidR="00E9241A" w:rsidRDefault="0046554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numerical method is the Finite Volume Method for solving the Navier-Stokes equations. The interface of the bubble and free surface is tracked by the widely used Volume of Fluid (VOF) model.</w:t>
      </w:r>
      <w:r>
        <w:rPr>
          <w:rFonts w:ascii="Times New Roman" w:hAnsi="Times New Roman" w:cs="Times New Roman" w:hint="eastAsia"/>
          <w:sz w:val="24"/>
          <w:szCs w:val="24"/>
        </w:rPr>
        <w:t xml:space="preserve"> </w:t>
      </w:r>
      <w:r>
        <w:rPr>
          <w:rFonts w:ascii="Times New Roman" w:hAnsi="Times New Roman" w:cs="Times New Roman"/>
          <w:sz w:val="24"/>
          <w:szCs w:val="24"/>
        </w:rPr>
        <w:t>The governing equations are</w:t>
      </w:r>
      <w:r>
        <w:rPr>
          <w:rFonts w:ascii="Times New Roman" w:hAnsi="Times New Roman" w:cs="Times New Roman" w:hint="eastAsia"/>
          <w:sz w:val="24"/>
          <w:szCs w:val="24"/>
        </w:rPr>
        <w:t>,</w:t>
      </w:r>
    </w:p>
    <w:p w14:paraId="7BF3370B" w14:textId="77777777" w:rsidR="00E9241A" w:rsidRDefault="0046554D">
      <w:pPr>
        <w:pStyle w:val="a3"/>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position w:val="-24"/>
          <w:sz w:val="24"/>
          <w:szCs w:val="24"/>
        </w:rPr>
        <w:object w:dxaOrig="1748" w:dyaOrig="616" w14:anchorId="4AB4B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4pt;height:30.8pt" o:ole="">
            <v:imagedata r:id="rId8" o:title=""/>
          </v:shape>
          <o:OLEObject Type="Embed" ProgID="Equation.DSMT4" ShapeID="_x0000_i1025" DrawAspect="Content" ObjectID="_1715077341" r:id="rId9"/>
        </w:object>
      </w:r>
      <w:r>
        <w:rPr>
          <w:rFonts w:ascii="Times New Roman" w:hAnsi="Times New Roman" w:cs="Times New Roman"/>
          <w:sz w:val="24"/>
          <w:szCs w:val="24"/>
        </w:rPr>
        <w:t xml:space="preserve">                            (1)</w:t>
      </w:r>
    </w:p>
    <w:p w14:paraId="3C93A0E6" w14:textId="77777777" w:rsidR="00E9241A" w:rsidRDefault="0046554D">
      <w:pPr>
        <w:pStyle w:val="a3"/>
        <w:spacing w:line="360" w:lineRule="auto"/>
        <w:rPr>
          <w:rFonts w:ascii="Times New Roman" w:hAnsi="Times New Roman" w:cs="Times New Roman"/>
          <w:sz w:val="24"/>
          <w:szCs w:val="24"/>
        </w:rPr>
      </w:pPr>
      <w:r>
        <w:rPr>
          <w:rFonts w:ascii="Times New Roman" w:hAnsi="Times New Roman" w:cs="Times New Roman" w:hint="eastAsia"/>
          <w:position w:val="-24"/>
          <w:sz w:val="24"/>
          <w:szCs w:val="24"/>
        </w:rPr>
        <w:t xml:space="preserve">                </w:t>
      </w:r>
      <w:r>
        <w:rPr>
          <w:rFonts w:ascii="Times New Roman" w:hAnsi="Times New Roman" w:cs="Times New Roman"/>
          <w:position w:val="-24"/>
          <w:sz w:val="24"/>
          <w:szCs w:val="24"/>
        </w:rPr>
        <w:object w:dxaOrig="4486" w:dyaOrig="666" w14:anchorId="12FC6468">
          <v:shape id="_x0000_i1026" type="#_x0000_t75" style="width:224.45pt;height:33.1pt" o:ole="">
            <v:imagedata r:id="rId10" o:title=""/>
          </v:shape>
          <o:OLEObject Type="Embed" ProgID="Equation.DSMT4" ShapeID="_x0000_i1026" DrawAspect="Content" ObjectID="_1715077342" r:id="rId11"/>
        </w:object>
      </w:r>
      <w:r>
        <w:rPr>
          <w:rFonts w:ascii="Times New Roman" w:hAnsi="Times New Roman" w:cs="Times New Roman" w:hint="eastAsia"/>
          <w:position w:val="-24"/>
          <w:sz w:val="24"/>
          <w:szCs w:val="24"/>
        </w:rPr>
        <w:t xml:space="preserve">    </w:t>
      </w:r>
      <w:r>
        <w:rPr>
          <w:rFonts w:ascii="Times New Roman" w:hAnsi="Times New Roman" w:cs="Times New Roman"/>
          <w:position w:val="-24"/>
          <w:sz w:val="24"/>
          <w:szCs w:val="24"/>
        </w:rPr>
        <w:t xml:space="preserve">       </w:t>
      </w:r>
      <w:r>
        <w:rPr>
          <w:rFonts w:ascii="Times New Roman" w:hAnsi="Times New Roman" w:cs="Times New Roman" w:hint="eastAsia"/>
          <w:position w:val="-24"/>
          <w:sz w:val="24"/>
          <w:szCs w:val="24"/>
        </w:rPr>
        <w:t xml:space="preserve">  </w:t>
      </w:r>
      <w:r>
        <w:rPr>
          <w:rFonts w:ascii="Times New Roman" w:hAnsi="Times New Roman" w:cs="Times New Roman" w:hint="eastAsia"/>
          <w:sz w:val="24"/>
          <w:szCs w:val="24"/>
        </w:rPr>
        <w:t>(2)</w:t>
      </w:r>
    </w:p>
    <w:p w14:paraId="069073CC"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hint="eastAsia"/>
          <w:sz w:val="24"/>
          <w:szCs w:val="24"/>
        </w:rPr>
        <w:t xml:space="preserve">here, </w:t>
      </w:r>
      <w:r>
        <w:rPr>
          <w:rFonts w:ascii="Times New Roman" w:hAnsi="Times New Roman" w:cs="Times New Roman"/>
          <w:position w:val="-6"/>
          <w:sz w:val="24"/>
          <w:szCs w:val="24"/>
        </w:rPr>
        <w:object w:dxaOrig="241" w:dyaOrig="216" w14:anchorId="77A49696">
          <v:shape id="_x0000_i1027" type="#_x0000_t75" style="width:11.95pt;height:10.8pt" o:ole="">
            <v:imagedata r:id="rId12" o:title=""/>
          </v:shape>
          <o:OLEObject Type="Embed" ProgID="Equation.DSMT4" ShapeID="_x0000_i1027" DrawAspect="Content" ObjectID="_1715077343" r:id="rId13"/>
        </w:object>
      </w:r>
      <w:r>
        <w:rPr>
          <w:rFonts w:ascii="Times New Roman" w:hAnsi="Times New Roman" w:cs="Times New Roman" w:hint="eastAsia"/>
          <w:sz w:val="24"/>
          <w:szCs w:val="24"/>
        </w:rPr>
        <w:t xml:space="preserve">is the surface tension coefficient, </w:t>
      </w:r>
      <w:r>
        <w:rPr>
          <w:rFonts w:ascii="Times New Roman" w:hAnsi="Times New Roman" w:cs="Times New Roman"/>
          <w:position w:val="-4"/>
          <w:sz w:val="24"/>
          <w:szCs w:val="24"/>
        </w:rPr>
        <w:object w:dxaOrig="216" w:dyaOrig="200" w14:anchorId="0031EA2A">
          <v:shape id="_x0000_i1028" type="#_x0000_t75" style="width:10.8pt;height:10pt" o:ole="">
            <v:imagedata r:id="rId14" o:title=""/>
          </v:shape>
          <o:OLEObject Type="Embed" ProgID="Equation.DSMT4" ShapeID="_x0000_i1028" DrawAspect="Content" ObjectID="_1715077344" r:id="rId15"/>
        </w:object>
      </w:r>
      <w:r>
        <w:rPr>
          <w:rFonts w:ascii="Times New Roman" w:hAnsi="Times New Roman" w:cs="Times New Roman" w:hint="eastAsia"/>
          <w:sz w:val="24"/>
          <w:szCs w:val="24"/>
        </w:rPr>
        <w:t xml:space="preserve">is the surface curvature, and </w:t>
      </w:r>
      <w:r>
        <w:rPr>
          <w:rFonts w:ascii="Times New Roman" w:hAnsi="Times New Roman" w:cs="Times New Roman"/>
          <w:position w:val="-6"/>
          <w:sz w:val="24"/>
          <w:szCs w:val="24"/>
        </w:rPr>
        <w:object w:dxaOrig="483" w:dyaOrig="283" w14:anchorId="15F0EF81">
          <v:shape id="_x0000_i1029" type="#_x0000_t75" style="width:24.25pt;height:14.25pt" o:ole="">
            <v:imagedata r:id="rId16" o:title=""/>
          </v:shape>
          <o:OLEObject Type="Embed" ProgID="Equation.DSMT4" ShapeID="_x0000_i1029" DrawAspect="Content" ObjectID="_1715077345" r:id="rId17"/>
        </w:object>
      </w:r>
      <w:r>
        <w:rPr>
          <w:rFonts w:ascii="Times New Roman" w:hAnsi="Times New Roman" w:cs="Times New Roman" w:hint="eastAsia"/>
          <w:sz w:val="24"/>
          <w:szCs w:val="24"/>
        </w:rPr>
        <w:t>is the force term of surface tension. Herein,</w:t>
      </w:r>
      <w:r>
        <w:rPr>
          <w:rFonts w:ascii="Times New Roman" w:hAnsi="Times New Roman" w:cs="Times New Roman"/>
          <w:sz w:val="24"/>
          <w:szCs w:val="24"/>
        </w:rPr>
        <w:t> Continuum Surface Force (CSF) model i</w:t>
      </w:r>
      <w:r>
        <w:rPr>
          <w:rFonts w:ascii="Times New Roman" w:hAnsi="Times New Roman" w:cs="Times New Roman" w:hint="eastAsia"/>
          <w:sz w:val="24"/>
          <w:szCs w:val="24"/>
        </w:rPr>
        <w:t xml:space="preserve">s used to </w:t>
      </w:r>
      <w:r>
        <w:rPr>
          <w:rFonts w:ascii="Times New Roman" w:hAnsi="Times New Roman" w:cs="Times New Roman"/>
          <w:sz w:val="24"/>
          <w:szCs w:val="24"/>
        </w:rPr>
        <w:t>describe the role of surface tension</w:t>
      </w:r>
      <w:r>
        <w:rPr>
          <w:rFonts w:ascii="Times New Roman" w:hAnsi="Times New Roman" w:cs="Times New Roman" w:hint="eastAsia"/>
          <w:sz w:val="24"/>
          <w:szCs w:val="24"/>
        </w:rPr>
        <w:t>.</w:t>
      </w:r>
      <w:r>
        <w:rPr>
          <w:rFonts w:ascii="Times New Roman" w:hAnsi="Times New Roman" w:cs="Times New Roman"/>
          <w:sz w:val="24"/>
          <w:szCs w:val="24"/>
        </w:rPr>
        <w:t> In the VOF method, the volume fraction αq of phase Q satisfies the fo</w:t>
      </w:r>
      <w:r>
        <w:rPr>
          <w:rFonts w:ascii="Times New Roman" w:hAnsi="Times New Roman" w:cs="Times New Roman"/>
          <w:sz w:val="24"/>
          <w:szCs w:val="24"/>
        </w:rPr>
        <w:t>llowing scalar transport equation</w:t>
      </w:r>
      <w:r>
        <w:rPr>
          <w:rFonts w:ascii="Times New Roman" w:hAnsi="Times New Roman" w:cs="Times New Roman" w:hint="eastAsia"/>
          <w:sz w:val="24"/>
          <w:szCs w:val="24"/>
        </w:rPr>
        <w:t>,</w:t>
      </w:r>
      <w:r>
        <w:rPr>
          <w:rFonts w:ascii="Times New Roman" w:hAnsi="Times New Roman" w:cs="Times New Roman"/>
          <w:sz w:val="24"/>
          <w:szCs w:val="24"/>
        </w:rPr>
        <w:t xml:space="preserve">  </w:t>
      </w:r>
    </w:p>
    <w:p w14:paraId="6EB6FD39" w14:textId="77777777" w:rsidR="00E9241A" w:rsidRDefault="0046554D">
      <w:pPr>
        <w:pStyle w:val="a3"/>
        <w:spacing w:line="360" w:lineRule="auto"/>
        <w:ind w:firstLineChars="1400" w:firstLine="3360"/>
        <w:rPr>
          <w:rFonts w:ascii="Times New Roman" w:hAnsi="Times New Roman" w:cs="Times New Roman"/>
          <w:sz w:val="24"/>
          <w:szCs w:val="24"/>
        </w:rPr>
      </w:pPr>
      <w:r>
        <w:rPr>
          <w:rFonts w:ascii="Times New Roman" w:hAnsi="Times New Roman" w:cs="Times New Roman"/>
          <w:position w:val="-24"/>
          <w:sz w:val="24"/>
          <w:szCs w:val="24"/>
        </w:rPr>
        <w:object w:dxaOrig="1781" w:dyaOrig="599" w14:anchorId="5720DBB7">
          <v:shape id="_x0000_i1030" type="#_x0000_t75" style="width:88.95pt;height:30.05pt" o:ole="">
            <v:imagedata r:id="rId18" o:title=""/>
          </v:shape>
          <o:OLEObject Type="Embed" ProgID="Equation.DSMT4" ShapeID="_x0000_i1030" DrawAspect="Content" ObjectID="_1715077346" r:id="rId19"/>
        </w:object>
      </w:r>
      <w:r>
        <w:rPr>
          <w:rFonts w:ascii="Times New Roman" w:hAnsi="Times New Roman" w:cs="Times New Roman" w:hint="eastAsia"/>
          <w:position w:val="-24"/>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(3)</w:t>
      </w:r>
    </w:p>
    <w:p w14:paraId="7D1D62AC" w14:textId="77777777" w:rsidR="00E9241A" w:rsidRDefault="0046554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In the simulation, the initial size of bubble is the maximum diameter of bubble in growth stage. It can be approximated that the bubble-liquid interface velocity is </w:t>
      </w:r>
      <w:r>
        <w:rPr>
          <w:rFonts w:ascii="Times New Roman" w:hAnsi="Times New Roman" w:cs="Times New Roman"/>
          <w:sz w:val="24"/>
          <w:szCs w:val="24"/>
        </w:rPr>
        <w:t xml:space="preserve">0 and the pressure inside the bubble is saturated vapor pressure (3540 Pa). Since the bubble collapse process will lead to local high pressure, high speed and high temperature of the fluid, the equation of liquid state should be introduced, </w:t>
      </w:r>
    </w:p>
    <w:p w14:paraId="6B5F6122"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position w:val="-24"/>
          <w:sz w:val="24"/>
          <w:szCs w:val="24"/>
        </w:rPr>
        <w:object w:dxaOrig="2647" w:dyaOrig="882" w14:anchorId="2299D800">
          <v:shape id="_x0000_i1031" type="#_x0000_t75" style="width:132.45pt;height:44.3pt" o:ole="">
            <v:imagedata r:id="rId20" o:title=""/>
          </v:shape>
          <o:OLEObject Type="Embed" ProgID="Equation.DSMT4" ShapeID="_x0000_i1031" DrawAspect="Content" ObjectID="_1715077347" r:id="rId21"/>
        </w:object>
      </w:r>
      <w:r>
        <w:rPr>
          <w:rFonts w:ascii="Times New Roman" w:hAnsi="Times New Roman" w:cs="Times New Roman" w:hint="eastAsia"/>
          <w:position w:val="-24"/>
          <w:sz w:val="24"/>
          <w:szCs w:val="24"/>
        </w:rPr>
        <w:t xml:space="preserve">                     </w:t>
      </w:r>
      <w:r>
        <w:rPr>
          <w:rFonts w:ascii="Times New Roman" w:hAnsi="Times New Roman" w:cs="Times New Roman" w:hint="eastAsia"/>
          <w:sz w:val="24"/>
          <w:szCs w:val="24"/>
        </w:rPr>
        <w:t>(4)</w:t>
      </w:r>
    </w:p>
    <w:p w14:paraId="451E50E9"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sz w:val="24"/>
          <w:szCs w:val="24"/>
        </w:rPr>
        <w:t>The equation of state of the gas is,</w:t>
      </w:r>
    </w:p>
    <w:p w14:paraId="3712C25A"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position w:val="-24"/>
          <w:sz w:val="24"/>
          <w:szCs w:val="24"/>
        </w:rPr>
        <w:t xml:space="preserve">       </w:t>
      </w:r>
      <w:r>
        <w:rPr>
          <w:rFonts w:ascii="Times New Roman" w:hAnsi="Times New Roman" w:cs="Times New Roman"/>
          <w:position w:val="-24"/>
          <w:sz w:val="24"/>
          <w:szCs w:val="24"/>
        </w:rPr>
        <w:object w:dxaOrig="1032" w:dyaOrig="383" w14:anchorId="03003FDC">
          <v:shape id="_x0000_i1032" type="#_x0000_t75" style="width:51.6pt;height:19.25pt" o:ole="">
            <v:imagedata r:id="rId22" o:title=""/>
          </v:shape>
          <o:OLEObject Type="Embed" ProgID="Equation.DSMT4" ShapeID="_x0000_i1032" DrawAspect="Content" ObjectID="_1715077348" r:id="rId23"/>
        </w:object>
      </w:r>
      <w:r>
        <w:rPr>
          <w:rFonts w:ascii="Times New Roman" w:hAnsi="Times New Roman" w:cs="Times New Roman" w:hint="eastAsia"/>
          <w:position w:val="-24"/>
          <w:sz w:val="24"/>
          <w:szCs w:val="24"/>
        </w:rPr>
        <w:t xml:space="preserve">                           </w:t>
      </w:r>
      <w:r>
        <w:rPr>
          <w:rFonts w:ascii="Times New Roman" w:hAnsi="Times New Roman" w:cs="Times New Roman" w:hint="eastAsia"/>
          <w:sz w:val="24"/>
          <w:szCs w:val="24"/>
        </w:rPr>
        <w:t>(5)</w:t>
      </w:r>
    </w:p>
    <w:p w14:paraId="65B6CA03"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And the energy equation is,</w:t>
      </w:r>
    </w:p>
    <w:p w14:paraId="3070D4B2"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hint="eastAsia"/>
          <w:position w:val="-34"/>
          <w:sz w:val="24"/>
          <w:szCs w:val="24"/>
        </w:rPr>
        <w:t xml:space="preserve">                 </w:t>
      </w:r>
      <w:r>
        <w:rPr>
          <w:rFonts w:ascii="Times New Roman" w:hAnsi="Times New Roman" w:cs="Times New Roman"/>
          <w:position w:val="-24"/>
          <w:sz w:val="24"/>
          <w:szCs w:val="24"/>
        </w:rPr>
        <w:object w:dxaOrig="3771" w:dyaOrig="566" w14:anchorId="3B9E95D1">
          <v:shape id="_x0000_i1033" type="#_x0000_t75" style="width:188.65pt;height:28.5pt" o:ole="">
            <v:imagedata r:id="rId24" o:title=""/>
          </v:shape>
          <o:OLEObject Type="Embed" ProgID="Equation.DSMT4" ShapeID="_x0000_i1033" DrawAspect="Content" ObjectID="_1715077349" r:id="rId25"/>
        </w:object>
      </w:r>
      <w:r>
        <w:rPr>
          <w:rFonts w:ascii="Times New Roman" w:hAnsi="Times New Roman" w:cs="Times New Roman" w:hint="eastAsia"/>
          <w:position w:val="-24"/>
          <w:sz w:val="24"/>
          <w:szCs w:val="24"/>
        </w:rPr>
        <w:t xml:space="preserve">                  </w:t>
      </w:r>
      <w:r>
        <w:rPr>
          <w:rFonts w:ascii="Times New Roman" w:hAnsi="Times New Roman" w:cs="Times New Roman" w:hint="eastAsia"/>
          <w:sz w:val="24"/>
          <w:szCs w:val="24"/>
        </w:rPr>
        <w:t>(6)</w:t>
      </w:r>
    </w:p>
    <w:p w14:paraId="739C70F3" w14:textId="77777777" w:rsidR="00E9241A" w:rsidRDefault="0046554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In order to consider the influence of rigid body motion of the particle on the flow field, the dynamic mesh model is adopted in the simulation. The force on the particle is calculated by integrating at each ti</w:t>
      </w:r>
      <w:r>
        <w:rPr>
          <w:rFonts w:ascii="Times New Roman" w:hAnsi="Times New Roman" w:cs="Times New Roman"/>
          <w:sz w:val="24"/>
          <w:szCs w:val="24"/>
        </w:rPr>
        <w:t>me step, and then the velocity and displacement of the particle are calculated according to Newton's second law. After obtaining the new positions of the boundaries, the local mesh is deformed or regenerated.</w:t>
      </w:r>
    </w:p>
    <w:p w14:paraId="53A614A2" w14:textId="77777777" w:rsidR="00E9241A" w:rsidRDefault="0046554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In the three-dimensional numerical simulation o</w:t>
      </w:r>
      <w:r>
        <w:rPr>
          <w:rFonts w:ascii="Times New Roman" w:hAnsi="Times New Roman" w:cs="Times New Roman"/>
          <w:sz w:val="24"/>
          <w:szCs w:val="24"/>
        </w:rPr>
        <w:t xml:space="preserve">f bubble driven Janus microrobot, the calculation domain is shown in Fig. S2A, where the size of the computational domain is (50x20x20) </w:t>
      </w:r>
      <w:r>
        <w:rPr>
          <w:rFonts w:ascii="Times New Roman" w:hAnsi="Times New Roman" w:cs="Times New Roman"/>
          <w:i/>
          <w:iCs/>
          <w:sz w:val="24"/>
          <w:szCs w:val="24"/>
        </w:rPr>
        <w:t>R</w:t>
      </w:r>
      <w:r>
        <w:rPr>
          <w:rFonts w:ascii="Times New Roman" w:hAnsi="Times New Roman" w:cs="Times New Roman"/>
          <w:sz w:val="24"/>
          <w:szCs w:val="24"/>
          <w:vertAlign w:val="subscript"/>
        </w:rPr>
        <w:t>JM</w:t>
      </w:r>
      <w:r>
        <w:rPr>
          <w:rFonts w:ascii="Times New Roman" w:hAnsi="Times New Roman" w:cs="Times New Roman"/>
          <w:sz w:val="24"/>
          <w:szCs w:val="24"/>
        </w:rPr>
        <w:t>. A bubble with maximum diameter in the growth stage is set near the JM. The distance between the free surface (gas-l</w:t>
      </w:r>
      <w:r>
        <w:rPr>
          <w:rFonts w:ascii="Times New Roman" w:hAnsi="Times New Roman" w:cs="Times New Roman"/>
          <w:sz w:val="24"/>
          <w:szCs w:val="24"/>
        </w:rPr>
        <w:t>iquid interface) and the center of JM is d = 2</w:t>
      </w:r>
      <w:r>
        <w:rPr>
          <w:rFonts w:ascii="Times New Roman" w:hAnsi="Times New Roman" w:cs="Times New Roman"/>
          <w:i/>
          <w:iCs/>
          <w:sz w:val="24"/>
          <w:szCs w:val="24"/>
        </w:rPr>
        <w:t>R</w:t>
      </w:r>
      <w:r>
        <w:rPr>
          <w:rFonts w:ascii="Times New Roman" w:hAnsi="Times New Roman" w:cs="Times New Roman"/>
          <w:sz w:val="24"/>
          <w:szCs w:val="24"/>
          <w:vertAlign w:val="subscript"/>
        </w:rPr>
        <w:t>JM</w:t>
      </w:r>
      <w:r>
        <w:rPr>
          <w:rFonts w:ascii="Times New Roman" w:hAnsi="Times New Roman" w:cs="Times New Roman"/>
          <w:sz w:val="24"/>
          <w:szCs w:val="24"/>
        </w:rPr>
        <w:t>. For different working modes including pusher and anchor shown in Fig. S2B, the computational domain is same as the single JM</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T</w:t>
      </w:r>
      <w:r>
        <w:rPr>
          <w:rFonts w:ascii="Times New Roman" w:hAnsi="Times New Roman" w:cs="Times New Roman"/>
          <w:sz w:val="24"/>
          <w:szCs w:val="24"/>
        </w:rPr>
        <w:t>he center of bubble, JM and particle is located at the same level. The minimum</w:t>
      </w:r>
      <w:r>
        <w:rPr>
          <w:rFonts w:ascii="Times New Roman" w:hAnsi="Times New Roman" w:cs="Times New Roman"/>
          <w:sz w:val="24"/>
          <w:szCs w:val="24"/>
        </w:rPr>
        <w:t xml:space="preserve"> grid length of the interface evolution region is 0.1 </w:t>
      </w:r>
      <w:r>
        <w:rPr>
          <w:rFonts w:ascii="Times New Roman" w:hAnsi="Times New Roman" w:cs="Times New Roman"/>
          <w:i/>
          <w:iCs/>
          <w:sz w:val="24"/>
          <w:szCs w:val="24"/>
        </w:rPr>
        <w:t>R</w:t>
      </w:r>
      <w:r>
        <w:rPr>
          <w:rFonts w:ascii="Times New Roman" w:hAnsi="Times New Roman" w:cs="Times New Roman"/>
          <w:sz w:val="24"/>
          <w:szCs w:val="24"/>
          <w:vertAlign w:val="subscript"/>
        </w:rPr>
        <w:t>JM</w:t>
      </w:r>
      <w:r>
        <w:rPr>
          <w:rFonts w:ascii="Times New Roman" w:hAnsi="Times New Roman" w:cs="Times New Roman"/>
          <w:sz w:val="24"/>
          <w:szCs w:val="24"/>
        </w:rPr>
        <w:t xml:space="preserve"> after the verification of grid independence, and the minimum time step of transient calculation is 10</w:t>
      </w:r>
      <w:r>
        <w:rPr>
          <w:rFonts w:ascii="Times New Roman" w:hAnsi="Times New Roman" w:cs="Times New Roman"/>
          <w:sz w:val="24"/>
          <w:szCs w:val="24"/>
          <w:vertAlign w:val="superscript"/>
        </w:rPr>
        <w:t>–9</w:t>
      </w:r>
      <w:r>
        <w:rPr>
          <w:rFonts w:ascii="Times New Roman" w:hAnsi="Times New Roman" w:cs="Times New Roman"/>
          <w:sz w:val="24"/>
          <w:szCs w:val="24"/>
        </w:rPr>
        <w:t xml:space="preserve"> s. The discretization of control equations guarantees the second-order accuracy of space.</w:t>
      </w:r>
    </w:p>
    <w:p w14:paraId="25727C85" w14:textId="77777777" w:rsidR="00E9241A" w:rsidRDefault="0046554D">
      <w:pPr>
        <w:spacing w:line="360" w:lineRule="auto"/>
        <w:jc w:val="center"/>
        <w:rPr>
          <w:rFonts w:ascii="Times New Roman" w:hAnsi="Times New Roman" w:cs="Times New Roman"/>
        </w:rPr>
      </w:pPr>
      <w:r>
        <w:rPr>
          <w:rFonts w:ascii="Times New Roman" w:hAnsi="Times New Roman" w:cs="Times New Roman" w:hint="eastAsia"/>
          <w:noProof/>
        </w:rPr>
        <w:drawing>
          <wp:inline distT="0" distB="0" distL="114300" distR="114300" wp14:anchorId="4DE643ED" wp14:editId="15C8B324">
            <wp:extent cx="5078095" cy="1905000"/>
            <wp:effectExtent l="0" t="0" r="8255" b="0"/>
            <wp:docPr id="6" name="图片 6" descr="图片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S1"/>
                    <pic:cNvPicPr>
                      <a:picLocks noChangeAspect="1"/>
                    </pic:cNvPicPr>
                  </pic:nvPicPr>
                  <pic:blipFill>
                    <a:blip r:embed="rId26"/>
                    <a:srcRect l="3609"/>
                    <a:stretch>
                      <a:fillRect/>
                    </a:stretch>
                  </pic:blipFill>
                  <pic:spPr>
                    <a:xfrm>
                      <a:off x="0" y="0"/>
                      <a:ext cx="5078472" cy="1905000"/>
                    </a:xfrm>
                    <a:prstGeom prst="rect">
                      <a:avLst/>
                    </a:prstGeom>
                    <a:ln>
                      <a:noFill/>
                    </a:ln>
                  </pic:spPr>
                </pic:pic>
              </a:graphicData>
            </a:graphic>
          </wp:inline>
        </w:drawing>
      </w:r>
    </w:p>
    <w:p w14:paraId="341FC2D9" w14:textId="77777777" w:rsidR="00E9241A" w:rsidRDefault="0046554D">
      <w:pPr>
        <w:spacing w:line="360" w:lineRule="auto"/>
        <w:jc w:val="center"/>
        <w:rPr>
          <w:rFonts w:ascii="Times New Roman" w:hAnsi="Times New Roman" w:cs="Times New Roman"/>
        </w:rPr>
      </w:pPr>
      <w:r>
        <w:rPr>
          <w:rFonts w:ascii="Times New Roman" w:hAnsi="Times New Roman" w:cs="Times New Roman" w:hint="eastAsia"/>
          <w:b/>
          <w:bCs/>
        </w:rPr>
        <w:t>F</w:t>
      </w:r>
      <w:r>
        <w:rPr>
          <w:rFonts w:ascii="Times New Roman" w:hAnsi="Times New Roman" w:cs="Times New Roman"/>
          <w:b/>
          <w:bCs/>
        </w:rPr>
        <w:t xml:space="preserve">ig. </w:t>
      </w:r>
      <w:r>
        <w:rPr>
          <w:rFonts w:ascii="Times New Roman" w:hAnsi="Times New Roman" w:cs="Times New Roman" w:hint="eastAsia"/>
          <w:b/>
          <w:bCs/>
        </w:rPr>
        <w:t>S</w:t>
      </w:r>
      <w:r>
        <w:rPr>
          <w:rFonts w:ascii="Times New Roman" w:hAnsi="Times New Roman" w:cs="Times New Roman"/>
          <w:b/>
          <w:bCs/>
        </w:rPr>
        <w:t>2. Computational domain settings</w:t>
      </w:r>
      <w:r>
        <w:rPr>
          <w:rFonts w:ascii="Times New Roman" w:hAnsi="Times New Roman" w:cs="Times New Roman"/>
        </w:rPr>
        <w:t xml:space="preserve"> (</w:t>
      </w:r>
      <w:r>
        <w:rPr>
          <w:rFonts w:ascii="Times New Roman" w:hAnsi="Times New Roman" w:cs="Times New Roman" w:hint="eastAsia"/>
          <w:b/>
          <w:bCs/>
        </w:rPr>
        <w:t>A</w:t>
      </w:r>
      <w:r>
        <w:rPr>
          <w:rFonts w:ascii="Times New Roman" w:hAnsi="Times New Roman" w:cs="Times New Roman"/>
        </w:rPr>
        <w:t xml:space="preserve">) Single JM; </w:t>
      </w:r>
      <w:r>
        <w:rPr>
          <w:rFonts w:ascii="Times New Roman" w:hAnsi="Times New Roman" w:cs="Times New Roman" w:hint="eastAsia"/>
        </w:rPr>
        <w:t>(</w:t>
      </w:r>
      <w:r>
        <w:rPr>
          <w:rFonts w:ascii="Times New Roman" w:hAnsi="Times New Roman" w:cs="Times New Roman" w:hint="eastAsia"/>
          <w:b/>
          <w:bCs/>
        </w:rPr>
        <w:t>B</w:t>
      </w:r>
      <w:r>
        <w:rPr>
          <w:rFonts w:ascii="Times New Roman" w:hAnsi="Times New Roman" w:cs="Times New Roman"/>
        </w:rPr>
        <w:t xml:space="preserve">) </w:t>
      </w:r>
      <w:r>
        <w:rPr>
          <w:rFonts w:ascii="Times New Roman" w:hAnsi="Times New Roman" w:cs="Times New Roman" w:hint="eastAsia"/>
        </w:rPr>
        <w:t>P</w:t>
      </w:r>
      <w:r>
        <w:rPr>
          <w:rFonts w:ascii="Times New Roman" w:hAnsi="Times New Roman" w:cs="Times New Roman"/>
        </w:rPr>
        <w:t>usher and anchor.</w:t>
      </w:r>
    </w:p>
    <w:p w14:paraId="4182D214" w14:textId="77777777" w:rsidR="00E9241A" w:rsidRDefault="00E9241A">
      <w:pPr>
        <w:pStyle w:val="AbstractSummary"/>
      </w:pPr>
    </w:p>
    <w:p w14:paraId="52C21B89" w14:textId="66113EB5" w:rsidR="00E9241A" w:rsidRDefault="00380D7A">
      <w:pPr>
        <w:pStyle w:val="AbstractSummary"/>
        <w:spacing w:line="360" w:lineRule="auto"/>
        <w:rPr>
          <w:b/>
          <w:bCs/>
        </w:rPr>
      </w:pPr>
      <w:r>
        <w:rPr>
          <w:b/>
          <w:bCs/>
        </w:rPr>
        <w:t>Note</w:t>
      </w:r>
      <w:r w:rsidR="0046554D">
        <w:rPr>
          <w:b/>
          <w:bCs/>
        </w:rPr>
        <w:t xml:space="preserve"> S</w:t>
      </w:r>
      <w:r w:rsidR="0046554D">
        <w:rPr>
          <w:rFonts w:eastAsia="宋体"/>
          <w:b/>
          <w:bCs/>
          <w:lang w:eastAsia="zh-CN"/>
        </w:rPr>
        <w:t>3</w:t>
      </w:r>
      <w:r w:rsidR="0046554D">
        <w:rPr>
          <w:b/>
          <w:bCs/>
        </w:rPr>
        <w:t xml:space="preserve">. </w:t>
      </w:r>
      <w:r w:rsidR="0046554D">
        <w:rPr>
          <w:rFonts w:hint="eastAsia"/>
          <w:b/>
          <w:bCs/>
        </w:rPr>
        <w:t>M</w:t>
      </w:r>
      <w:r w:rsidR="0046554D">
        <w:rPr>
          <w:b/>
          <w:bCs/>
        </w:rPr>
        <w:t>agnetic manipulation system</w:t>
      </w:r>
      <w:r w:rsidR="0046554D">
        <w:rPr>
          <w:rFonts w:eastAsia="宋体" w:hint="eastAsia"/>
          <w:b/>
          <w:bCs/>
          <w:lang w:eastAsia="zh-CN"/>
        </w:rPr>
        <w:t>.</w:t>
      </w:r>
      <w:r w:rsidR="0046554D">
        <w:rPr>
          <w:b/>
          <w:bCs/>
        </w:rPr>
        <w:t xml:space="preserve"> </w:t>
      </w:r>
    </w:p>
    <w:p w14:paraId="7BA7418A" w14:textId="77777777" w:rsidR="00E9241A" w:rsidRDefault="0046554D">
      <w:pPr>
        <w:pStyle w:val="AbstractSummary"/>
        <w:spacing w:line="360" w:lineRule="auto"/>
        <w:ind w:firstLineChars="200" w:firstLine="480"/>
        <w:rPr>
          <w:rFonts w:eastAsia="宋体"/>
          <w:lang w:eastAsia="zh-CN"/>
        </w:rPr>
      </w:pPr>
      <w:r>
        <w:rPr>
          <w:rFonts w:eastAsia="宋体" w:hint="eastAsia"/>
          <w:lang w:eastAsia="zh-CN"/>
        </w:rPr>
        <w:t>The magnetic manipulation system consist</w:t>
      </w:r>
      <w:r>
        <w:rPr>
          <w:rFonts w:eastAsia="宋体"/>
          <w:lang w:eastAsia="zh-CN"/>
        </w:rPr>
        <w:t>s</w:t>
      </w:r>
      <w:r>
        <w:rPr>
          <w:rFonts w:eastAsia="宋体" w:hint="eastAsia"/>
          <w:lang w:eastAsia="zh-CN"/>
        </w:rPr>
        <w:t xml:space="preserve"> of hard ware and software</w:t>
      </w:r>
      <w:r>
        <w:rPr>
          <w:rFonts w:eastAsia="宋体"/>
          <w:lang w:eastAsia="zh-CN"/>
        </w:rPr>
        <w:t>.</w:t>
      </w:r>
      <w:r>
        <w:t xml:space="preserve"> </w:t>
      </w:r>
      <w:r>
        <w:rPr>
          <w:rFonts w:eastAsia="宋体"/>
          <w:lang w:eastAsia="zh-CN"/>
        </w:rPr>
        <w:t>The details are described as below.</w:t>
      </w:r>
    </w:p>
    <w:p w14:paraId="5A8A451D" w14:textId="77777777" w:rsidR="00E9241A" w:rsidRDefault="0046554D">
      <w:pPr>
        <w:spacing w:line="360" w:lineRule="auto"/>
        <w:rPr>
          <w:rFonts w:ascii="Times New Roman" w:hAnsi="Times New Roman" w:cs="Times New Roman"/>
          <w:sz w:val="24"/>
          <w:szCs w:val="24"/>
        </w:rPr>
      </w:pPr>
      <w:r>
        <w:rPr>
          <w:rFonts w:ascii="Times New Roman" w:hAnsi="Times New Roman" w:cs="Times New Roman"/>
          <w:b/>
          <w:bCs/>
          <w:sz w:val="24"/>
          <w:szCs w:val="24"/>
        </w:rPr>
        <w:lastRenderedPageBreak/>
        <w:t>S3.1 Hardware</w:t>
      </w:r>
    </w:p>
    <w:p w14:paraId="058A5EA7" w14:textId="77777777" w:rsidR="00E9241A" w:rsidRDefault="0046554D">
      <w:pPr>
        <w:spacing w:line="360" w:lineRule="auto"/>
        <w:ind w:firstLineChars="200" w:firstLine="480"/>
        <w:rPr>
          <w:rFonts w:ascii="Times New Roman" w:hAnsi="Times New Roman" w:cs="Times New Roman"/>
          <w:sz w:val="24"/>
          <w:szCs w:val="24"/>
        </w:rPr>
      </w:pPr>
      <w:bookmarkStart w:id="1" w:name="OLE_LINK1"/>
      <w:r>
        <w:rPr>
          <w:rFonts w:ascii="Times New Roman" w:hAnsi="Times New Roman" w:cs="Times New Roman"/>
          <w:sz w:val="24"/>
          <w:szCs w:val="24"/>
        </w:rPr>
        <w:t xml:space="preserve">The hardware </w:t>
      </w:r>
      <w:r>
        <w:rPr>
          <w:rFonts w:ascii="Times New Roman" w:hAnsi="Times New Roman" w:cs="Times New Roman" w:hint="eastAsia"/>
          <w:sz w:val="24"/>
          <w:szCs w:val="24"/>
        </w:rPr>
        <w:t>of</w:t>
      </w:r>
      <w:r>
        <w:rPr>
          <w:rFonts w:ascii="Times New Roman" w:hAnsi="Times New Roman" w:cs="Times New Roman"/>
          <w:sz w:val="24"/>
          <w:szCs w:val="24"/>
        </w:rPr>
        <w:t xml:space="preserve"> the </w:t>
      </w:r>
      <w:r>
        <w:rPr>
          <w:rFonts w:ascii="Times New Roman" w:hAnsi="Times New Roman" w:cs="Times New Roman"/>
          <w:sz w:val="24"/>
          <w:szCs w:val="24"/>
        </w:rPr>
        <w:t>magnetic manipulation system includes a three-axial Helmholtz electromagnetic coil (HEC, 1000 laps for each coil), two set of signal generator with two channels (ATF20F), three set of power amplifier (ATA-309), an inverted</w:t>
      </w:r>
      <w:r>
        <w:t xml:space="preserve"> </w:t>
      </w:r>
      <w:r>
        <w:rPr>
          <w:rFonts w:ascii="Times New Roman" w:hAnsi="Times New Roman" w:cs="Times New Roman"/>
          <w:sz w:val="24"/>
          <w:szCs w:val="24"/>
        </w:rPr>
        <w:t>microscope (Nikon, Eclipse-Ti), t</w:t>
      </w:r>
      <w:r>
        <w:rPr>
          <w:rFonts w:ascii="Times New Roman" w:hAnsi="Times New Roman" w:cs="Times New Roman"/>
          <w:sz w:val="24"/>
          <w:szCs w:val="24"/>
        </w:rPr>
        <w:t xml:space="preserve">wo objective </w:t>
      </w:r>
      <w:proofErr w:type="gramStart"/>
      <w:r>
        <w:rPr>
          <w:rFonts w:ascii="Times New Roman" w:hAnsi="Times New Roman" w:cs="Times New Roman"/>
          <w:sz w:val="24"/>
          <w:szCs w:val="24"/>
        </w:rPr>
        <w:t>lens</w:t>
      </w:r>
      <w:proofErr w:type="gramEnd"/>
      <w:r>
        <w:rPr>
          <w:rFonts w:ascii="Times New Roman" w:hAnsi="Times New Roman" w:cs="Times New Roman"/>
          <w:sz w:val="24"/>
          <w:szCs w:val="24"/>
        </w:rPr>
        <w:t xml:space="preserve"> of 10x (NA = 0.3), 20x (NA = 0.45), a fast CCD (Phantom V2012), a gamepad. The arbitrary direction and intensity of the uniform magnetic field generated by the HEC can be controlled by adjusting the voltage of the signal generator amplifi</w:t>
      </w:r>
      <w:r>
        <w:rPr>
          <w:rFonts w:ascii="Times New Roman" w:hAnsi="Times New Roman" w:cs="Times New Roman"/>
          <w:sz w:val="24"/>
          <w:szCs w:val="24"/>
        </w:rPr>
        <w:t xml:space="preserve">ed by the power amplifier. To achieve flexible control of the magnetic modulation, we programmed different functions into the gamepad for the immediate manual adjustment of magnetic field. The locomotion and different working modes is recorded by the fast </w:t>
      </w:r>
      <w:r>
        <w:rPr>
          <w:rFonts w:ascii="Times New Roman" w:hAnsi="Times New Roman" w:cs="Times New Roman"/>
          <w:sz w:val="24"/>
          <w:szCs w:val="24"/>
        </w:rPr>
        <w:t>CCD equipped on the inverted</w:t>
      </w:r>
      <w:r>
        <w:t xml:space="preserve"> </w:t>
      </w:r>
      <w:r>
        <w:rPr>
          <w:rFonts w:ascii="Times New Roman" w:hAnsi="Times New Roman" w:cs="Times New Roman"/>
          <w:sz w:val="24"/>
          <w:szCs w:val="24"/>
        </w:rPr>
        <w:t>microscope. It should be noted that stereomicroscope is also used to clearly show the interface direction of Janus microrobot because of the reflective imaging.</w:t>
      </w:r>
    </w:p>
    <w:p w14:paraId="285DDC79" w14:textId="77777777" w:rsidR="00E9241A" w:rsidRDefault="0046554D">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4F8D2FF6" wp14:editId="7675DFEF">
            <wp:extent cx="4251960" cy="346329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252165" cy="3463645"/>
                    </a:xfrm>
                    <a:prstGeom prst="rect">
                      <a:avLst/>
                    </a:prstGeom>
                  </pic:spPr>
                </pic:pic>
              </a:graphicData>
            </a:graphic>
          </wp:inline>
        </w:drawing>
      </w:r>
    </w:p>
    <w:p w14:paraId="33DFE374" w14:textId="77777777" w:rsidR="00E9241A" w:rsidRDefault="0046554D">
      <w:pPr>
        <w:spacing w:line="360" w:lineRule="auto"/>
        <w:jc w:val="center"/>
        <w:rPr>
          <w:rFonts w:ascii="Times New Roman" w:hAnsi="Times New Roman" w:cs="Times New Roman"/>
        </w:rPr>
      </w:pPr>
      <w:r>
        <w:rPr>
          <w:rFonts w:ascii="Times New Roman" w:hAnsi="Times New Roman" w:cs="Times New Roman" w:hint="eastAsia"/>
          <w:b/>
          <w:bCs/>
        </w:rPr>
        <w:t>F</w:t>
      </w:r>
      <w:r>
        <w:rPr>
          <w:rFonts w:ascii="Times New Roman" w:hAnsi="Times New Roman" w:cs="Times New Roman"/>
          <w:b/>
          <w:bCs/>
        </w:rPr>
        <w:t>ig. S3.</w:t>
      </w:r>
      <w:r>
        <w:rPr>
          <w:rFonts w:ascii="Times New Roman" w:hAnsi="Times New Roman" w:cs="Times New Roman"/>
        </w:rPr>
        <w:t xml:space="preserve"> Self-defined signal generator program interface</w:t>
      </w:r>
    </w:p>
    <w:p w14:paraId="2F259649" w14:textId="77777777" w:rsidR="00E9241A" w:rsidRDefault="0046554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S3.2 </w:t>
      </w:r>
      <w:r>
        <w:rPr>
          <w:rFonts w:ascii="Times New Roman" w:hAnsi="Times New Roman" w:cs="Times New Roman" w:hint="eastAsia"/>
          <w:b/>
          <w:bCs/>
          <w:sz w:val="24"/>
          <w:szCs w:val="24"/>
        </w:rPr>
        <w:t>Software</w:t>
      </w:r>
    </w:p>
    <w:p w14:paraId="50032A63" w14:textId="77777777" w:rsidR="00E9241A" w:rsidRDefault="0046554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In order to realize the flexible and real time control of the magnetic field, we programmed different functions for the gamepad to control the signal generator. This programming is based on .NE</w:t>
      </w:r>
      <w:r>
        <w:rPr>
          <w:rFonts w:ascii="Times New Roman" w:hAnsi="Times New Roman" w:cs="Times New Roman"/>
          <w:sz w:val="24"/>
          <w:szCs w:val="24"/>
        </w:rPr>
        <w:t xml:space="preserve">T Framework 4.0. The language is C++, the programming </w:t>
      </w:r>
      <w:r>
        <w:rPr>
          <w:rFonts w:ascii="Times New Roman" w:hAnsi="Times New Roman" w:cs="Times New Roman"/>
          <w:sz w:val="24"/>
          <w:szCs w:val="24"/>
        </w:rPr>
        <w:lastRenderedPageBreak/>
        <w:t>interface is Windows Multimedia Joystick API, and the serial port (RS-232 standard interface) programming interface is based on System. IO. Ports namespace function provided by .NET Framework 4.0. The i</w:t>
      </w:r>
      <w:r>
        <w:rPr>
          <w:rFonts w:ascii="Times New Roman" w:hAnsi="Times New Roman" w:cs="Times New Roman"/>
          <w:sz w:val="24"/>
          <w:szCs w:val="24"/>
        </w:rPr>
        <w:t>mplementation interface is shown in Fig. S3, and the detailed functions of the gamepad control are shown in Table S1.</w:t>
      </w:r>
    </w:p>
    <w:bookmarkEnd w:id="1"/>
    <w:p w14:paraId="247DF6D3" w14:textId="77777777" w:rsidR="00E9241A" w:rsidRDefault="00E9241A">
      <w:pPr>
        <w:rPr>
          <w:rFonts w:ascii="Times New Roman" w:hAnsi="Times New Roman" w:cs="Times New Roman"/>
        </w:rPr>
      </w:pPr>
    </w:p>
    <w:p w14:paraId="0F72D4D9" w14:textId="77777777" w:rsidR="00E9241A" w:rsidRDefault="0046554D">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able S1 Program function of signal generator corresponding to gamepad button</w:t>
      </w:r>
    </w:p>
    <w:tbl>
      <w:tblPr>
        <w:tblStyle w:val="ab"/>
        <w:tblW w:w="0" w:type="auto"/>
        <w:tblLook w:val="04A0" w:firstRow="1" w:lastRow="0" w:firstColumn="1" w:lastColumn="0" w:noHBand="0" w:noVBand="1"/>
      </w:tblPr>
      <w:tblGrid>
        <w:gridCol w:w="1815"/>
        <w:gridCol w:w="4848"/>
        <w:gridCol w:w="1633"/>
      </w:tblGrid>
      <w:tr w:rsidR="00E9241A" w14:paraId="3E4F9B73" w14:textId="77777777">
        <w:tc>
          <w:tcPr>
            <w:tcW w:w="1838" w:type="dxa"/>
          </w:tcPr>
          <w:p w14:paraId="435C344A" w14:textId="77777777" w:rsidR="00E9241A" w:rsidRDefault="0046554D">
            <w:pPr>
              <w:jc w:val="center"/>
              <w:rPr>
                <w:rFonts w:ascii="Times New Roman" w:hAnsi="Times New Roman" w:cs="Times New Roman"/>
              </w:rPr>
            </w:pPr>
            <w:r>
              <w:rPr>
                <w:rFonts w:ascii="Times New Roman" w:hAnsi="Times New Roman" w:cs="Times New Roman"/>
              </w:rPr>
              <w:t>Functional Region</w:t>
            </w:r>
          </w:p>
        </w:tc>
        <w:tc>
          <w:tcPr>
            <w:tcW w:w="4961" w:type="dxa"/>
          </w:tcPr>
          <w:p w14:paraId="434EE236" w14:textId="77777777" w:rsidR="00E9241A" w:rsidRDefault="0046554D">
            <w:pPr>
              <w:jc w:val="center"/>
              <w:rPr>
                <w:rFonts w:ascii="Times New Roman" w:hAnsi="Times New Roman" w:cs="Times New Roman"/>
              </w:rPr>
            </w:pPr>
            <w:r>
              <w:rPr>
                <w:rFonts w:ascii="Times New Roman" w:hAnsi="Times New Roman" w:cs="Times New Roman"/>
              </w:rPr>
              <w:t>Function description</w:t>
            </w:r>
          </w:p>
        </w:tc>
        <w:tc>
          <w:tcPr>
            <w:tcW w:w="1418" w:type="dxa"/>
          </w:tcPr>
          <w:p w14:paraId="4448F79A" w14:textId="77777777" w:rsidR="00E9241A" w:rsidRDefault="0046554D">
            <w:pPr>
              <w:jc w:val="center"/>
              <w:rPr>
                <w:rFonts w:ascii="Times New Roman" w:hAnsi="Times New Roman" w:cs="Times New Roman"/>
              </w:rPr>
            </w:pPr>
            <w:r>
              <w:rPr>
                <w:rFonts w:ascii="Times New Roman" w:hAnsi="Times New Roman" w:cs="Times New Roman"/>
              </w:rPr>
              <w:t>Corresponding gamepad button</w:t>
            </w:r>
          </w:p>
        </w:tc>
      </w:tr>
      <w:tr w:rsidR="00E9241A" w14:paraId="46103A1D" w14:textId="77777777">
        <w:tc>
          <w:tcPr>
            <w:tcW w:w="1838" w:type="dxa"/>
          </w:tcPr>
          <w:p w14:paraId="0F0B4FB7" w14:textId="77777777" w:rsidR="00E9241A" w:rsidRDefault="0046554D">
            <w:pPr>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Serial port parameter</w:t>
            </w:r>
          </w:p>
        </w:tc>
        <w:tc>
          <w:tcPr>
            <w:tcW w:w="4961" w:type="dxa"/>
          </w:tcPr>
          <w:p w14:paraId="3FFDD727" w14:textId="77777777" w:rsidR="00E9241A" w:rsidRDefault="0046554D">
            <w:pPr>
              <w:jc w:val="left"/>
              <w:rPr>
                <w:rFonts w:ascii="Times New Roman" w:hAnsi="Times New Roman" w:cs="Times New Roman"/>
              </w:rPr>
            </w:pPr>
            <w:r>
              <w:rPr>
                <w:rFonts w:ascii="Times New Roman" w:hAnsi="Times New Roman" w:cs="Times New Roman"/>
              </w:rPr>
              <w:t>Set the necessary parameters for sending and receiving serial port information.</w:t>
            </w:r>
          </w:p>
        </w:tc>
        <w:tc>
          <w:tcPr>
            <w:tcW w:w="1418" w:type="dxa"/>
          </w:tcPr>
          <w:p w14:paraId="0833CB70" w14:textId="77777777" w:rsidR="00E9241A" w:rsidRDefault="0046554D">
            <w:pPr>
              <w:jc w:val="left"/>
              <w:rPr>
                <w:rFonts w:ascii="Times New Roman" w:hAnsi="Times New Roman" w:cs="Times New Roman"/>
              </w:rPr>
            </w:pPr>
            <w:r>
              <w:rPr>
                <w:rFonts w:ascii="Times New Roman" w:hAnsi="Times New Roman" w:cs="Times New Roman"/>
              </w:rPr>
              <w:t>\</w:t>
            </w:r>
          </w:p>
        </w:tc>
      </w:tr>
      <w:tr w:rsidR="00E9241A" w14:paraId="68D99AB1" w14:textId="77777777">
        <w:tc>
          <w:tcPr>
            <w:tcW w:w="1838" w:type="dxa"/>
          </w:tcPr>
          <w:p w14:paraId="77924DBD" w14:textId="77777777" w:rsidR="00E9241A" w:rsidRDefault="0046554D">
            <w:pPr>
              <w:rPr>
                <w:rFonts w:ascii="Times New Roman" w:hAnsi="Times New Roman" w:cs="Times New Roman"/>
              </w:rPr>
            </w:pPr>
            <w:r>
              <w:rPr>
                <w:rFonts w:ascii="Times New Roman" w:hAnsi="Times New Roman" w:cs="Times New Roman"/>
                <w:b/>
                <w:bCs/>
              </w:rPr>
              <w:t>B</w:t>
            </w:r>
            <w:r>
              <w:rPr>
                <w:rFonts w:ascii="Times New Roman" w:hAnsi="Times New Roman" w:cs="Times New Roman"/>
              </w:rPr>
              <w:t xml:space="preserve"> Equipment connection control</w:t>
            </w:r>
          </w:p>
        </w:tc>
        <w:tc>
          <w:tcPr>
            <w:tcW w:w="4961" w:type="dxa"/>
          </w:tcPr>
          <w:p w14:paraId="42BD3862" w14:textId="77777777" w:rsidR="00E9241A" w:rsidRDefault="0046554D">
            <w:pPr>
              <w:rPr>
                <w:rFonts w:ascii="Times New Roman" w:hAnsi="Times New Roman" w:cs="Times New Roman"/>
              </w:rPr>
            </w:pPr>
            <w:bookmarkStart w:id="2" w:name="OLE_LINK6"/>
            <w:r>
              <w:rPr>
                <w:rFonts w:ascii="Times New Roman" w:hAnsi="Times New Roman" w:cs="Times New Roman"/>
              </w:rPr>
              <w:t>Set the communication address of the device on the serial port, connect the device butto</w:t>
            </w:r>
            <w:r>
              <w:rPr>
                <w:rFonts w:ascii="Times New Roman" w:hAnsi="Times New Roman" w:cs="Times New Roman"/>
              </w:rPr>
              <w:t>n and the corresponding command. Disconnect the device button and the corresponding command, start or end output serial command, etc. Delay Time is the time interval for sending two commands continuously; Max AMP is the maximum voltage amplitude when switc</w:t>
            </w:r>
            <w:r>
              <w:rPr>
                <w:rFonts w:ascii="Times New Roman" w:hAnsi="Times New Roman" w:cs="Times New Roman"/>
              </w:rPr>
              <w:t>hing to the signal output.</w:t>
            </w:r>
            <w:bookmarkEnd w:id="2"/>
          </w:p>
        </w:tc>
        <w:tc>
          <w:tcPr>
            <w:tcW w:w="1418" w:type="dxa"/>
          </w:tcPr>
          <w:p w14:paraId="7028D0A7" w14:textId="77777777" w:rsidR="00E9241A" w:rsidRDefault="0046554D">
            <w:pPr>
              <w:jc w:val="left"/>
              <w:rPr>
                <w:rFonts w:ascii="Times New Roman" w:hAnsi="Times New Roman" w:cs="Times New Roman"/>
              </w:rPr>
            </w:pPr>
            <w:r>
              <w:rPr>
                <w:rFonts w:ascii="Times New Roman" w:hAnsi="Times New Roman" w:cs="Times New Roman"/>
              </w:rPr>
              <w:t>\</w:t>
            </w:r>
          </w:p>
        </w:tc>
      </w:tr>
      <w:tr w:rsidR="00E9241A" w14:paraId="1870BA05" w14:textId="77777777">
        <w:tc>
          <w:tcPr>
            <w:tcW w:w="1838" w:type="dxa"/>
          </w:tcPr>
          <w:p w14:paraId="7F10543C" w14:textId="77777777" w:rsidR="00E9241A" w:rsidRDefault="0046554D">
            <w:pPr>
              <w:rPr>
                <w:rFonts w:ascii="Times New Roman" w:hAnsi="Times New Roman" w:cs="Times New Roman"/>
              </w:rPr>
            </w:pPr>
            <w:r>
              <w:rPr>
                <w:rFonts w:ascii="Times New Roman" w:hAnsi="Times New Roman" w:cs="Times New Roman"/>
                <w:b/>
                <w:bCs/>
              </w:rPr>
              <w:t>C</w:t>
            </w:r>
            <w:r>
              <w:rPr>
                <w:rFonts w:ascii="Times New Roman" w:hAnsi="Times New Roman" w:cs="Times New Roman"/>
              </w:rPr>
              <w:t xml:space="preserve"> Functions of the gamepad button</w:t>
            </w:r>
          </w:p>
        </w:tc>
        <w:tc>
          <w:tcPr>
            <w:tcW w:w="4961" w:type="dxa"/>
          </w:tcPr>
          <w:p w14:paraId="307C7D21" w14:textId="77777777" w:rsidR="00E9241A" w:rsidRDefault="0046554D">
            <w:pPr>
              <w:rPr>
                <w:rFonts w:ascii="Times New Roman" w:hAnsi="Times New Roman" w:cs="Times New Roman"/>
              </w:rPr>
            </w:pPr>
            <w:bookmarkStart w:id="3" w:name="OLE_LINK7"/>
            <w:r>
              <w:rPr>
                <w:rFonts w:ascii="Times New Roman" w:hAnsi="Times New Roman" w:cs="Times New Roman"/>
              </w:rPr>
              <w:t>Commands that correspond to the “cross” direction button on the left bottom of the gamepad, the right A, B, X, Y button, the left and right shoulder button LB and RB. Details are as follows:</w:t>
            </w:r>
            <w:bookmarkEnd w:id="3"/>
            <w:r>
              <w:rPr>
                <w:rFonts w:ascii="Times New Roman" w:hAnsi="Times New Roman" w:cs="Times New Roman"/>
              </w:rPr>
              <w:t xml:space="preserve"> </w:t>
            </w:r>
          </w:p>
          <w:p w14:paraId="32D9343B" w14:textId="77777777" w:rsidR="00E9241A" w:rsidRDefault="0046554D">
            <w:pPr>
              <w:rPr>
                <w:rFonts w:ascii="Times New Roman" w:hAnsi="Times New Roman" w:cs="Times New Roman"/>
              </w:rPr>
            </w:pPr>
            <w:r>
              <w:rPr>
                <w:rFonts w:ascii="Times New Roman" w:hAnsi="Times New Roman" w:cs="Times New Roman"/>
              </w:rPr>
              <w:t>Up</w:t>
            </w:r>
            <w:r>
              <w:rPr>
                <w:rFonts w:ascii="Times New Roman" w:hAnsi="Times New Roman" w:cs="Times New Roman" w:hint="eastAsia"/>
              </w:rPr>
              <w:t>:</w:t>
            </w:r>
            <w:r>
              <w:rPr>
                <w:rFonts w:ascii="Times New Roman" w:hAnsi="Times New Roman" w:cs="Times New Roman"/>
              </w:rPr>
              <w:t xml:space="preserve"> The voltage amplitude increases in the Z direction.</w:t>
            </w:r>
          </w:p>
          <w:p w14:paraId="51B57BB9" w14:textId="77777777" w:rsidR="00E9241A" w:rsidRDefault="0046554D">
            <w:pPr>
              <w:rPr>
                <w:rFonts w:ascii="Times New Roman" w:hAnsi="Times New Roman" w:cs="Times New Roman"/>
              </w:rPr>
            </w:pPr>
            <w:r>
              <w:rPr>
                <w:rFonts w:ascii="Times New Roman" w:hAnsi="Times New Roman" w:cs="Times New Roman"/>
              </w:rPr>
              <w:t>Down: The voltage amplitude decreases in the Z direction.</w:t>
            </w:r>
          </w:p>
          <w:p w14:paraId="3A583C34" w14:textId="77777777" w:rsidR="00E9241A" w:rsidRDefault="0046554D">
            <w:pPr>
              <w:rPr>
                <w:rFonts w:ascii="Times New Roman" w:hAnsi="Times New Roman" w:cs="Times New Roman"/>
              </w:rPr>
            </w:pPr>
            <w:r>
              <w:rPr>
                <w:rFonts w:ascii="Times New Roman" w:hAnsi="Times New Roman" w:cs="Times New Roman"/>
              </w:rPr>
              <w:t>Left / Right</w:t>
            </w:r>
            <w:r>
              <w:rPr>
                <w:rFonts w:ascii="Times New Roman" w:hAnsi="Times New Roman" w:cs="Times New Roman"/>
              </w:rPr>
              <w:t>：</w:t>
            </w:r>
            <w:r>
              <w:rPr>
                <w:rFonts w:ascii="Times New Roman" w:hAnsi="Times New Roman" w:cs="Times New Roman"/>
              </w:rPr>
              <w:t>The voltage amplitude is 0 in the Z direction.</w:t>
            </w:r>
          </w:p>
          <w:p w14:paraId="660A621E" w14:textId="77777777" w:rsidR="00E9241A" w:rsidRDefault="0046554D">
            <w:pPr>
              <w:rPr>
                <w:rFonts w:ascii="Times New Roman" w:hAnsi="Times New Roman" w:cs="Times New Roman"/>
              </w:rPr>
            </w:pPr>
            <w:r>
              <w:rPr>
                <w:rFonts w:ascii="Times New Roman" w:hAnsi="Times New Roman" w:cs="Times New Roman"/>
              </w:rPr>
              <w:t>A</w:t>
            </w:r>
            <w:bookmarkStart w:id="4" w:name="OLE_LINK8"/>
            <w:r>
              <w:rPr>
                <w:rFonts w:ascii="Times New Roman" w:hAnsi="Times New Roman" w:cs="Times New Roman"/>
              </w:rPr>
              <w:t xml:space="preserve">: Sine / cosine signal output state. The signal frequency and the step of </w:t>
            </w:r>
            <w:r>
              <w:rPr>
                <w:rFonts w:ascii="Times New Roman" w:hAnsi="Times New Roman" w:cs="Times New Roman"/>
              </w:rPr>
              <w:t>frequency is adjusted through LB and RB, respectively.</w:t>
            </w:r>
            <w:bookmarkEnd w:id="4"/>
            <w:r>
              <w:rPr>
                <w:rFonts w:ascii="Times New Roman" w:hAnsi="Times New Roman" w:cs="Times New Roman"/>
              </w:rPr>
              <w:t xml:space="preserve"> </w:t>
            </w:r>
          </w:p>
          <w:p w14:paraId="376300D3" w14:textId="77777777" w:rsidR="00E9241A" w:rsidRDefault="0046554D">
            <w:pPr>
              <w:rPr>
                <w:rFonts w:ascii="Times New Roman" w:hAnsi="Times New Roman" w:cs="Times New Roman"/>
              </w:rPr>
            </w:pPr>
            <w:r>
              <w:rPr>
                <w:rFonts w:ascii="Times New Roman" w:hAnsi="Times New Roman" w:cs="Times New Roman"/>
              </w:rPr>
              <w:t>LB</w:t>
            </w:r>
            <w:r>
              <w:rPr>
                <w:rFonts w:ascii="Times New Roman" w:hAnsi="Times New Roman" w:cs="Times New Roman" w:hint="eastAsia"/>
              </w:rPr>
              <w:t>:</w:t>
            </w:r>
            <w:r>
              <w:rPr>
                <w:rFonts w:ascii="Times New Roman" w:hAnsi="Times New Roman" w:cs="Times New Roman"/>
              </w:rPr>
              <w:t xml:space="preserve"> Increment of sine / cosine signal frequency</w:t>
            </w:r>
            <w:r>
              <w:rPr>
                <w:rFonts w:ascii="Times New Roman" w:hAnsi="Times New Roman" w:cs="Times New Roman" w:hint="eastAsia"/>
              </w:rPr>
              <w:t>.</w:t>
            </w:r>
          </w:p>
          <w:p w14:paraId="6C237604" w14:textId="77777777" w:rsidR="00E9241A" w:rsidRDefault="0046554D">
            <w:pPr>
              <w:rPr>
                <w:rFonts w:ascii="Times New Roman" w:hAnsi="Times New Roman" w:cs="Times New Roman"/>
              </w:rPr>
            </w:pPr>
            <w:r>
              <w:rPr>
                <w:rFonts w:ascii="Times New Roman" w:hAnsi="Times New Roman" w:cs="Times New Roman"/>
              </w:rPr>
              <w:t>RB</w:t>
            </w:r>
            <w:r>
              <w:rPr>
                <w:rFonts w:ascii="Times New Roman" w:hAnsi="Times New Roman" w:cs="Times New Roman" w:hint="eastAsia"/>
              </w:rPr>
              <w:t>:</w:t>
            </w:r>
            <w:r>
              <w:rPr>
                <w:rFonts w:ascii="Times New Roman" w:hAnsi="Times New Roman" w:cs="Times New Roman"/>
              </w:rPr>
              <w:t xml:space="preserve"> Decrement of sine / cosine signal frequency</w:t>
            </w:r>
            <w:r>
              <w:rPr>
                <w:rFonts w:ascii="Times New Roman" w:hAnsi="Times New Roman" w:cs="Times New Roman" w:hint="eastAsia"/>
              </w:rPr>
              <w:t>.</w:t>
            </w:r>
          </w:p>
          <w:p w14:paraId="27736FB7" w14:textId="77777777" w:rsidR="00E9241A" w:rsidRDefault="0046554D">
            <w:pPr>
              <w:rPr>
                <w:rFonts w:ascii="Times New Roman" w:hAnsi="Times New Roman" w:cs="Times New Roman"/>
              </w:rPr>
            </w:pPr>
            <w:r>
              <w:rPr>
                <w:rFonts w:ascii="Times New Roman" w:hAnsi="Times New Roman" w:cs="Times New Roman"/>
              </w:rPr>
              <w:t xml:space="preserve">B: From the continuous sine / cosine signal output state to the rod control state. </w:t>
            </w:r>
          </w:p>
          <w:p w14:paraId="1291877D" w14:textId="77777777" w:rsidR="00E9241A" w:rsidRDefault="0046554D">
            <w:pPr>
              <w:rPr>
                <w:rFonts w:ascii="Times New Roman" w:hAnsi="Times New Roman" w:cs="Times New Roman"/>
              </w:rPr>
            </w:pPr>
            <w:r>
              <w:rPr>
                <w:rFonts w:ascii="Times New Roman" w:hAnsi="Times New Roman" w:cs="Times New Roman"/>
              </w:rPr>
              <w:t xml:space="preserve">X: Output commands in the following text box at the same time on two serially connected devices. </w:t>
            </w:r>
          </w:p>
          <w:p w14:paraId="74078F3D" w14:textId="77777777" w:rsidR="00E9241A" w:rsidRDefault="0046554D">
            <w:pPr>
              <w:rPr>
                <w:rFonts w:ascii="Times New Roman" w:hAnsi="Times New Roman" w:cs="Times New Roman"/>
              </w:rPr>
            </w:pPr>
            <w:r>
              <w:rPr>
                <w:rFonts w:ascii="Times New Roman" w:hAnsi="Times New Roman" w:cs="Times New Roman"/>
              </w:rPr>
              <w:t>Y: Output commands in the following text box at the same time on the devic</w:t>
            </w:r>
            <w:r>
              <w:rPr>
                <w:rFonts w:ascii="Times New Roman" w:hAnsi="Times New Roman" w:cs="Times New Roman"/>
              </w:rPr>
              <w:t>e connected to the first serial port.</w:t>
            </w:r>
          </w:p>
        </w:tc>
        <w:tc>
          <w:tcPr>
            <w:tcW w:w="1418" w:type="dxa"/>
          </w:tcPr>
          <w:p w14:paraId="610F0647" w14:textId="77777777" w:rsidR="00E9241A" w:rsidRDefault="0046554D">
            <w:pPr>
              <w:jc w:val="left"/>
              <w:rPr>
                <w:rFonts w:ascii="Times New Roman" w:hAnsi="Times New Roman" w:cs="Times New Roman"/>
              </w:rPr>
            </w:pPr>
            <w:r>
              <w:rPr>
                <w:rFonts w:ascii="Times New Roman" w:hAnsi="Times New Roman" w:cs="Times New Roman"/>
                <w:noProof/>
              </w:rPr>
              <w:drawing>
                <wp:inline distT="0" distB="0" distL="0" distR="0" wp14:anchorId="231CBF6C" wp14:editId="20E865C8">
                  <wp:extent cx="889000" cy="65532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9634" cy="655820"/>
                          </a:xfrm>
                          <a:prstGeom prst="rect">
                            <a:avLst/>
                          </a:prstGeom>
                        </pic:spPr>
                      </pic:pic>
                    </a:graphicData>
                  </a:graphic>
                </wp:inline>
              </w:drawing>
            </w:r>
          </w:p>
        </w:tc>
      </w:tr>
      <w:tr w:rsidR="00E9241A" w14:paraId="2EE6F0EF" w14:textId="77777777">
        <w:tc>
          <w:tcPr>
            <w:tcW w:w="1838" w:type="dxa"/>
          </w:tcPr>
          <w:p w14:paraId="379D1EB2" w14:textId="77777777" w:rsidR="00E9241A" w:rsidRDefault="0046554D">
            <w:pPr>
              <w:jc w:val="left"/>
              <w:rPr>
                <w:rFonts w:ascii="Times New Roman" w:hAnsi="Times New Roman" w:cs="Times New Roman"/>
              </w:rPr>
            </w:pPr>
            <w:r>
              <w:rPr>
                <w:rFonts w:ascii="Times New Roman" w:hAnsi="Times New Roman" w:cs="Times New Roman"/>
                <w:b/>
                <w:bCs/>
              </w:rPr>
              <w:lastRenderedPageBreak/>
              <w:t>D</w:t>
            </w:r>
            <w:r>
              <w:rPr>
                <w:rFonts w:ascii="Times New Roman" w:hAnsi="Times New Roman" w:cs="Times New Roman"/>
              </w:rPr>
              <w:t xml:space="preserve"> Functions of the Ro</w:t>
            </w:r>
            <w:r>
              <w:rPr>
                <w:rFonts w:ascii="Times New Roman" w:hAnsi="Times New Roman" w:cs="Times New Roman" w:hint="eastAsia"/>
              </w:rPr>
              <w:t>d</w:t>
            </w:r>
            <w:r>
              <w:rPr>
                <w:rFonts w:ascii="Times New Roman" w:hAnsi="Times New Roman" w:cs="Times New Roman"/>
              </w:rPr>
              <w:t xml:space="preserve"> </w:t>
            </w:r>
          </w:p>
        </w:tc>
        <w:tc>
          <w:tcPr>
            <w:tcW w:w="4961" w:type="dxa"/>
          </w:tcPr>
          <w:p w14:paraId="21AF5414" w14:textId="77777777" w:rsidR="00E9241A" w:rsidRDefault="0046554D">
            <w:pPr>
              <w:rPr>
                <w:rFonts w:ascii="Times New Roman" w:hAnsi="Times New Roman" w:cs="Times New Roman"/>
              </w:rPr>
            </w:pPr>
            <w:bookmarkStart w:id="5" w:name="OLE_LINK12"/>
            <w:r>
              <w:rPr>
                <w:rFonts w:ascii="Times New Roman" w:hAnsi="Times New Roman" w:cs="Times New Roman"/>
              </w:rPr>
              <w:t>The operation of the two rod is displayed in two red circles. The “cross” in the middle of the circle represents the initial position of the rod. When the rodr is dialed, the dial direction w</w:t>
            </w:r>
            <w:r>
              <w:rPr>
                <w:rFonts w:ascii="Times New Roman" w:hAnsi="Times New Roman" w:cs="Times New Roman"/>
              </w:rPr>
              <w:t>ill be displayed in the corresponding circle, and the dial strength (i.e., the distance percentage from the initial position) is displayed in the following progress bar. If the “Lock” is selected, no matter what the strength is, the action will be consider</w:t>
            </w:r>
            <w:r>
              <w:rPr>
                <w:rFonts w:ascii="Times New Roman" w:hAnsi="Times New Roman" w:cs="Times New Roman"/>
              </w:rPr>
              <w:t xml:space="preserve">ed as the maximum strength. </w:t>
            </w:r>
          </w:p>
          <w:p w14:paraId="5E394CB2" w14:textId="77777777" w:rsidR="00E9241A" w:rsidRDefault="0046554D">
            <w:pPr>
              <w:rPr>
                <w:rFonts w:ascii="Times New Roman" w:hAnsi="Times New Roman" w:cs="Times New Roman"/>
              </w:rPr>
            </w:pPr>
            <w:r>
              <w:rPr>
                <w:rFonts w:ascii="Times New Roman" w:hAnsi="Times New Roman" w:cs="Times New Roman"/>
              </w:rPr>
              <w:t>In the rod control state, the command of positive/negative DC output is issued to the channel that controls the XY direction. The program calculates the amplitude of the two channels through the direction and strength of the ro</w:t>
            </w:r>
            <w:r>
              <w:rPr>
                <w:rFonts w:ascii="Times New Roman" w:hAnsi="Times New Roman" w:cs="Times New Roman"/>
              </w:rPr>
              <w:t xml:space="preserve">cker, and sends commands to control the magnetic field in the corresponding direction on the XY plane. </w:t>
            </w:r>
          </w:p>
          <w:p w14:paraId="574022CD" w14:textId="77777777" w:rsidR="00E9241A" w:rsidRDefault="0046554D">
            <w:pPr>
              <w:rPr>
                <w:rFonts w:ascii="Times New Roman" w:hAnsi="Times New Roman" w:cs="Times New Roman"/>
              </w:rPr>
            </w:pPr>
            <w:r>
              <w:rPr>
                <w:rFonts w:ascii="Times New Roman" w:hAnsi="Times New Roman" w:cs="Times New Roman"/>
              </w:rPr>
              <w:t>AMPz min, step, max is to display the minimum amplitude, step, maximum amplitude of voltage in Z direction, respectively. The command of positive / nega</w:t>
            </w:r>
            <w:r>
              <w:rPr>
                <w:rFonts w:ascii="Times New Roman" w:hAnsi="Times New Roman" w:cs="Times New Roman"/>
              </w:rPr>
              <w:t xml:space="preserve">tive DC output will be issued to the channel that controls the Z direction. The amplitude will change according to the specified step within the set range. </w:t>
            </w:r>
          </w:p>
          <w:p w14:paraId="52840004" w14:textId="77777777" w:rsidR="00E9241A" w:rsidRDefault="0046554D">
            <w:pPr>
              <w:rPr>
                <w:rFonts w:ascii="Times New Roman" w:hAnsi="Times New Roman" w:cs="Times New Roman"/>
              </w:rPr>
            </w:pPr>
            <w:proofErr w:type="gramStart"/>
            <w:r>
              <w:rPr>
                <w:rFonts w:ascii="Times New Roman" w:hAnsi="Times New Roman" w:cs="Times New Roman"/>
              </w:rPr>
              <w:t>Note :</w:t>
            </w:r>
            <w:proofErr w:type="gramEnd"/>
            <w:r>
              <w:rPr>
                <w:rFonts w:ascii="Times New Roman" w:hAnsi="Times New Roman" w:cs="Times New Roman"/>
              </w:rPr>
              <w:t xml:space="preserve"> In the continuous sine / cosine signal output state, the rod does not work. </w:t>
            </w:r>
            <w:bookmarkEnd w:id="5"/>
          </w:p>
        </w:tc>
        <w:tc>
          <w:tcPr>
            <w:tcW w:w="1418" w:type="dxa"/>
          </w:tcPr>
          <w:p w14:paraId="2D0188B9" w14:textId="77777777" w:rsidR="00E9241A" w:rsidRDefault="0046554D">
            <w:pPr>
              <w:jc w:val="left"/>
              <w:rPr>
                <w:rFonts w:ascii="Times New Roman" w:hAnsi="Times New Roman" w:cs="Times New Roman"/>
              </w:rPr>
            </w:pPr>
            <w:r>
              <w:rPr>
                <w:rFonts w:ascii="Times New Roman" w:hAnsi="Times New Roman" w:cs="Times New Roman"/>
                <w:noProof/>
              </w:rPr>
              <w:drawing>
                <wp:inline distT="0" distB="0" distL="0" distR="0" wp14:anchorId="0E957171" wp14:editId="162DAFFB">
                  <wp:extent cx="899795" cy="65341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00000" cy="654000"/>
                          </a:xfrm>
                          <a:prstGeom prst="rect">
                            <a:avLst/>
                          </a:prstGeom>
                        </pic:spPr>
                      </pic:pic>
                    </a:graphicData>
                  </a:graphic>
                </wp:inline>
              </w:drawing>
            </w:r>
          </w:p>
        </w:tc>
      </w:tr>
      <w:tr w:rsidR="00E9241A" w14:paraId="629D446B" w14:textId="77777777">
        <w:tc>
          <w:tcPr>
            <w:tcW w:w="1838" w:type="dxa"/>
          </w:tcPr>
          <w:p w14:paraId="6CB5BE7D" w14:textId="77777777" w:rsidR="00E9241A" w:rsidRDefault="0046554D">
            <w:pPr>
              <w:jc w:val="left"/>
              <w:rPr>
                <w:rFonts w:ascii="Times New Roman" w:hAnsi="Times New Roman" w:cs="Times New Roman"/>
              </w:rPr>
            </w:pPr>
            <w:r>
              <w:rPr>
                <w:rFonts w:ascii="Times New Roman" w:hAnsi="Times New Roman" w:cs="Times New Roman"/>
                <w:b/>
                <w:bCs/>
              </w:rPr>
              <w:t>E</w:t>
            </w:r>
            <w:r>
              <w:rPr>
                <w:rFonts w:ascii="Times New Roman" w:hAnsi="Times New Roman" w:cs="Times New Roman"/>
              </w:rPr>
              <w:t xml:space="preserve"> Commands o</w:t>
            </w:r>
            <w:r>
              <w:rPr>
                <w:rFonts w:ascii="Times New Roman" w:hAnsi="Times New Roman" w:cs="Times New Roman"/>
              </w:rPr>
              <w:t>utput display</w:t>
            </w:r>
          </w:p>
        </w:tc>
        <w:tc>
          <w:tcPr>
            <w:tcW w:w="4961" w:type="dxa"/>
          </w:tcPr>
          <w:p w14:paraId="1359AE0F" w14:textId="77777777" w:rsidR="00E9241A" w:rsidRDefault="0046554D">
            <w:pPr>
              <w:jc w:val="left"/>
              <w:rPr>
                <w:rFonts w:ascii="Times New Roman" w:hAnsi="Times New Roman" w:cs="Times New Roman"/>
              </w:rPr>
            </w:pPr>
            <w:r>
              <w:rPr>
                <w:rFonts w:ascii="Times New Roman" w:hAnsi="Times New Roman" w:cs="Times New Roman"/>
              </w:rPr>
              <w:t xml:space="preserve">Display of the commands that send to the serial port connected to the two set of signal generator.  </w:t>
            </w:r>
          </w:p>
        </w:tc>
        <w:tc>
          <w:tcPr>
            <w:tcW w:w="1418" w:type="dxa"/>
          </w:tcPr>
          <w:p w14:paraId="7277379C" w14:textId="77777777" w:rsidR="00E9241A" w:rsidRDefault="0046554D">
            <w:pPr>
              <w:jc w:val="left"/>
              <w:rPr>
                <w:rFonts w:ascii="Times New Roman" w:hAnsi="Times New Roman" w:cs="Times New Roman"/>
              </w:rPr>
            </w:pPr>
            <w:r>
              <w:rPr>
                <w:rFonts w:ascii="Times New Roman" w:hAnsi="Times New Roman" w:cs="Times New Roman"/>
              </w:rPr>
              <w:t>\</w:t>
            </w:r>
          </w:p>
        </w:tc>
      </w:tr>
    </w:tbl>
    <w:p w14:paraId="4656BAAD" w14:textId="77777777" w:rsidR="00E9241A" w:rsidRDefault="00E9241A">
      <w:pPr>
        <w:jc w:val="left"/>
        <w:rPr>
          <w:rFonts w:ascii="Times New Roman" w:hAnsi="Times New Roman" w:cs="Times New Roman"/>
        </w:rPr>
      </w:pPr>
    </w:p>
    <w:sectPr w:rsidR="00E924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43639" w14:textId="77777777" w:rsidR="0046554D" w:rsidRDefault="0046554D" w:rsidP="00B10F32">
      <w:r>
        <w:separator/>
      </w:r>
    </w:p>
  </w:endnote>
  <w:endnote w:type="continuationSeparator" w:id="0">
    <w:p w14:paraId="030F18B3" w14:textId="77777777" w:rsidR="0046554D" w:rsidRDefault="0046554D" w:rsidP="00B1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29AF4" w14:textId="77777777" w:rsidR="0046554D" w:rsidRDefault="0046554D" w:rsidP="00B10F32">
      <w:r>
        <w:separator/>
      </w:r>
    </w:p>
  </w:footnote>
  <w:footnote w:type="continuationSeparator" w:id="0">
    <w:p w14:paraId="7F81DE12" w14:textId="77777777" w:rsidR="0046554D" w:rsidRDefault="0046554D" w:rsidP="00B10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BiNWI3YjY1YmU4YTEwN2JkMDZjM2U4OThhMzNhZDUifQ=="/>
  </w:docVars>
  <w:rsids>
    <w:rsidRoot w:val="00A546AC"/>
    <w:rsid w:val="00005795"/>
    <w:rsid w:val="00016209"/>
    <w:rsid w:val="00026794"/>
    <w:rsid w:val="000A6B11"/>
    <w:rsid w:val="000A75B8"/>
    <w:rsid w:val="000B008B"/>
    <w:rsid w:val="000B416B"/>
    <w:rsid w:val="000C43A4"/>
    <w:rsid w:val="000E4FB4"/>
    <w:rsid w:val="000E5CB4"/>
    <w:rsid w:val="001269F4"/>
    <w:rsid w:val="0016110D"/>
    <w:rsid w:val="001617FB"/>
    <w:rsid w:val="00164074"/>
    <w:rsid w:val="0019628F"/>
    <w:rsid w:val="001A0229"/>
    <w:rsid w:val="001A15E8"/>
    <w:rsid w:val="001A72DA"/>
    <w:rsid w:val="001C545D"/>
    <w:rsid w:val="001F5263"/>
    <w:rsid w:val="001F62E6"/>
    <w:rsid w:val="002304D8"/>
    <w:rsid w:val="002A7591"/>
    <w:rsid w:val="002C433B"/>
    <w:rsid w:val="002E5E6E"/>
    <w:rsid w:val="002E7E1C"/>
    <w:rsid w:val="002F2765"/>
    <w:rsid w:val="00356D12"/>
    <w:rsid w:val="00380D7A"/>
    <w:rsid w:val="003931C6"/>
    <w:rsid w:val="0039408D"/>
    <w:rsid w:val="003B5480"/>
    <w:rsid w:val="003D3127"/>
    <w:rsid w:val="003E5C8C"/>
    <w:rsid w:val="00414B2E"/>
    <w:rsid w:val="00427815"/>
    <w:rsid w:val="00432A29"/>
    <w:rsid w:val="004338FD"/>
    <w:rsid w:val="00442C87"/>
    <w:rsid w:val="00450080"/>
    <w:rsid w:val="00452122"/>
    <w:rsid w:val="00454B32"/>
    <w:rsid w:val="00463C51"/>
    <w:rsid w:val="0046554D"/>
    <w:rsid w:val="00470368"/>
    <w:rsid w:val="00471662"/>
    <w:rsid w:val="00473E5D"/>
    <w:rsid w:val="004845DB"/>
    <w:rsid w:val="00496414"/>
    <w:rsid w:val="004C1711"/>
    <w:rsid w:val="004C7830"/>
    <w:rsid w:val="004D21EA"/>
    <w:rsid w:val="004D2D89"/>
    <w:rsid w:val="004E05EF"/>
    <w:rsid w:val="004E64CC"/>
    <w:rsid w:val="004E6A42"/>
    <w:rsid w:val="00504BA0"/>
    <w:rsid w:val="0051000A"/>
    <w:rsid w:val="0051736A"/>
    <w:rsid w:val="00522EEF"/>
    <w:rsid w:val="005302C8"/>
    <w:rsid w:val="00531F3E"/>
    <w:rsid w:val="00545A3A"/>
    <w:rsid w:val="005752E5"/>
    <w:rsid w:val="00580D00"/>
    <w:rsid w:val="0059559A"/>
    <w:rsid w:val="005B097C"/>
    <w:rsid w:val="005B22BA"/>
    <w:rsid w:val="005D2242"/>
    <w:rsid w:val="005D69E0"/>
    <w:rsid w:val="005D79B6"/>
    <w:rsid w:val="0066181F"/>
    <w:rsid w:val="0066746F"/>
    <w:rsid w:val="006D1AAE"/>
    <w:rsid w:val="006D708B"/>
    <w:rsid w:val="006E3C42"/>
    <w:rsid w:val="006E6306"/>
    <w:rsid w:val="006F2319"/>
    <w:rsid w:val="006F26BC"/>
    <w:rsid w:val="006F2CB0"/>
    <w:rsid w:val="007019A1"/>
    <w:rsid w:val="00711494"/>
    <w:rsid w:val="00742D17"/>
    <w:rsid w:val="0078458E"/>
    <w:rsid w:val="0078718A"/>
    <w:rsid w:val="007A1846"/>
    <w:rsid w:val="007A5688"/>
    <w:rsid w:val="007A78A4"/>
    <w:rsid w:val="007B5133"/>
    <w:rsid w:val="007C1A8B"/>
    <w:rsid w:val="007F14AD"/>
    <w:rsid w:val="007F637C"/>
    <w:rsid w:val="008435E3"/>
    <w:rsid w:val="00866FCB"/>
    <w:rsid w:val="008745A4"/>
    <w:rsid w:val="0088001E"/>
    <w:rsid w:val="008C2295"/>
    <w:rsid w:val="008C5CDB"/>
    <w:rsid w:val="008E04CF"/>
    <w:rsid w:val="00921093"/>
    <w:rsid w:val="00936AA3"/>
    <w:rsid w:val="009436AC"/>
    <w:rsid w:val="00973C48"/>
    <w:rsid w:val="00976FA2"/>
    <w:rsid w:val="0099130B"/>
    <w:rsid w:val="009A3D10"/>
    <w:rsid w:val="009C68F0"/>
    <w:rsid w:val="009D5C1A"/>
    <w:rsid w:val="009E389D"/>
    <w:rsid w:val="009F3294"/>
    <w:rsid w:val="009F3438"/>
    <w:rsid w:val="00A03722"/>
    <w:rsid w:val="00A329E1"/>
    <w:rsid w:val="00A530C5"/>
    <w:rsid w:val="00A546AC"/>
    <w:rsid w:val="00A57A77"/>
    <w:rsid w:val="00A94051"/>
    <w:rsid w:val="00AC2846"/>
    <w:rsid w:val="00AC3E30"/>
    <w:rsid w:val="00AE4116"/>
    <w:rsid w:val="00AF5414"/>
    <w:rsid w:val="00B0373B"/>
    <w:rsid w:val="00B10F32"/>
    <w:rsid w:val="00B24AB1"/>
    <w:rsid w:val="00B40482"/>
    <w:rsid w:val="00B42896"/>
    <w:rsid w:val="00B50317"/>
    <w:rsid w:val="00B513F3"/>
    <w:rsid w:val="00B56120"/>
    <w:rsid w:val="00B82E13"/>
    <w:rsid w:val="00BC5380"/>
    <w:rsid w:val="00BD7885"/>
    <w:rsid w:val="00C14823"/>
    <w:rsid w:val="00C1545A"/>
    <w:rsid w:val="00C24D06"/>
    <w:rsid w:val="00C461BC"/>
    <w:rsid w:val="00C53DA7"/>
    <w:rsid w:val="00C64138"/>
    <w:rsid w:val="00C829BB"/>
    <w:rsid w:val="00CA45F1"/>
    <w:rsid w:val="00CC57E4"/>
    <w:rsid w:val="00D04930"/>
    <w:rsid w:val="00D12C40"/>
    <w:rsid w:val="00D1457D"/>
    <w:rsid w:val="00D20AC1"/>
    <w:rsid w:val="00D3585B"/>
    <w:rsid w:val="00D366A2"/>
    <w:rsid w:val="00D367BB"/>
    <w:rsid w:val="00D90B33"/>
    <w:rsid w:val="00DA3343"/>
    <w:rsid w:val="00DA6C9C"/>
    <w:rsid w:val="00DD61FA"/>
    <w:rsid w:val="00DE3E50"/>
    <w:rsid w:val="00DE66BD"/>
    <w:rsid w:val="00DF45CD"/>
    <w:rsid w:val="00E20557"/>
    <w:rsid w:val="00E515D5"/>
    <w:rsid w:val="00E551B4"/>
    <w:rsid w:val="00E57085"/>
    <w:rsid w:val="00E57C1E"/>
    <w:rsid w:val="00E6092B"/>
    <w:rsid w:val="00E67DCE"/>
    <w:rsid w:val="00E9241A"/>
    <w:rsid w:val="00EB129B"/>
    <w:rsid w:val="00EB55D2"/>
    <w:rsid w:val="00EC676B"/>
    <w:rsid w:val="00EE19EB"/>
    <w:rsid w:val="00F07BEF"/>
    <w:rsid w:val="00F12B43"/>
    <w:rsid w:val="00F4501B"/>
    <w:rsid w:val="00F50AC3"/>
    <w:rsid w:val="00F52263"/>
    <w:rsid w:val="00F56237"/>
    <w:rsid w:val="00F74EC4"/>
    <w:rsid w:val="00F8009F"/>
    <w:rsid w:val="00F80F40"/>
    <w:rsid w:val="00FB3E6C"/>
    <w:rsid w:val="00FB6947"/>
    <w:rsid w:val="00FE5CB2"/>
    <w:rsid w:val="09DC2C0E"/>
    <w:rsid w:val="17D13BBE"/>
    <w:rsid w:val="227D7B2F"/>
    <w:rsid w:val="25550AA7"/>
    <w:rsid w:val="361965F2"/>
    <w:rsid w:val="41B15A48"/>
    <w:rsid w:val="77F53433"/>
    <w:rsid w:val="7DBB195B"/>
    <w:rsid w:val="7EA13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CE859"/>
  <w15:docId w15:val="{A87EBEA1-1C9C-4640-830B-CDEBD75C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endnote text"/>
    <w:basedOn w:val="a"/>
    <w:link w:val="a5"/>
    <w:uiPriority w:val="99"/>
    <w:semiHidden/>
    <w:unhideWhenUsed/>
    <w:qFormat/>
    <w:pPr>
      <w:snapToGrid w:val="0"/>
      <w:jc w:val="left"/>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rPr>
      <w:sz w:val="24"/>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ndnote reference"/>
    <w:basedOn w:val="a0"/>
    <w:uiPriority w:val="99"/>
    <w:semiHidden/>
    <w:unhideWhenUsed/>
    <w:qFormat/>
    <w:rPr>
      <w:vertAlign w:val="superscript"/>
    </w:rPr>
  </w:style>
  <w:style w:type="character" w:styleId="ad">
    <w:name w:val="Hyperlink"/>
    <w:basedOn w:val="a0"/>
    <w:uiPriority w:val="99"/>
    <w:unhideWhenUsed/>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customStyle="1" w:styleId="AbstractSummary">
    <w:name w:val="Abstract/Summary"/>
    <w:basedOn w:val="a"/>
    <w:qFormat/>
    <w:pPr>
      <w:widowControl/>
      <w:spacing w:before="120"/>
      <w:jc w:val="left"/>
    </w:pPr>
    <w:rPr>
      <w:rFonts w:ascii="Times New Roman" w:eastAsia="Times New Roman" w:hAnsi="Times New Roman" w:cs="Times New Roman"/>
      <w:kern w:val="0"/>
      <w:sz w:val="24"/>
      <w:szCs w:val="24"/>
      <w:lang w:eastAsia="en-US"/>
    </w:rPr>
  </w:style>
  <w:style w:type="paragraph" w:customStyle="1" w:styleId="Refhead">
    <w:name w:val="Ref head"/>
    <w:basedOn w:val="a"/>
    <w:qFormat/>
    <w:pPr>
      <w:keepNext/>
      <w:widowControl/>
      <w:spacing w:before="120" w:after="120"/>
      <w:jc w:val="left"/>
      <w:outlineLvl w:val="0"/>
    </w:pPr>
    <w:rPr>
      <w:rFonts w:ascii="Times New Roman" w:eastAsia="Times New Roman" w:hAnsi="Times New Roman" w:cs="Times New Roman"/>
      <w:b/>
      <w:bCs/>
      <w:kern w:val="28"/>
      <w:sz w:val="24"/>
      <w:szCs w:val="24"/>
      <w:lang w:eastAsia="en-US"/>
    </w:rPr>
  </w:style>
  <w:style w:type="character" w:customStyle="1" w:styleId="a5">
    <w:name w:val="尾注文本 字符"/>
    <w:basedOn w:val="a0"/>
    <w:link w:val="a4"/>
    <w:uiPriority w:val="99"/>
    <w:semiHidden/>
    <w:qFormat/>
    <w:rPr>
      <w:rFonts w:asciiTheme="minorHAnsi" w:eastAsiaTheme="minorEastAsia" w:hAnsiTheme="minorHAnsi" w:cstheme="minorBidi"/>
      <w:kern w:val="2"/>
      <w:sz w:val="21"/>
      <w:szCs w:val="22"/>
    </w:rPr>
  </w:style>
  <w:style w:type="paragraph" w:styleId="ae">
    <w:name w:val="List Paragraph"/>
    <w:basedOn w:val="a"/>
    <w:uiPriority w:val="99"/>
    <w:qFormat/>
    <w:pPr>
      <w:ind w:firstLineChars="200" w:firstLine="420"/>
    </w:pPr>
  </w:style>
  <w:style w:type="paragraph" w:customStyle="1" w:styleId="Head">
    <w:name w:val="Head"/>
    <w:basedOn w:val="a"/>
    <w:qFormat/>
    <w:pPr>
      <w:keepNext/>
      <w:widowControl/>
      <w:spacing w:before="120" w:after="120"/>
      <w:jc w:val="center"/>
      <w:outlineLvl w:val="0"/>
    </w:pPr>
    <w:rPr>
      <w:rFonts w:ascii="Times New Roman" w:eastAsia="Times New Roman" w:hAnsi="Times New Roman" w:cs="Times New Roman"/>
      <w:b/>
      <w:bCs/>
      <w:kern w:val="28"/>
      <w:sz w:val="28"/>
      <w:szCs w:val="28"/>
      <w:lang w:eastAsia="en-US"/>
    </w:rPr>
  </w:style>
  <w:style w:type="paragraph" w:customStyle="1" w:styleId="Paragraph">
    <w:name w:val="Paragraph"/>
    <w:basedOn w:val="a"/>
    <w:qFormat/>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Teaser">
    <w:name w:val="Teaser"/>
    <w:basedOn w:val="a"/>
    <w:qFormat/>
    <w:pPr>
      <w:widowControl/>
      <w:spacing w:before="120"/>
      <w:jc w:val="left"/>
    </w:pPr>
    <w:rPr>
      <w:rFonts w:ascii="Times New Roman" w:eastAsia="Times New Roman" w:hAnsi="Times New Roman" w:cs="Times New Roman"/>
      <w:kern w:val="0"/>
      <w:sz w:val="24"/>
      <w:szCs w:val="24"/>
      <w:lang w:eastAsia="en-US"/>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tif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svg"/><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6.sv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818D-AC9A-4D4B-BA91-CF01592E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6</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Xu ZHENG</cp:lastModifiedBy>
  <cp:revision>122</cp:revision>
  <dcterms:created xsi:type="dcterms:W3CDTF">2022-04-03T12:56:00Z</dcterms:created>
  <dcterms:modified xsi:type="dcterms:W3CDTF">2022-05-26T05:35:00Z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CB3FF3E67A744975A3F63D3F5D72C0AA</vt:lpwstr>
  </property>
</Properties>
</file>