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default" w:ascii="Arial" w:hAnsi="Arial" w:cs="Arial" w:eastAsiaTheme="minorEastAsia"/>
          <w:sz w:val="22"/>
          <w:szCs w:val="22"/>
          <w:lang w:val="en-US" w:eastAsia="zh-CN"/>
        </w:rPr>
      </w:pPr>
      <w:r>
        <w:rPr>
          <w:rFonts w:hint="eastAsia" w:ascii="Arial" w:hAnsi="Arial" w:cs="Arial"/>
          <w:sz w:val="22"/>
          <w:szCs w:val="22"/>
          <w:lang w:val="en-US" w:eastAsia="zh-CN"/>
        </w:rPr>
        <w:t>SUPPLEMENTAL MATERIALS</w:t>
      </w:r>
      <w:bookmarkStart w:id="0" w:name="_GoBack"/>
      <w:bookmarkEnd w:id="0"/>
    </w:p>
    <w:p>
      <w:pPr>
        <w:spacing w:line="240" w:lineRule="auto"/>
        <w:rPr>
          <w:rFonts w:hint="default" w:ascii="Arial" w:hAnsi="Arial" w:cs="Arial"/>
          <w:sz w:val="22"/>
          <w:szCs w:val="22"/>
        </w:rPr>
      </w:pPr>
    </w:p>
    <w:p>
      <w:pPr>
        <w:spacing w:line="240" w:lineRule="auto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 xml:space="preserve">Table S1. Correlation between </w:t>
      </w:r>
      <w:r>
        <w:rPr>
          <w:rFonts w:hint="default" w:ascii="Arial" w:hAnsi="Arial" w:cs="Arial"/>
          <w:sz w:val="22"/>
          <w:szCs w:val="22"/>
        </w:rPr>
        <w:t xml:space="preserve">the </w:t>
      </w:r>
      <w:r>
        <w:rPr>
          <w:rFonts w:hint="default" w:ascii="Arial" w:hAnsi="Arial" w:cs="Arial"/>
          <w:sz w:val="22"/>
          <w:szCs w:val="22"/>
        </w:rPr>
        <w:t>TyG index and traditional vascular stenosis risk factors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3750"/>
        <w:gridCol w:w="25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tcBorders>
              <w:bottom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3750" w:type="dxa"/>
            <w:tcBorders>
              <w:bottom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Beta (95% CI)</w:t>
            </w:r>
          </w:p>
        </w:tc>
        <w:tc>
          <w:tcPr>
            <w:tcW w:w="2509" w:type="dxa"/>
            <w:tcBorders>
              <w:bottom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hint="default" w:ascii="Arial" w:hAnsi="Arial" w:cs="Arial"/>
                <w:sz w:val="22"/>
                <w:szCs w:val="22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  <w:tcBorders>
              <w:top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3750" w:type="dxa"/>
            <w:tcBorders>
              <w:top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-0.43(-0.91-0.06)</w:t>
            </w:r>
          </w:p>
        </w:tc>
        <w:tc>
          <w:tcPr>
            <w:tcW w:w="2509" w:type="dxa"/>
            <w:tcBorders>
              <w:top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0.0826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Sex, men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0.06(0.04-0.08)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BMI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1.60(1.47-1.72)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SBP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5.34(4.54-6.15)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DBP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3.44(3.00-3.88)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FBG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1.04(0.98-1.09)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TC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0.51(0.47-0.55)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TG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1.78(1.75-1.81)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HDL-C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-0.16(-0.18 - -0.14)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LDL-C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0.18(0.15-0.21)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Hs-CRP</w:t>
            </w:r>
          </w:p>
        </w:tc>
        <w:tc>
          <w:tcPr>
            <w:tcW w:w="3750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0.39(0.22-0.56)</w:t>
            </w:r>
          </w:p>
        </w:tc>
        <w:tc>
          <w:tcPr>
            <w:tcW w:w="2509" w:type="dxa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&lt;0.0001</w:t>
            </w:r>
          </w:p>
        </w:tc>
      </w:tr>
    </w:tbl>
    <w:p>
      <w:pPr>
        <w:spacing w:line="240" w:lineRule="auto"/>
        <w:rPr>
          <w:rFonts w:hint="default" w:ascii="Arial" w:hAnsi="Arial" w:cs="Arial"/>
          <w:sz w:val="22"/>
          <w:szCs w:val="2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Arial" w:hAnsi="Arial" w:cs="Arial"/>
          <w:sz w:val="22"/>
          <w:szCs w:val="22"/>
        </w:rPr>
        <w:t>Abbreviation:</w:t>
      </w:r>
      <w:r>
        <w:rPr>
          <w:rFonts w:hint="default" w:ascii="Arial" w:hAnsi="Arial" w:cs="Arial"/>
          <w:sz w:val="22"/>
          <w:szCs w:val="22"/>
        </w:rPr>
        <w:t xml:space="preserve"> BMI, body mass index; CI, confidence interval; DBP, diastolic blood pressure; LDL-C, low-density lipoprotein cholesterol; HDL-C, high-density lipoprotein cholesterol; hs-CRP, high-sensitivity C-reactive protein; SBP, systolic blood pressure; TC, total cholesterol; TG, triglyceride; TyG, triglyceride-glucose index</w:t>
      </w:r>
    </w:p>
    <w:p>
      <w:pPr>
        <w:spacing w:line="240" w:lineRule="auto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Table S2. Age- and sex-specific association of high TyG index (T3) with the outcomes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3"/>
        <w:gridCol w:w="2833"/>
        <w:gridCol w:w="2833"/>
        <w:gridCol w:w="2833"/>
        <w:gridCol w:w="283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  <w:tcBorders>
              <w:bottom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  <w:tcBorders>
              <w:bottom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Prevalent ICAS</w:t>
            </w:r>
          </w:p>
        </w:tc>
        <w:tc>
          <w:tcPr>
            <w:tcW w:w="999" w:type="pct"/>
            <w:tcBorders>
              <w:bottom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Prevalent ECAS</w:t>
            </w:r>
          </w:p>
        </w:tc>
        <w:tc>
          <w:tcPr>
            <w:tcW w:w="999" w:type="pct"/>
            <w:tcBorders>
              <w:bottom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Incident ICAS</w:t>
            </w:r>
          </w:p>
        </w:tc>
        <w:tc>
          <w:tcPr>
            <w:tcW w:w="1000" w:type="pct"/>
            <w:tcBorders>
              <w:bottom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Incident ECAS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  <w:tcBorders>
              <w:top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Age</w:t>
            </w:r>
          </w:p>
        </w:tc>
        <w:tc>
          <w:tcPr>
            <w:tcW w:w="999" w:type="pct"/>
            <w:tcBorders>
              <w:top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  <w:tcBorders>
              <w:top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  <w:tcBorders>
              <w:top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  <w:tcBorders>
              <w:top w:val="single" w:color="auto" w:sz="4" w:space="0"/>
            </w:tcBorders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&lt;60 years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1.09(0.80-1.49)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1.38(1.14-1.66)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1.19(0.82-1.74)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1.86(1.22-2.82)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</w:t>
            </w:r>
            <w:r>
              <w:rPr>
                <w:rFonts w:hint="default" w:ascii="Arial" w:hAnsi="Arial" w:cs="Arial"/>
                <w:sz w:val="22"/>
                <w:szCs w:val="22"/>
              </w:rPr>
              <w:t>≥</w:t>
            </w:r>
            <w:r>
              <w:rPr>
                <w:rFonts w:hint="default" w:ascii="Arial" w:hAnsi="Arial" w:cs="Arial"/>
                <w:sz w:val="22"/>
                <w:szCs w:val="22"/>
              </w:rPr>
              <w:t>60 years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1.46(1.00-2.13)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1.06(0.73-1.54)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0.78(0.41-1.48)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2.24(0.73-6.91)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</w:t>
            </w:r>
            <w:r>
              <w:rPr>
                <w:rFonts w:hint="default"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hint="default" w:ascii="Arial" w:hAnsi="Arial" w:cs="Arial"/>
                <w:sz w:val="22"/>
                <w:szCs w:val="22"/>
              </w:rPr>
              <w:t xml:space="preserve"> for interaction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0.6536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0.0632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0.6673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0.3779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Sex 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Women 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1.33(0.91-1.95)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1.50(1.15-1.95)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1.10(0.71-1.71)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1.75(0.98-3.13)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Men 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1.13(0.83-1.54)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1.12(0.90-1.37)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1.03(0.64-1.65)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1.87(1.11-3.14)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</w:t>
            </w:r>
            <w:r>
              <w:rPr>
                <w:rFonts w:hint="default"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hint="default" w:ascii="Arial" w:hAnsi="Arial" w:cs="Arial"/>
                <w:sz w:val="22"/>
                <w:szCs w:val="22"/>
              </w:rPr>
              <w:t xml:space="preserve"> for interaction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0.6013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0.2691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0.6303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0.9012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BMI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&lt;28 kg/m</w:t>
            </w:r>
            <w:r>
              <w:rPr>
                <w:rFonts w:hint="default"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1.08(0.83-1.39)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1.18(0.98-1.41)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1.08(0.76-1.54)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1.70(1.12-2.60)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</w:t>
            </w:r>
            <w:r>
              <w:rPr>
                <w:rFonts w:hint="default" w:ascii="Arial" w:hAnsi="Arial" w:cs="Arial"/>
                <w:sz w:val="22"/>
                <w:szCs w:val="22"/>
              </w:rPr>
              <w:t xml:space="preserve"> ≥</w:t>
            </w:r>
            <w:r>
              <w:rPr>
                <w:rFonts w:hint="default" w:ascii="Arial" w:hAnsi="Arial" w:cs="Arial"/>
                <w:sz w:val="22"/>
                <w:szCs w:val="22"/>
              </w:rPr>
              <w:t>28 kg/m</w:t>
            </w:r>
            <w:r>
              <w:rPr>
                <w:rFonts w:hint="default"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1.68(0.86-3.24)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1.17(0.76-1.80)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0.69(0.31-1.55)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1.45(0.50-4.27)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</w:t>
            </w:r>
            <w:r>
              <w:rPr>
                <w:rFonts w:hint="default"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hint="default" w:ascii="Arial" w:hAnsi="Arial" w:cs="Arial"/>
                <w:sz w:val="22"/>
                <w:szCs w:val="22"/>
              </w:rPr>
              <w:t xml:space="preserve"> for interaction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0.4756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0.6769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0.5993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0.9799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Diabetes 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No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1.17(0.91-1.49)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1.19(1.00-1.40)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1.16(0.83-1.62)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1.88(1.27-2.77)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Yes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2.62(0.87-7.88)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1.13(0.43-2.96)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1.22(0.60-0.82)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2.29(0.63-8.61)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 xml:space="preserve">  </w:t>
            </w:r>
            <w:r>
              <w:rPr>
                <w:rFonts w:hint="default" w:ascii="Arial" w:hAnsi="Arial" w:cs="Arial"/>
                <w:i/>
                <w:iCs/>
                <w:sz w:val="22"/>
                <w:szCs w:val="22"/>
              </w:rPr>
              <w:t>P</w:t>
            </w:r>
            <w:r>
              <w:rPr>
                <w:rFonts w:hint="default" w:ascii="Arial" w:hAnsi="Arial" w:cs="Arial"/>
                <w:sz w:val="22"/>
                <w:szCs w:val="22"/>
              </w:rPr>
              <w:t xml:space="preserve"> for interaction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0.1635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0.2531</w:t>
            </w:r>
          </w:p>
        </w:tc>
        <w:tc>
          <w:tcPr>
            <w:tcW w:w="999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0.1706</w:t>
            </w:r>
          </w:p>
        </w:tc>
        <w:tc>
          <w:tcPr>
            <w:tcW w:w="1000" w:type="pct"/>
          </w:tcPr>
          <w:p>
            <w:pPr>
              <w:spacing w:line="240" w:lineRule="auto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0.1561</w:t>
            </w:r>
          </w:p>
        </w:tc>
      </w:tr>
    </w:tbl>
    <w:p>
      <w:pPr>
        <w:spacing w:line="240" w:lineRule="auto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>Abbreviations: ECAS, extracranial carotid stenosis; ICAS, intracranial arterial stenosis, TyG, triglyceride-glucose index.</w:t>
      </w:r>
    </w:p>
    <w:p>
      <w:pPr>
        <w:spacing w:line="240" w:lineRule="auto"/>
        <w:rPr>
          <w:rFonts w:hint="default" w:ascii="Arial" w:hAnsi="Arial" w:cs="Arial"/>
          <w:sz w:val="22"/>
          <w:szCs w:val="22"/>
        </w:rPr>
      </w:pPr>
      <w:r>
        <w:rPr>
          <w:rFonts w:hint="default" w:ascii="Arial" w:hAnsi="Arial" w:cs="Arial"/>
          <w:sz w:val="22"/>
          <w:szCs w:val="22"/>
        </w:rPr>
        <w:t xml:space="preserve">Adjusted for </w:t>
      </w:r>
      <w:r>
        <w:rPr>
          <w:rFonts w:hint="default" w:ascii="Arial" w:hAnsi="Arial" w:cs="Arial"/>
          <w:sz w:val="22"/>
          <w:szCs w:val="22"/>
        </w:rPr>
        <w:t xml:space="preserve">age, sex, </w:t>
      </w:r>
      <w:r>
        <w:rPr>
          <w:rFonts w:hint="default" w:ascii="Arial" w:hAnsi="Arial" w:cs="Arial"/>
          <w:sz w:val="22"/>
          <w:szCs w:val="22"/>
        </w:rPr>
        <w:t>body mass index, education, income, physical activity, smoking status, drinking status</w:t>
      </w:r>
      <w:r>
        <w:rPr>
          <w:rFonts w:hint="default" w:ascii="Arial" w:hAnsi="Arial" w:cs="Arial"/>
          <w:sz w:val="22"/>
          <w:szCs w:val="22"/>
        </w:rPr>
        <w:t>, history of hypertension, diabetes, dyslipidemia, antihypertensive agents, antidiabetic agents, lipid-lowering agents, high</w:t>
      </w:r>
      <w:r>
        <w:rPr>
          <w:rFonts w:hint="default" w:ascii="Arial" w:hAnsi="Arial" w:cs="Arial"/>
          <w:sz w:val="22"/>
          <w:szCs w:val="22"/>
        </w:rPr>
        <w:t xml:space="preserve">-density lipoprotein cholesterol, </w:t>
      </w:r>
      <w:r>
        <w:rPr>
          <w:rFonts w:hint="default" w:ascii="Arial" w:hAnsi="Arial" w:cs="Arial"/>
          <w:sz w:val="22"/>
          <w:szCs w:val="22"/>
        </w:rPr>
        <w:t>low</w:t>
      </w:r>
      <w:r>
        <w:rPr>
          <w:rFonts w:hint="default" w:ascii="Arial" w:hAnsi="Arial" w:cs="Arial"/>
          <w:sz w:val="22"/>
          <w:szCs w:val="22"/>
        </w:rPr>
        <w:t>-density lipoprotein cholesterol, high-sensitivity C-reactive protein, and lipid-lowering agent</w:t>
      </w:r>
      <w:r>
        <w:rPr>
          <w:rFonts w:hint="default" w:ascii="Arial" w:hAnsi="Arial" w:cs="Arial"/>
          <w:sz w:val="22"/>
          <w:szCs w:val="22"/>
        </w:rPr>
        <w:t>s other than covariates for stratification.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C87"/>
    <w:rsid w:val="00B51D0B"/>
    <w:rsid w:val="00FD0C87"/>
    <w:rsid w:val="045045F0"/>
    <w:rsid w:val="07902DFD"/>
    <w:rsid w:val="08522160"/>
    <w:rsid w:val="09936E7E"/>
    <w:rsid w:val="09CA5D7E"/>
    <w:rsid w:val="12D07FF4"/>
    <w:rsid w:val="1C6319A8"/>
    <w:rsid w:val="1FC4592A"/>
    <w:rsid w:val="225E2FC1"/>
    <w:rsid w:val="266F6822"/>
    <w:rsid w:val="272D4EA6"/>
    <w:rsid w:val="297611B0"/>
    <w:rsid w:val="2C8913C4"/>
    <w:rsid w:val="2D247047"/>
    <w:rsid w:val="33C4272A"/>
    <w:rsid w:val="38D40FE0"/>
    <w:rsid w:val="3A66277A"/>
    <w:rsid w:val="406B76CE"/>
    <w:rsid w:val="42A44B76"/>
    <w:rsid w:val="448821E2"/>
    <w:rsid w:val="457A248C"/>
    <w:rsid w:val="4A617C2E"/>
    <w:rsid w:val="51A4498D"/>
    <w:rsid w:val="53016A35"/>
    <w:rsid w:val="5427059F"/>
    <w:rsid w:val="61885484"/>
    <w:rsid w:val="6925592F"/>
    <w:rsid w:val="69A812B5"/>
    <w:rsid w:val="6E3B1613"/>
    <w:rsid w:val="6FA2456D"/>
    <w:rsid w:val="71A67633"/>
    <w:rsid w:val="757B4C2A"/>
    <w:rsid w:val="7A246114"/>
    <w:rsid w:val="7CEE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11</Pages>
  <Words>1325</Words>
  <Characters>7556</Characters>
  <Lines>62</Lines>
  <Paragraphs>17</Paragraphs>
  <TotalTime>15</TotalTime>
  <ScaleCrop>false</ScaleCrop>
  <LinksUpToDate>false</LinksUpToDate>
  <CharactersWithSpaces>8864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2021-01-11T06:54:00Z</dcterms:created>
  <dc:creator>Administrator.FZTL5QSZMTDNI1G</dc:creator>
  <cp:lastModifiedBy>~田mini~</cp:lastModifiedBy>
  <dcterms:modified xsi:type="dcterms:W3CDTF">2021-01-20T11:58:30Z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