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830CC" w14:textId="77777777" w:rsidR="00430AA7" w:rsidRDefault="00430AA7" w:rsidP="00430AA7">
      <w:pPr>
        <w:spacing w:after="200" w:line="480" w:lineRule="auto"/>
        <w:rPr>
          <w:rFonts w:eastAsia="Calibri"/>
          <w:lang w:val="en-US" w:eastAsia="en-US"/>
        </w:rPr>
      </w:pPr>
      <w:r>
        <w:rPr>
          <w:rFonts w:eastAsia="Calibri"/>
          <w:b/>
          <w:lang w:val="en-US" w:eastAsia="en-US"/>
        </w:rPr>
        <w:t xml:space="preserve">Extended Data Table 1: </w:t>
      </w:r>
      <w:r w:rsidRPr="00A876CD">
        <w:rPr>
          <w:rFonts w:eastAsia="Calibri"/>
          <w:lang w:val="en-US" w:eastAsia="en-US"/>
        </w:rPr>
        <w:t>Unsolicited AEs, AESIs, and SAEs until day 56, classified according to CTCAE V5.0.</w:t>
      </w:r>
    </w:p>
    <w:tbl>
      <w:tblPr>
        <w:tblStyle w:val="TableGrid"/>
        <w:tblW w:w="92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8"/>
        <w:gridCol w:w="995"/>
        <w:gridCol w:w="1001"/>
        <w:gridCol w:w="1021"/>
        <w:gridCol w:w="1002"/>
        <w:gridCol w:w="1021"/>
        <w:gridCol w:w="1002"/>
        <w:gridCol w:w="1021"/>
      </w:tblGrid>
      <w:tr w:rsidR="00430AA7" w14:paraId="7D405A74" w14:textId="77777777" w:rsidTr="008C07C7">
        <w:trPr>
          <w:trHeight w:val="510"/>
          <w:tblHeader/>
          <w:jc w:val="center"/>
        </w:trPr>
        <w:tc>
          <w:tcPr>
            <w:tcW w:w="2138" w:type="dxa"/>
            <w:vMerge w:val="restart"/>
            <w:tcBorders>
              <w:top w:val="single" w:sz="4" w:space="0" w:color="auto"/>
            </w:tcBorders>
            <w:vAlign w:val="center"/>
          </w:tcPr>
          <w:p w14:paraId="0C34D5C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CTCAE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</w:tcBorders>
            <w:vAlign w:val="center"/>
          </w:tcPr>
          <w:p w14:paraId="61FB158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Severity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76BAA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24"/>
                <w:sz w:val="14"/>
                <w:szCs w:val="14"/>
              </w:rPr>
              <w:t>All participants (n = 54)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E2AEB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24"/>
                <w:sz w:val="14"/>
                <w:szCs w:val="14"/>
              </w:rPr>
              <w:t>Phase I (n = 14)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5A8F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24"/>
                <w:sz w:val="14"/>
                <w:szCs w:val="14"/>
              </w:rPr>
              <w:t>Phase II (n = 40)</w:t>
            </w:r>
          </w:p>
        </w:tc>
      </w:tr>
      <w:tr w:rsidR="00430AA7" w14:paraId="4B053B23" w14:textId="77777777" w:rsidTr="008C07C7">
        <w:trPr>
          <w:trHeight w:val="510"/>
          <w:tblHeader/>
          <w:jc w:val="center"/>
        </w:trPr>
        <w:tc>
          <w:tcPr>
            <w:tcW w:w="2138" w:type="dxa"/>
            <w:vMerge/>
            <w:tcBorders>
              <w:bottom w:val="single" w:sz="4" w:space="0" w:color="auto"/>
            </w:tcBorders>
            <w:vAlign w:val="center"/>
          </w:tcPr>
          <w:p w14:paraId="28DB1A0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vMerge/>
            <w:tcBorders>
              <w:bottom w:val="single" w:sz="4" w:space="0" w:color="auto"/>
            </w:tcBorders>
            <w:vAlign w:val="center"/>
          </w:tcPr>
          <w:p w14:paraId="7882BBE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6ECD8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24"/>
                <w:sz w:val="14"/>
                <w:szCs w:val="14"/>
              </w:rPr>
              <w:t>Not related to vaccine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F9AC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24"/>
                <w:sz w:val="14"/>
                <w:szCs w:val="14"/>
              </w:rPr>
              <w:t>Related to vaccine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71528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24"/>
                <w:sz w:val="14"/>
                <w:szCs w:val="14"/>
              </w:rPr>
              <w:t>Not related to vaccine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77F28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24"/>
                <w:sz w:val="14"/>
                <w:szCs w:val="14"/>
              </w:rPr>
              <w:t>Related to vaccine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9F73E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24"/>
                <w:sz w:val="14"/>
                <w:szCs w:val="14"/>
              </w:rPr>
              <w:t>Not related to vaccine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2DC5A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24"/>
                <w:sz w:val="14"/>
                <w:szCs w:val="14"/>
              </w:rPr>
              <w:t>Related to vaccine</w:t>
            </w:r>
          </w:p>
        </w:tc>
      </w:tr>
      <w:tr w:rsidR="00430AA7" w14:paraId="253A37DF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22BA9DE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Any event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6C47BDB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174614C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50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6982DD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3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4724AF7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14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56C07A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C6D631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36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B7F144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3</w:t>
            </w:r>
          </w:p>
        </w:tc>
      </w:tr>
      <w:tr w:rsidR="00430AA7" w14:paraId="4C9A76FA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457E297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1408E68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3480F3B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8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2131E3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427B9A5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3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ADD04C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2C0DF65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5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EB0B84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0A27148B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5CD31FF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2A7E746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Severe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5044E1F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5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D9EC52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4EFE815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4B509E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048A85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4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E6F2D3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0316AF2D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184BCDC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2F21DE0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Life-threatening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414F75C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065445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67FB34D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B26EC4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F43474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311F5F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3BEACCED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vAlign w:val="center"/>
          </w:tcPr>
          <w:p w14:paraId="184AF0A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Arthralgia</w:t>
            </w:r>
          </w:p>
        </w:tc>
        <w:tc>
          <w:tcPr>
            <w:tcW w:w="995" w:type="dxa"/>
            <w:vAlign w:val="center"/>
          </w:tcPr>
          <w:p w14:paraId="0DFFA71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vAlign w:val="center"/>
          </w:tcPr>
          <w:p w14:paraId="23BAEFF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vAlign w:val="center"/>
          </w:tcPr>
          <w:p w14:paraId="55945D7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37D2D22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vAlign w:val="center"/>
          </w:tcPr>
          <w:p w14:paraId="2DD440C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42C54D9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1</w:t>
            </w:r>
          </w:p>
        </w:tc>
        <w:tc>
          <w:tcPr>
            <w:tcW w:w="1021" w:type="dxa"/>
            <w:vAlign w:val="center"/>
          </w:tcPr>
          <w:p w14:paraId="263E37A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0A5FA0D2" w14:textId="77777777" w:rsidTr="008C07C7">
        <w:trPr>
          <w:trHeight w:val="283"/>
          <w:jc w:val="center"/>
        </w:trPr>
        <w:tc>
          <w:tcPr>
            <w:tcW w:w="2138" w:type="dxa"/>
            <w:vMerge/>
            <w:vAlign w:val="center"/>
          </w:tcPr>
          <w:p w14:paraId="39C47B3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vAlign w:val="center"/>
          </w:tcPr>
          <w:p w14:paraId="41B79BA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vAlign w:val="center"/>
          </w:tcPr>
          <w:p w14:paraId="3BDB827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vAlign w:val="center"/>
          </w:tcPr>
          <w:p w14:paraId="6F2870B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7D79B8E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vAlign w:val="center"/>
          </w:tcPr>
          <w:p w14:paraId="41B7899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3926B36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vAlign w:val="center"/>
          </w:tcPr>
          <w:p w14:paraId="1CBC99A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775DBE30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11A9432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Atrial fibrillation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2581DEC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024B2C5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8F0CF1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6946464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803123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38DED4E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79B2EC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7FF628EC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62561EF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1CEFAAF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317DFA5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8FA32E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417E8F9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F579A5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4EC94A4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B329E7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66A5A55F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218CE2F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Blister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34EAFF1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36499A8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0BB1B1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650A411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56F774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040B96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E15D55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</w:tr>
      <w:tr w:rsidR="00430AA7" w14:paraId="7B67C804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7BC60DA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78064E8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24FE838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307C13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6B8BE3D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70AFD9C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2541EC0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D08887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7D7395AA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577147A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Bloating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2FD6916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559618E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A463DF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3C51E9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C32DD6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66540F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57B122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1B24FC2A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5641898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2B44DF5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0C38353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35F46F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93166F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747DC4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ADAAC1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208EAD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31900AD0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vAlign w:val="center"/>
          </w:tcPr>
          <w:p w14:paraId="74EA9F7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Bone pain</w:t>
            </w:r>
          </w:p>
        </w:tc>
        <w:tc>
          <w:tcPr>
            <w:tcW w:w="995" w:type="dxa"/>
            <w:vAlign w:val="center"/>
          </w:tcPr>
          <w:p w14:paraId="67F55C2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vAlign w:val="center"/>
          </w:tcPr>
          <w:p w14:paraId="4ADCDA4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vAlign w:val="center"/>
          </w:tcPr>
          <w:p w14:paraId="15AE795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6170A94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vAlign w:val="center"/>
          </w:tcPr>
          <w:p w14:paraId="3A1B2A5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3F3416C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vAlign w:val="center"/>
          </w:tcPr>
          <w:p w14:paraId="4C59F16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152A10CD" w14:textId="77777777" w:rsidTr="008C07C7">
        <w:trPr>
          <w:trHeight w:val="283"/>
          <w:jc w:val="center"/>
        </w:trPr>
        <w:tc>
          <w:tcPr>
            <w:tcW w:w="2138" w:type="dxa"/>
            <w:vMerge/>
            <w:vAlign w:val="center"/>
          </w:tcPr>
          <w:p w14:paraId="7DFB9F1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vAlign w:val="center"/>
          </w:tcPr>
          <w:p w14:paraId="3912DA7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vAlign w:val="center"/>
          </w:tcPr>
          <w:p w14:paraId="23531DF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vAlign w:val="center"/>
          </w:tcPr>
          <w:p w14:paraId="46B111F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120B72B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vAlign w:val="center"/>
          </w:tcPr>
          <w:p w14:paraId="5C3CE0F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268E978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vAlign w:val="center"/>
          </w:tcPr>
          <w:p w14:paraId="4757FA4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641A5FE7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09D33E2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Chills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0803073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7738047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B11553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22FF6AD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BB35D2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6B08815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056FC5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69D53E57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62DE0EC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7BE9339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3C6E1A0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6E8578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A72B49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D875AA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6CAC8E8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2E3D7A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12AB351D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vAlign w:val="center"/>
          </w:tcPr>
          <w:p w14:paraId="34C5888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Chough</w:t>
            </w:r>
          </w:p>
        </w:tc>
        <w:tc>
          <w:tcPr>
            <w:tcW w:w="995" w:type="dxa"/>
            <w:vAlign w:val="center"/>
          </w:tcPr>
          <w:p w14:paraId="1913F66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vAlign w:val="center"/>
          </w:tcPr>
          <w:p w14:paraId="2DE12A0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vAlign w:val="center"/>
          </w:tcPr>
          <w:p w14:paraId="32155EF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78E964E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vAlign w:val="center"/>
          </w:tcPr>
          <w:p w14:paraId="2CD0C1B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5FA4748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vAlign w:val="center"/>
          </w:tcPr>
          <w:p w14:paraId="431834B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23BDCA57" w14:textId="77777777" w:rsidTr="008C07C7">
        <w:trPr>
          <w:trHeight w:val="283"/>
          <w:jc w:val="center"/>
        </w:trPr>
        <w:tc>
          <w:tcPr>
            <w:tcW w:w="2138" w:type="dxa"/>
            <w:vMerge/>
            <w:vAlign w:val="center"/>
          </w:tcPr>
          <w:p w14:paraId="4D214AD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vAlign w:val="center"/>
          </w:tcPr>
          <w:p w14:paraId="1140E18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vAlign w:val="center"/>
          </w:tcPr>
          <w:p w14:paraId="01183C6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vAlign w:val="center"/>
          </w:tcPr>
          <w:p w14:paraId="19D1FEC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2827FD7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vAlign w:val="center"/>
          </w:tcPr>
          <w:p w14:paraId="2132EC0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3994753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vAlign w:val="center"/>
          </w:tcPr>
          <w:p w14:paraId="0F61531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003810DE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4308206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Diarrhea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29D0F7F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50C5E76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34AE2A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AE6467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F2ADBC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A3DA41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9CC5DD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65D518D1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01EBC46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4CD98BC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50D3ADD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3C0EE3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B8091E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E69E21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F12AB5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A43606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19F7E334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vAlign w:val="center"/>
          </w:tcPr>
          <w:p w14:paraId="3B25F0E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Dizziness</w:t>
            </w:r>
          </w:p>
        </w:tc>
        <w:tc>
          <w:tcPr>
            <w:tcW w:w="995" w:type="dxa"/>
            <w:vAlign w:val="center"/>
          </w:tcPr>
          <w:p w14:paraId="3996B13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vAlign w:val="center"/>
          </w:tcPr>
          <w:p w14:paraId="651A78A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</w:t>
            </w:r>
          </w:p>
        </w:tc>
        <w:tc>
          <w:tcPr>
            <w:tcW w:w="1021" w:type="dxa"/>
            <w:vAlign w:val="center"/>
          </w:tcPr>
          <w:p w14:paraId="4392A1E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6B5A574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vAlign w:val="center"/>
          </w:tcPr>
          <w:p w14:paraId="03D37E1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6398E17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vAlign w:val="center"/>
          </w:tcPr>
          <w:p w14:paraId="7B0F6DE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105EF827" w14:textId="77777777" w:rsidTr="008C07C7">
        <w:trPr>
          <w:trHeight w:val="283"/>
          <w:jc w:val="center"/>
        </w:trPr>
        <w:tc>
          <w:tcPr>
            <w:tcW w:w="2138" w:type="dxa"/>
            <w:vMerge/>
            <w:vAlign w:val="center"/>
          </w:tcPr>
          <w:p w14:paraId="55D402D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vAlign w:val="center"/>
          </w:tcPr>
          <w:p w14:paraId="417E518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vAlign w:val="center"/>
          </w:tcPr>
          <w:p w14:paraId="260B0E0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vAlign w:val="center"/>
          </w:tcPr>
          <w:p w14:paraId="1124DAF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4DEFE0D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vAlign w:val="center"/>
          </w:tcPr>
          <w:p w14:paraId="0692303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vAlign w:val="center"/>
          </w:tcPr>
          <w:p w14:paraId="314F7A3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vAlign w:val="center"/>
          </w:tcPr>
          <w:p w14:paraId="5110E64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02422795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2662B92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Dyspnea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3465BD7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3E23910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580400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424BE4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0A5A30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D6D3F6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32735A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71186CF8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3EF51F6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5CC3571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4CF0EA9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163950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4589A3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620E8B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378C083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22358F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0E5B9F24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5119484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Ear pain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51F5974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55B9DC2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63ECD8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4260AC2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11BA5A9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5334D8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C32A7C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28AE2575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6BF4E8B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2D91917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4487924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00358C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B72945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5B21F6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0D6BA30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755A6A5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697BD48A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3BDFC69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Edema limbs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12D2FEA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437F238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F83D9D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0493CD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4AECF7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1159717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F624EF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1597AE7A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4E95A5B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5E0474A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6BFB92C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D3A453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2F7E2AE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6414E5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626738B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CF6DD6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25C389D0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770D48C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Edema of both legs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53AEA91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6E993E8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801A2B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41CBBA6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FBB6B5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1411EBF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E95D97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3213BD98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598AA82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3761FE3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45617AB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7AD7AF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6552862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9F18A1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24C75B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A4CDEF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0165BF6A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3A5D4BB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Epistaxis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282E304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0EFEDF4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2C74A5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127C501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61848D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2CAEF71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F4ABDF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7631A3B3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376CF87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6A848E1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7A4D3CF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028935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2FA85E4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93560B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3FCC716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12727E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0F99FAC4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6961F65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Fatigue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6E358D8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178346E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24454F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27BD53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3B001F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2247354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0D467A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476CEF57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2135FD6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2F474E3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5D900F6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7AAC05E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46BA28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046B14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530C501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1A68F43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7159A7FD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3926B9E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ind w:right="-175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Flu like symptoms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1DB63F2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73A0FD5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4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224452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447DD2E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A1059F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058EB4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3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E467DE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2E346768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178E8C6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52ADDA4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729BEE3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30DDF8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26456FD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0E0B2F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73DC2F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76D110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4850C9A5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2B6FDD7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Fracture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7D90128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1B234E90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489A07D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1EDE9B67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CFC768A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5C5C67D8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008AFE5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6532EF40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5E54968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6E1FC63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5403C12F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F171180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230724C8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41AD8DB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74FE3F58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8D1017D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430AA7" w14:paraId="6DDE3ED8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6E11581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2A6D758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Severe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44416ED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1D450E1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7D392FE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15EEFA8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0C0D9F4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1A3396A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  <w:tr w:rsidR="00430AA7" w14:paraId="2AFB6F25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021DCC2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Headache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4C2E81F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2F3D7DC3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2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50E6AD1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524D0FA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0720D18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26D1860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E4CFFBB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04EAC490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0AE3997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588408F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5C596457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C6B51AB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6C28F4D2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A45051C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44E207DF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E54C3DD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6D0FBB94" w14:textId="77777777" w:rsidTr="008C07C7">
        <w:trPr>
          <w:trHeight w:val="283"/>
          <w:jc w:val="center"/>
        </w:trPr>
        <w:tc>
          <w:tcPr>
            <w:tcW w:w="2138" w:type="dxa"/>
            <w:shd w:val="clear" w:color="auto" w:fill="D9D9D9" w:themeFill="background1" w:themeFillShade="D9"/>
            <w:vAlign w:val="center"/>
          </w:tcPr>
          <w:p w14:paraId="3D83828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79337A6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46EC1AA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AC6A8D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62493BB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E83D6A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12CDDCD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E9D213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</w:p>
        </w:tc>
      </w:tr>
      <w:tr w:rsidR="00430AA7" w14:paraId="4EBBB824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0F9C07F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Hearing impaired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6FEB4C0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30D1721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E123DB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4CD63DC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20D641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66C5D44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E6D35F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1A816449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1294298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5908E6F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45919F4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7E97F87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2724351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314917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71C3B5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11E828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2C853759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70F0FAB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Herpes simplex reactivation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67CE3EA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6E466B4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E8F52A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B617C1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5E298D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410EF86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65B6D8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</w:tr>
      <w:tr w:rsidR="00430AA7" w14:paraId="7EEBB9B9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0DA9157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2AA86E2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1A96FA2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D0698A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11B489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EBD71D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4C652C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761685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231105AB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3440E74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Hot flashes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38F5F01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4E08F6B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8ED286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4D33455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2F8F41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63B951D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784F75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7D8FDF40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5F1334C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7EDCB75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7471966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4A3267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4207564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E84F03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CFFC6A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B7473E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0854FB70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1374952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Hypertension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7A8A0EF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1D6E17B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390A19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E9517F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8C467D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61CFB31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8163DF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350D6CDE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3F3EBA2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6478221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6FBFACF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75C0BF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114433C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083882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10BFE3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425467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63DFDF7F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5F16637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78F32F8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Severe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247484E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51B407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21844DE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BAD4D6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27ED13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62C12F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77359010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FFFFFF" w:themeFill="background1"/>
            <w:vAlign w:val="center"/>
          </w:tcPr>
          <w:p w14:paraId="1E8E089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Infections and infestations, other -novel proven SARS-CoV-2 infection</w:t>
            </w:r>
          </w:p>
        </w:tc>
        <w:tc>
          <w:tcPr>
            <w:tcW w:w="995" w:type="dxa"/>
            <w:shd w:val="clear" w:color="auto" w:fill="FFFFFF" w:themeFill="background1"/>
            <w:vAlign w:val="center"/>
          </w:tcPr>
          <w:p w14:paraId="49EB7F1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14:paraId="6A76613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2*</w:t>
            </w:r>
            <w:r>
              <w:rPr>
                <w:sz w:val="14"/>
                <w:szCs w:val="14"/>
                <w:vertAlign w:val="superscript"/>
              </w:rPr>
              <w:t xml:space="preserve">, </w:t>
            </w:r>
            <w:r>
              <w:rPr>
                <w:sz w:val="14"/>
                <w:szCs w:val="14"/>
              </w:rPr>
              <w:t>**</w:t>
            </w:r>
          </w:p>
        </w:tc>
        <w:tc>
          <w:tcPr>
            <w:tcW w:w="1021" w:type="dxa"/>
            <w:shd w:val="clear" w:color="auto" w:fill="FFFFFF" w:themeFill="background1"/>
            <w:vAlign w:val="center"/>
          </w:tcPr>
          <w:p w14:paraId="5A7CD4C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14:paraId="01FC711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FFFFFF" w:themeFill="background1"/>
            <w:vAlign w:val="center"/>
          </w:tcPr>
          <w:p w14:paraId="4C8AAD0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14:paraId="7F1C0E0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2*</w:t>
            </w:r>
            <w:r>
              <w:rPr>
                <w:sz w:val="14"/>
                <w:szCs w:val="14"/>
                <w:vertAlign w:val="superscript"/>
              </w:rPr>
              <w:t xml:space="preserve">, </w:t>
            </w:r>
            <w:r>
              <w:rPr>
                <w:sz w:val="14"/>
                <w:szCs w:val="14"/>
              </w:rPr>
              <w:t>**</w:t>
            </w:r>
          </w:p>
        </w:tc>
        <w:tc>
          <w:tcPr>
            <w:tcW w:w="1021" w:type="dxa"/>
            <w:shd w:val="clear" w:color="auto" w:fill="FFFFFF" w:themeFill="background1"/>
            <w:vAlign w:val="center"/>
          </w:tcPr>
          <w:p w14:paraId="72530D6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5C19ED19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FFFFFF" w:themeFill="background1"/>
            <w:vAlign w:val="center"/>
          </w:tcPr>
          <w:p w14:paraId="5CE4B4D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FFFFFF" w:themeFill="background1"/>
            <w:vAlign w:val="center"/>
          </w:tcPr>
          <w:p w14:paraId="4CF98B4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FFFFFF" w:themeFill="background1"/>
            <w:vAlign w:val="center"/>
          </w:tcPr>
          <w:p w14:paraId="1C60ABA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FFFFFF" w:themeFill="background1"/>
            <w:vAlign w:val="center"/>
          </w:tcPr>
          <w:p w14:paraId="43A5505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14:paraId="38075E4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FFFFFF" w:themeFill="background1"/>
            <w:vAlign w:val="center"/>
          </w:tcPr>
          <w:p w14:paraId="0DB80F9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FFFFFF" w:themeFill="background1"/>
            <w:vAlign w:val="center"/>
          </w:tcPr>
          <w:p w14:paraId="693A4F1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FFFFFF" w:themeFill="background1"/>
            <w:vAlign w:val="center"/>
          </w:tcPr>
          <w:p w14:paraId="7CF8491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23498F6C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69A9B2D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Insomnia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2E3DFAD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1ACD71D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695D7A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4D7E9CC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D521F5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228A2A2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97FB4D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0FD62D7C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580FEA9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75A874B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5A921E4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2A000B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3F48BA3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41D616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62E321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54554E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45B68999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269B972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Lyme borreliosis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3A03B53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3B4B382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FB6D73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46BFE2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E02D4F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DB1190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E19900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-</w:t>
            </w:r>
          </w:p>
        </w:tc>
      </w:tr>
      <w:tr w:rsidR="00430AA7" w14:paraId="0178B80C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06C9898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7CACC1F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0A9967F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A3521F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2364573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B72E76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6224D92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AAC5D0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3FFB8CF6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0F395F2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Lymphadenopathy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270531B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0D5216B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13D12C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3F070EC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CCF221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15B2E6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20F4CA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41FF136F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305BA1D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465D20AE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7DBB900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F91F83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3DEC70D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2B26CB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2012BD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1FC2AB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1E6CE489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7199643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Menorrhagia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24A6241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14C444E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893252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5004686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427576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04518FB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80261C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10051C9F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528810D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48FA12D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3CB1B80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8EE541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A1CC4E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7CB9D35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7FEE78A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7A970E1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397CE436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2F27A82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Muscle cramp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1F6A8FF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562218F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52405C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1FEABE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215026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1B09E23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5383CA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2560513B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074BAEE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7D81B21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739A75A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7A031D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27A55C3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DCFE35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B51DC1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E74795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21F502DC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7B190E9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Nausea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0B52702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74A48CC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7B8E87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BBAC59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73C149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26EDD42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CF1592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416ABA76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4F7B6A6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4CAE631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591B2EA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2D8E42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55B67EB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5273F2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5DAF308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4E6B2E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10B2C0FF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3680199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Neoplasms benign, malignant and unspecified (incl. cysts and polyps) - others, prostate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6B62455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340BF1A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941763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6F6210A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02682C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073121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989A60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6AF68A64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34A2B7E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6175D46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0062A28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301DB7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94DA74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316E30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01038A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95AC9A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33216CA4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0F281B2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10A6BF0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Severe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67FC105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1*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C0ACEE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5B0B88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7A404D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6A5B426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1*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A0EC17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67ED9B40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2451AB1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Neutrophile count decreased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6C1C7CB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1BE8AA7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7E1073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1EDF0E0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E2A8AE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711F574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A64CBD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537F3EDA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2169C86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723A15A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395E43C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705BBA8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0A10C47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04CB11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59318B6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CBCD68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341BACAC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539B1F6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011106C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Severe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053D5E3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1E53B1E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0BDDCFE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77DED0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14FB23C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197B58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2663B4CC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24BC17E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5EEDE0F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Life-threatening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66DBE5A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1D05A37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7C5BD7E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A75A48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3E36E94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BA00EC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4D06A877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5A1BBB0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Pain in extremity – left knee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74E3730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54C0D22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44BBAE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684EE0E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515D5D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21B9FC4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710728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41858CE9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1379CE2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42E6576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19B2FA5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23A5D6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141E200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2C027D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0C5CF9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FB9447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3144B14A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3B7BA49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Pain in extremity – right upper arm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11669F9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2905DA3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091792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47E27D3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6EAF7A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0F2BBCD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1BF8C25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5F77D7CD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33523F5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7555F10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7D0CB1B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B0ADCB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1AC383C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9A3FF0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037C7CA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9C7C25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66AE09A1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139EBCE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Periodontal disease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4BC18CD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5B44B9F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69E485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3149F9C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DFF84A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4E91F50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072FF0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62BAC2F3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3DB442C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4772853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0F6E50C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61E819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2B5D814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D344B7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1A3FFE8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4155DC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24D479F9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31D5DE9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lastRenderedPageBreak/>
              <w:t>Presyncope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74C7FE9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377E131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7AAF0A2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28249DB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1FC2FD3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16785C3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276061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36E48C92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0658023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795A2A7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131BBDF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A53A97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6699E47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8DDC08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2E30EAF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5B1F3D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64A100CC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78F1947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Renal calculi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66DA0B8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55F9E42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EB3AF3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E56EB5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79022C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1F931DF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9F12EE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73AB9F27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0FA88AB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4FDF85C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4D1CB6B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19AF2A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105CF9B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9E5C38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E8A827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2BBA4B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77814315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1A0599B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63E7370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Severe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38370C2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2DA946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67D0C6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651164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6FD11D6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461D04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5F725A1D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34F77B6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Shingles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15462B8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3FFFF53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96E1FE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70CAEF9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455FAF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618A062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71C303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</w:tr>
      <w:tr w:rsidR="00430AA7" w14:paraId="61CFEB09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40F7E3D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00ECE97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1BC4D70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979800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753288F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EBE49A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551C22F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37670B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4E3B7D3A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00789316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Sinusitis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2CAF6C2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60D5517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2A2144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4EF1078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FBB1CD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184F1B1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DCDE0F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5B7076AE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5B4007B0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4273E12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729246F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0B8BCA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A2B485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982DF1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CB532B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E67B3F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297D2704" w14:textId="77777777" w:rsidTr="008C07C7">
        <w:trPr>
          <w:trHeight w:val="283"/>
          <w:jc w:val="center"/>
        </w:trPr>
        <w:tc>
          <w:tcPr>
            <w:tcW w:w="2138" w:type="dxa"/>
            <w:shd w:val="clear" w:color="auto" w:fill="D9D9D9" w:themeFill="background1" w:themeFillShade="D9"/>
            <w:vAlign w:val="center"/>
          </w:tcPr>
          <w:p w14:paraId="0485CA8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1BB7644D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658FADD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40D296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17FB6BB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360A7B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4E0E2B6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0A51E0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</w:p>
        </w:tc>
      </w:tr>
      <w:tr w:rsidR="00430AA7" w14:paraId="2A19C634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414E9AB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Sore throat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7F917B1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0B2D5A0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5E2E16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4BEE351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C7772D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5D7CB65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146CB99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7F03B1B0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39D590A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511A653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7CAA3BC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9C36B9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4902C80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AC0CEC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21C8482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1B8601E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6973F2C1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4BC4A4A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Stomach pain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51EE3E8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3BE1143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4D22A2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4DA8B4C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C2CD5A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3F0CE51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CBEA95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58B6F8E4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2034C92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2414C9DC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4C90D2B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AF08F7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29BDCCE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169DA8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4F18AD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16848A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32BB44CA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7E7729B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Suspicious skin lesion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3C87C74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3FF5471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FB5E63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404DE58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76A8D0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1DB15FD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8B5D50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22311942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554AD6E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3322DD0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5B86BE4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B3E3DA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7DCFE84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C102B3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0355C076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BC5113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0B694A9A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50A2C30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Vaginal infection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0F1FE8E4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5636190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746B86E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C22FF7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45AF773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77E0E10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9EE70C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29519A08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615FB449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2F94332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637B48D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0BA5581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6132105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8AB036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33AF2A3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1F2591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5D3B30DF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3A8EFF58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Vasovagal reaction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1AE6B607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1FE1E2F7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7CCEEF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4BF7DC9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7ED6271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78A61A2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17456B8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6FCFC515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42CECD8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12AE9652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4EC99411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2642269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52CE731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521770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7FE0C45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CD984FD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465377EC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auto"/>
            <w:vAlign w:val="center"/>
          </w:tcPr>
          <w:p w14:paraId="10C8BB7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 w14:paraId="7FCD131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Severe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7962E03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1400C39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7121BEBF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369F8FA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2256299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5E85993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1BF27FA7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D9D9D9" w:themeFill="background1" w:themeFillShade="D9"/>
            <w:vAlign w:val="center"/>
          </w:tcPr>
          <w:p w14:paraId="0B2C614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Vertigo</w:t>
            </w: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409C40F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45747C8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0DAF1A2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0A74A77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38499BB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7AE744E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154BE73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5FE5153F" w14:textId="77777777" w:rsidTr="008C07C7">
        <w:trPr>
          <w:trHeight w:val="283"/>
          <w:jc w:val="center"/>
        </w:trPr>
        <w:tc>
          <w:tcPr>
            <w:tcW w:w="2138" w:type="dxa"/>
            <w:vMerge/>
            <w:shd w:val="clear" w:color="auto" w:fill="D9D9D9" w:themeFill="background1" w:themeFillShade="D9"/>
            <w:vAlign w:val="center"/>
          </w:tcPr>
          <w:p w14:paraId="4117EC81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shd w:val="clear" w:color="auto" w:fill="D9D9D9" w:themeFill="background1" w:themeFillShade="D9"/>
            <w:vAlign w:val="center"/>
          </w:tcPr>
          <w:p w14:paraId="4DD8EB9A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shd w:val="clear" w:color="auto" w:fill="D9D9D9" w:themeFill="background1" w:themeFillShade="D9"/>
            <w:vAlign w:val="center"/>
          </w:tcPr>
          <w:p w14:paraId="15D34B8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6604AEE3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CB6338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54E4701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5AAC908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D9D9D9" w:themeFill="background1" w:themeFillShade="D9"/>
            <w:vAlign w:val="center"/>
          </w:tcPr>
          <w:p w14:paraId="293135A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16A4A7F9" w14:textId="77777777" w:rsidTr="008C07C7">
        <w:trPr>
          <w:trHeight w:val="283"/>
          <w:jc w:val="center"/>
        </w:trPr>
        <w:tc>
          <w:tcPr>
            <w:tcW w:w="2138" w:type="dxa"/>
            <w:vMerge w:val="restart"/>
            <w:shd w:val="clear" w:color="auto" w:fill="auto"/>
            <w:vAlign w:val="center"/>
          </w:tcPr>
          <w:p w14:paraId="726D0533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  <w:t>Vomiting</w:t>
            </w:r>
          </w:p>
        </w:tc>
        <w:tc>
          <w:tcPr>
            <w:tcW w:w="995" w:type="dxa"/>
            <w:shd w:val="clear" w:color="auto" w:fill="auto"/>
            <w:vAlign w:val="center"/>
          </w:tcPr>
          <w:p w14:paraId="5B6D6445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Mild</w:t>
            </w:r>
          </w:p>
        </w:tc>
        <w:tc>
          <w:tcPr>
            <w:tcW w:w="1001" w:type="dxa"/>
            <w:shd w:val="clear" w:color="auto" w:fill="auto"/>
            <w:vAlign w:val="center"/>
          </w:tcPr>
          <w:p w14:paraId="0EAC96E4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E256AE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4C8374CA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6A2444C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0C7010A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423C1955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430AA7" w14:paraId="2B1934FE" w14:textId="77777777" w:rsidTr="008C07C7">
        <w:trPr>
          <w:trHeight w:val="283"/>
          <w:jc w:val="center"/>
        </w:trPr>
        <w:tc>
          <w:tcPr>
            <w:tcW w:w="213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CCC9FB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eastAsia="Calibri" w:hAnsi="Times New Roman" w:cs="Times New Roman"/>
                <w:color w:val="auto"/>
                <w:sz w:val="14"/>
                <w:szCs w:val="14"/>
                <w:lang w:eastAsia="en-US"/>
              </w:rPr>
            </w:pPr>
          </w:p>
        </w:tc>
        <w:tc>
          <w:tcPr>
            <w:tcW w:w="9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6D89CF" w14:textId="77777777" w:rsidR="00430AA7" w:rsidRDefault="00430AA7" w:rsidP="008C07C7">
            <w:pPr>
              <w:pStyle w:val="Heading2"/>
              <w:keepNext w:val="0"/>
              <w:keepLines w:val="0"/>
              <w:snapToGrid w:val="0"/>
              <w:spacing w:before="0"/>
              <w:jc w:val="center"/>
              <w:outlineLvl w:val="1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Moderate</w:t>
            </w: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4CAC0E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717778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00FD1B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FAA55C" w14:textId="77777777" w:rsidR="00430AA7" w:rsidRDefault="00430AA7" w:rsidP="008C07C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A6AF3D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9D7187" w14:textId="77777777" w:rsidR="00430AA7" w:rsidRDefault="00430AA7" w:rsidP="008C07C7">
            <w:pPr>
              <w:jc w:val="center"/>
              <w:rPr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-</w:t>
            </w:r>
          </w:p>
        </w:tc>
      </w:tr>
    </w:tbl>
    <w:p w14:paraId="0112ABCD" w14:textId="77777777" w:rsidR="00430AA7" w:rsidRDefault="00430AA7" w:rsidP="00430AA7">
      <w:pPr>
        <w:spacing w:before="240" w:line="480" w:lineRule="auto"/>
        <w:jc w:val="both"/>
        <w:rPr>
          <w:sz w:val="28"/>
          <w:szCs w:val="28"/>
          <w:lang w:val="fr-FR"/>
        </w:rPr>
      </w:pPr>
      <w:r>
        <w:rPr>
          <w:rFonts w:eastAsia="Calibri"/>
          <w:sz w:val="22"/>
          <w:lang w:val="en-US" w:eastAsia="en-US"/>
        </w:rPr>
        <w:t>Severity and relationship were judged by the investigator until day 56. *</w:t>
      </w:r>
      <w:proofErr w:type="gramStart"/>
      <w:r>
        <w:rPr>
          <w:rFonts w:eastAsia="Calibri"/>
          <w:sz w:val="22"/>
          <w:lang w:val="en-US" w:eastAsia="en-US"/>
        </w:rPr>
        <w:t>termed</w:t>
      </w:r>
      <w:proofErr w:type="gramEnd"/>
      <w:r>
        <w:rPr>
          <w:rFonts w:eastAsia="Calibri"/>
          <w:sz w:val="22"/>
          <w:lang w:val="en-US" w:eastAsia="en-US"/>
        </w:rPr>
        <w:t xml:space="preserve"> as SAE, **termed as AESI. Abbreviations: AE, adverse event; AESI, adverse event of special interest; SAE, serious adverse event; CTCAE, common terminology criteria for adverse events; n, number. </w:t>
      </w:r>
    </w:p>
    <w:p w14:paraId="44557B70" w14:textId="77777777" w:rsidR="00430AA7" w:rsidRDefault="00430AA7" w:rsidP="00430AA7">
      <w:pPr>
        <w:spacing w:after="200" w:line="276" w:lineRule="auto"/>
        <w:rPr>
          <w:rFonts w:eastAsia="Calibri"/>
          <w:b/>
          <w:lang w:val="fr-FR" w:eastAsia="en-US"/>
        </w:rPr>
      </w:pPr>
      <w:r>
        <w:rPr>
          <w:rFonts w:eastAsia="Calibri"/>
          <w:b/>
          <w:lang w:val="fr-FR" w:eastAsia="en-US"/>
        </w:rPr>
        <w:br w:type="page"/>
      </w:r>
    </w:p>
    <w:p w14:paraId="1E6D58B9" w14:textId="77777777" w:rsidR="00430AA7" w:rsidRDefault="00430AA7" w:rsidP="00430AA7">
      <w:pPr>
        <w:spacing w:before="240" w:line="480" w:lineRule="auto"/>
        <w:jc w:val="both"/>
        <w:rPr>
          <w:rFonts w:eastAsia="Calibri"/>
          <w:b/>
          <w:lang w:val="fr-FR" w:eastAsia="en-US"/>
        </w:rPr>
      </w:pPr>
      <w:r>
        <w:rPr>
          <w:rFonts w:eastAsia="Calibri"/>
          <w:b/>
          <w:lang w:val="fr-FR" w:eastAsia="en-US"/>
        </w:rPr>
        <w:lastRenderedPageBreak/>
        <w:t>Extended Data Figures</w:t>
      </w:r>
    </w:p>
    <w:p w14:paraId="63F178C3" w14:textId="77777777" w:rsidR="00430AA7" w:rsidRDefault="00430AA7" w:rsidP="00430AA7">
      <w:pPr>
        <w:spacing w:before="240" w:line="480" w:lineRule="auto"/>
        <w:jc w:val="center"/>
        <w:rPr>
          <w:rFonts w:eastAsia="Calibri"/>
          <w:b/>
          <w:lang w:val="fr-FR" w:eastAsia="en-US"/>
        </w:rPr>
      </w:pPr>
      <w:r>
        <w:rPr>
          <w:b/>
          <w:bCs/>
          <w:noProof/>
        </w:rPr>
        <w:drawing>
          <wp:inline distT="0" distB="0" distL="0" distR="0" wp14:anchorId="4BFC1A69" wp14:editId="218E1998">
            <wp:extent cx="4500527" cy="6804000"/>
            <wp:effectExtent l="0" t="0" r="0" b="0"/>
            <wp:docPr id="4" name="Grafik 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A picture containing graphical user interfac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0527" cy="68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2BC96" w14:textId="77777777" w:rsidR="00430AA7" w:rsidRDefault="00430AA7" w:rsidP="00430AA7">
      <w:pPr>
        <w:spacing w:before="240" w:line="480" w:lineRule="auto"/>
        <w:jc w:val="both"/>
        <w:rPr>
          <w:lang w:val="en-US"/>
        </w:rPr>
      </w:pPr>
      <w:r>
        <w:rPr>
          <w:rFonts w:eastAsia="Calibri"/>
          <w:b/>
          <w:lang w:val="fr-FR" w:eastAsia="en-US"/>
        </w:rPr>
        <w:t xml:space="preserve">Extended Data Figure </w:t>
      </w:r>
      <w:proofErr w:type="gramStart"/>
      <w:r>
        <w:rPr>
          <w:rFonts w:eastAsia="Calibri"/>
          <w:b/>
          <w:lang w:val="fr-FR" w:eastAsia="en-US"/>
        </w:rPr>
        <w:t>1:</w:t>
      </w:r>
      <w:proofErr w:type="gramEnd"/>
      <w:r>
        <w:rPr>
          <w:rFonts w:eastAsia="Calibri"/>
          <w:b/>
          <w:lang w:val="fr-FR" w:eastAsia="en-US"/>
        </w:rPr>
        <w:t xml:space="preserve"> </w:t>
      </w:r>
      <w:r>
        <w:rPr>
          <w:b/>
          <w:bCs/>
          <w:lang w:val="en-US"/>
        </w:rPr>
        <w:t xml:space="preserve">Intensities of CoVac-1-induced T-cell responses </w:t>
      </w:r>
      <w:r>
        <w:rPr>
          <w:b/>
          <w:bCs/>
          <w:i/>
          <w:iCs/>
          <w:lang w:val="en-US"/>
        </w:rPr>
        <w:t>ex vivo</w:t>
      </w:r>
      <w:r>
        <w:rPr>
          <w:b/>
          <w:bCs/>
          <w:lang w:val="en-US"/>
        </w:rPr>
        <w:t xml:space="preserve"> assessed in IFN-</w:t>
      </w:r>
      <w:r>
        <w:rPr>
          <w:rFonts w:ascii="Symbol" w:hAnsi="Symbol"/>
          <w:b/>
          <w:bCs/>
          <w:lang w:val="en-US"/>
        </w:rPr>
        <w:t></w:t>
      </w:r>
      <w:r>
        <w:rPr>
          <w:b/>
          <w:bCs/>
          <w:lang w:val="en-US"/>
        </w:rPr>
        <w:t xml:space="preserve"> ELISPOT assays. </w:t>
      </w:r>
      <w:r>
        <w:rPr>
          <w:lang w:val="en-US"/>
        </w:rPr>
        <w:t xml:space="preserve">Heatmap of pre-existing (color gradient green) or CoVac-1-induced </w:t>
      </w:r>
      <w:r>
        <w:rPr>
          <w:lang w:val="en-US"/>
        </w:rPr>
        <w:lastRenderedPageBreak/>
        <w:t>(color gradient blue) T-cell response intensities to single CoVac-1 peptides (</w:t>
      </w:r>
      <w:proofErr w:type="spellStart"/>
      <w:r>
        <w:rPr>
          <w:lang w:val="en-US"/>
        </w:rPr>
        <w:t>nuc</w:t>
      </w:r>
      <w:proofErr w:type="spellEnd"/>
      <w:r>
        <w:rPr>
          <w:lang w:val="en-US"/>
        </w:rPr>
        <w:t xml:space="preserve">, nucleocapsid; </w:t>
      </w:r>
      <w:proofErr w:type="spellStart"/>
      <w:r>
        <w:rPr>
          <w:lang w:val="en-US"/>
        </w:rPr>
        <w:t>spi</w:t>
      </w:r>
      <w:proofErr w:type="spellEnd"/>
      <w:r>
        <w:rPr>
          <w:lang w:val="en-US"/>
        </w:rPr>
        <w:t xml:space="preserve">, spike; env, envelope; mem, membrane; ORF, open reading frame) and CoVac-1 peptide pool in </w:t>
      </w:r>
      <w:r>
        <w:rPr>
          <w:i/>
          <w:iCs/>
          <w:lang w:val="en-US"/>
        </w:rPr>
        <w:t>ex vivo</w:t>
      </w:r>
      <w:r>
        <w:rPr>
          <w:lang w:val="en-US"/>
        </w:rPr>
        <w:t xml:space="preserve"> IFN-</w:t>
      </w:r>
      <w:r>
        <w:rPr>
          <w:rFonts w:ascii="Symbol" w:hAnsi="Symbol"/>
          <w:lang w:val="en-US"/>
        </w:rPr>
        <w:t></w:t>
      </w:r>
      <w:r>
        <w:rPr>
          <w:lang w:val="en-US"/>
        </w:rPr>
        <w:t xml:space="preserve"> ELISPOT assays using PBMCs from study patients (uniform patient number, UPN) before CoVac-1 application (day 1) and at different time points after vaccination (day 7, day 14, day 28). The first 14 study patients were included in the Phase I part of the trial. Ticked boxes display not assessable T-cell responses due to </w:t>
      </w:r>
      <w:proofErr w:type="gramStart"/>
      <w:r>
        <w:rPr>
          <w:lang w:val="en-US"/>
        </w:rPr>
        <w:t>e.g.</w:t>
      </w:r>
      <w:proofErr w:type="gramEnd"/>
      <w:r>
        <w:rPr>
          <w:lang w:val="en-US"/>
        </w:rPr>
        <w:t xml:space="preserve"> insufficient sample material or inability to mount antigen-specific T-cell responses (absence of CoVac-1-induced T-cell responses and no T-cell responses to HLA-DR T-cell epitope control panel including viral peptides from Epstein-Barr virus (EBV), cytomegalovirus (CMV) and adenovirus (ADV) assessed by IFN-γ ELISPOT assays).</w:t>
      </w:r>
    </w:p>
    <w:p w14:paraId="00F9A7FA" w14:textId="77777777" w:rsidR="00430AA7" w:rsidRDefault="00430AA7" w:rsidP="00430AA7">
      <w:pPr>
        <w:spacing w:after="200" w:line="276" w:lineRule="auto"/>
        <w:rPr>
          <w:lang w:val="en-US"/>
        </w:rPr>
      </w:pPr>
      <w:r>
        <w:rPr>
          <w:lang w:val="en-US"/>
        </w:rPr>
        <w:br w:type="page"/>
      </w:r>
    </w:p>
    <w:p w14:paraId="04ADE15D" w14:textId="77777777" w:rsidR="00430AA7" w:rsidRDefault="00430AA7" w:rsidP="00430AA7">
      <w:pPr>
        <w:spacing w:before="240" w:line="480" w:lineRule="auto"/>
        <w:jc w:val="center"/>
        <w:rPr>
          <w:lang w:val="en-US"/>
        </w:rPr>
      </w:pPr>
      <w:r>
        <w:rPr>
          <w:b/>
          <w:bCs/>
          <w:noProof/>
        </w:rPr>
        <w:lastRenderedPageBreak/>
        <w:drawing>
          <wp:inline distT="0" distB="0" distL="0" distR="0" wp14:anchorId="6378A1D3" wp14:editId="25E5120A">
            <wp:extent cx="4498009" cy="6804000"/>
            <wp:effectExtent l="0" t="0" r="0" b="0"/>
            <wp:docPr id="7" name="Grafik 7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 descr="Graphical user interfac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009" cy="68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B6177" w14:textId="77777777" w:rsidR="00430AA7" w:rsidRDefault="00430AA7" w:rsidP="00430AA7">
      <w:pPr>
        <w:spacing w:after="200" w:line="480" w:lineRule="auto"/>
        <w:jc w:val="both"/>
        <w:rPr>
          <w:lang w:val="en-US"/>
        </w:rPr>
      </w:pPr>
      <w:r>
        <w:rPr>
          <w:rFonts w:eastAsia="Calibri"/>
          <w:b/>
          <w:lang w:val="en-US" w:eastAsia="en-US"/>
        </w:rPr>
        <w:t xml:space="preserve">Extended Data Figure 2: </w:t>
      </w:r>
      <w:r>
        <w:rPr>
          <w:b/>
          <w:bCs/>
          <w:lang w:val="en-US"/>
        </w:rPr>
        <w:t>Intensities of CoVac-1-induced T-cell responses assessed in IFN</w:t>
      </w:r>
      <w:r>
        <w:rPr>
          <w:b/>
          <w:bCs/>
          <w:lang w:val="en-US"/>
        </w:rPr>
        <w:noBreakHyphen/>
      </w:r>
      <w:r>
        <w:rPr>
          <w:rFonts w:ascii="Symbol" w:hAnsi="Symbol"/>
          <w:b/>
          <w:bCs/>
          <w:lang w:val="en-US"/>
        </w:rPr>
        <w:t></w:t>
      </w:r>
      <w:r>
        <w:rPr>
          <w:b/>
          <w:bCs/>
          <w:lang w:val="en-US"/>
        </w:rPr>
        <w:t xml:space="preserve"> ELISPOT assays after 12-day </w:t>
      </w:r>
      <w:r>
        <w:rPr>
          <w:b/>
          <w:bCs/>
          <w:i/>
          <w:iCs/>
          <w:lang w:val="en-US"/>
        </w:rPr>
        <w:t>in vitro</w:t>
      </w:r>
      <w:r>
        <w:rPr>
          <w:b/>
          <w:bCs/>
          <w:lang w:val="en-US"/>
        </w:rPr>
        <w:t xml:space="preserve"> expansion. </w:t>
      </w:r>
      <w:r>
        <w:rPr>
          <w:lang w:val="en-US"/>
        </w:rPr>
        <w:t>Heatmap of pre-existing (color gradient green) or CoVac-1-induced (color gradient blue) T-cell response intensities to single CoVac-1 peptides (</w:t>
      </w:r>
      <w:proofErr w:type="spellStart"/>
      <w:r>
        <w:rPr>
          <w:lang w:val="en-US"/>
        </w:rPr>
        <w:t>nuc</w:t>
      </w:r>
      <w:proofErr w:type="spellEnd"/>
      <w:r>
        <w:rPr>
          <w:lang w:val="en-US"/>
        </w:rPr>
        <w:t xml:space="preserve">, nucleocapsid; </w:t>
      </w:r>
      <w:proofErr w:type="spellStart"/>
      <w:r>
        <w:rPr>
          <w:lang w:val="en-US"/>
        </w:rPr>
        <w:t>spi</w:t>
      </w:r>
      <w:proofErr w:type="spellEnd"/>
      <w:r>
        <w:rPr>
          <w:lang w:val="en-US"/>
        </w:rPr>
        <w:t xml:space="preserve">, spike; env, envelope; mem, membrane; ORF, open reading frame) and </w:t>
      </w:r>
      <w:r>
        <w:rPr>
          <w:lang w:val="en-US"/>
        </w:rPr>
        <w:lastRenderedPageBreak/>
        <w:t>CoVac-1 peptide pool in IFN-</w:t>
      </w:r>
      <w:r>
        <w:rPr>
          <w:rFonts w:ascii="Symbol" w:hAnsi="Symbol"/>
          <w:lang w:val="en-US"/>
        </w:rPr>
        <w:t></w:t>
      </w:r>
      <w:r>
        <w:rPr>
          <w:lang w:val="en-US"/>
        </w:rPr>
        <w:t xml:space="preserve"> ELISPOT assays after 12-day </w:t>
      </w:r>
      <w:r>
        <w:rPr>
          <w:i/>
          <w:lang w:val="en-US"/>
        </w:rPr>
        <w:t>in vitro</w:t>
      </w:r>
      <w:r>
        <w:rPr>
          <w:lang w:val="en-US"/>
        </w:rPr>
        <w:t xml:space="preserve"> expansion of PBMCs from study patients (uniform patient number, UPN) before (day 1) and at different time points after CoVac-1 application (day 7, day 14, day 28). The first 14 study patients were included in the Phase I part of the trial. Ticked boxes display not assessable T-cell responses due to </w:t>
      </w:r>
      <w:proofErr w:type="gramStart"/>
      <w:r>
        <w:rPr>
          <w:lang w:val="en-US"/>
        </w:rPr>
        <w:t>e.g.</w:t>
      </w:r>
      <w:proofErr w:type="gramEnd"/>
      <w:r>
        <w:rPr>
          <w:lang w:val="en-US"/>
        </w:rPr>
        <w:t xml:space="preserve"> insufficient sample material or inability to mount antigen-specific T-cell responses (absence of CoVac-1 induced T-cell responses and no T-cell responses to HLA-DR T-cell epitope control panel including viral peptides from Epstein-Barr virus (EBV), cytomegalovirus (CMV) and adenovirus (ADV) assessed by IFN-γ ELISPOT assays).</w:t>
      </w:r>
    </w:p>
    <w:p w14:paraId="52C6C570" w14:textId="77777777" w:rsidR="00430AA7" w:rsidRDefault="00430AA7" w:rsidP="00430AA7">
      <w:pPr>
        <w:spacing w:after="200" w:line="276" w:lineRule="auto"/>
        <w:rPr>
          <w:lang w:val="en-US"/>
        </w:rPr>
      </w:pPr>
      <w:r>
        <w:rPr>
          <w:lang w:val="en-US"/>
        </w:rPr>
        <w:br w:type="page"/>
      </w:r>
    </w:p>
    <w:p w14:paraId="2E9144E0" w14:textId="77777777" w:rsidR="00430AA7" w:rsidRDefault="00430AA7" w:rsidP="00430AA7">
      <w:pPr>
        <w:spacing w:after="200" w:line="480" w:lineRule="auto"/>
        <w:jc w:val="center"/>
        <w:rPr>
          <w:rFonts w:eastAsia="Calibri"/>
          <w:b/>
          <w:lang w:val="en-US" w:eastAsia="en-US"/>
        </w:rPr>
      </w:pPr>
      <w:r>
        <w:rPr>
          <w:rFonts w:asciiTheme="minorHAnsi" w:eastAsiaTheme="minorHAnsi" w:hAnsiTheme="minorHAnsi" w:cstheme="minorBidi"/>
          <w:noProof/>
          <w:sz w:val="16"/>
          <w:szCs w:val="16"/>
        </w:rPr>
        <w:lastRenderedPageBreak/>
        <w:drawing>
          <wp:inline distT="0" distB="0" distL="0" distR="0" wp14:anchorId="5FF1E32C" wp14:editId="5DA4EB25">
            <wp:extent cx="4814631" cy="1912929"/>
            <wp:effectExtent l="0" t="0" r="5080" b="0"/>
            <wp:docPr id="6" name="Grafik 6" descr="Ein Bild, das Text, Monitor, drinnen, Bildschir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 descr="Ein Bild, das Text, Monitor, drinnen, Bildschirm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4631" cy="1912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C05D1" w14:textId="77777777" w:rsidR="00430AA7" w:rsidRDefault="00430AA7" w:rsidP="00430AA7">
      <w:pPr>
        <w:spacing w:after="200" w:line="480" w:lineRule="auto"/>
        <w:jc w:val="both"/>
        <w:rPr>
          <w:rFonts w:eastAsia="Calibri"/>
          <w:b/>
          <w:lang w:val="en-US" w:eastAsia="en-US"/>
        </w:rPr>
      </w:pPr>
      <w:r>
        <w:rPr>
          <w:rFonts w:eastAsia="Calibri"/>
          <w:b/>
          <w:lang w:val="en-US" w:eastAsia="en-US"/>
        </w:rPr>
        <w:t xml:space="preserve">Extended Data Figure 3: </w:t>
      </w:r>
      <w:r>
        <w:rPr>
          <w:b/>
          <w:bCs/>
          <w:lang w:val="en-US"/>
        </w:rPr>
        <w:t>CoVac-1-induced CD4</w:t>
      </w:r>
      <w:r>
        <w:rPr>
          <w:b/>
          <w:bCs/>
          <w:vertAlign w:val="superscript"/>
          <w:lang w:val="en-US"/>
        </w:rPr>
        <w:t>+</w:t>
      </w:r>
      <w:r>
        <w:rPr>
          <w:b/>
          <w:bCs/>
          <w:lang w:val="en-US"/>
        </w:rPr>
        <w:t xml:space="preserve"> T-cell responses in study participants.</w:t>
      </w:r>
      <w:r>
        <w:rPr>
          <w:lang w:val="en-US"/>
        </w:rPr>
        <w:t xml:space="preserve"> Frequencies of CoVac-1</w:t>
      </w:r>
      <w:r>
        <w:rPr>
          <w:rFonts w:ascii="Cambria Math" w:hAnsi="Cambria Math" w:cs="Cambria Math"/>
          <w:lang w:val="en-US"/>
        </w:rPr>
        <w:t>‐</w:t>
      </w:r>
      <w:r>
        <w:rPr>
          <w:lang w:val="en-US"/>
        </w:rPr>
        <w:t>specific CD4</w:t>
      </w:r>
      <w:r>
        <w:rPr>
          <w:vertAlign w:val="superscript"/>
          <w:lang w:val="en-US"/>
        </w:rPr>
        <w:t>+</w:t>
      </w:r>
      <w:r>
        <w:rPr>
          <w:lang w:val="en-US"/>
        </w:rPr>
        <w:t xml:space="preserve"> T cells in study participants (n = as indicated) prior to (day 1) or on day 28 following CoVac-1 administration after 12-day </w:t>
      </w:r>
      <w:r>
        <w:rPr>
          <w:i/>
          <w:iCs/>
          <w:lang w:val="en-US"/>
        </w:rPr>
        <w:t>in vitro</w:t>
      </w:r>
      <w:r>
        <w:rPr>
          <w:lang w:val="en-US"/>
        </w:rPr>
        <w:t xml:space="preserve"> expansion. Functionality of CD4</w:t>
      </w:r>
      <w:r>
        <w:rPr>
          <w:vertAlign w:val="superscript"/>
          <w:lang w:val="en-US"/>
        </w:rPr>
        <w:t>+</w:t>
      </w:r>
      <w:r>
        <w:rPr>
          <w:lang w:val="en-US"/>
        </w:rPr>
        <w:t xml:space="preserve"> T cells was assessed for upregulation of the degranulation marker CD107a and production of the T-helper 1 (Th1) cytokines (IFN</w:t>
      </w:r>
      <w:r>
        <w:rPr>
          <w:rFonts w:ascii="Cambria Math" w:hAnsi="Cambria Math" w:cs="Cambria Math"/>
          <w:lang w:val="en-US"/>
        </w:rPr>
        <w:t>‐</w:t>
      </w:r>
      <w:r>
        <w:rPr>
          <w:rFonts w:ascii="Symbol" w:hAnsi="Symbol"/>
          <w:lang w:val="en-US"/>
        </w:rPr>
        <w:t></w:t>
      </w:r>
      <w:r>
        <w:rPr>
          <w:lang w:val="en-US"/>
        </w:rPr>
        <w:t>, TNF, IL</w:t>
      </w:r>
      <w:r>
        <w:rPr>
          <w:lang w:val="en-US"/>
        </w:rPr>
        <w:noBreakHyphen/>
        <w:t>2). The right graph displays the proportion of samples revealing bifunctional (2), trifunctional (3), or tetrafunctional (4) CD4</w:t>
      </w:r>
      <w:r>
        <w:rPr>
          <w:vertAlign w:val="superscript"/>
          <w:lang w:val="en-US"/>
        </w:rPr>
        <w:t>+</w:t>
      </w:r>
      <w:r>
        <w:rPr>
          <w:lang w:val="en-US"/>
        </w:rPr>
        <w:t xml:space="preserve"> T cells. Combined box-line plots display median with 25</w:t>
      </w:r>
      <w:r>
        <w:rPr>
          <w:vertAlign w:val="superscript"/>
          <w:lang w:val="en-US"/>
        </w:rPr>
        <w:t>th</w:t>
      </w:r>
      <w:r>
        <w:rPr>
          <w:lang w:val="en-US"/>
        </w:rPr>
        <w:t xml:space="preserve"> or 75</w:t>
      </w:r>
      <w:r>
        <w:rPr>
          <w:vertAlign w:val="superscript"/>
          <w:lang w:val="en-US"/>
        </w:rPr>
        <w:t>th</w:t>
      </w:r>
      <w:r>
        <w:rPr>
          <w:lang w:val="en-US"/>
        </w:rPr>
        <w:t xml:space="preserve"> percentiles, and min/max whiskers. no, number; pos, positive.</w:t>
      </w:r>
    </w:p>
    <w:p w14:paraId="6647DE7E" w14:textId="77777777" w:rsidR="00430AA7" w:rsidRDefault="00430AA7" w:rsidP="00430AA7">
      <w:pPr>
        <w:spacing w:after="200" w:line="276" w:lineRule="auto"/>
        <w:rPr>
          <w:rFonts w:eastAsia="Calibri"/>
          <w:b/>
          <w:lang w:val="en-US" w:eastAsia="en-US"/>
        </w:rPr>
      </w:pPr>
      <w:r>
        <w:rPr>
          <w:rFonts w:eastAsia="Calibri"/>
          <w:b/>
          <w:lang w:val="en-US" w:eastAsia="en-US"/>
        </w:rPr>
        <w:br w:type="page"/>
      </w:r>
    </w:p>
    <w:p w14:paraId="6E2F711F" w14:textId="77777777" w:rsidR="00430AA7" w:rsidRDefault="00430AA7" w:rsidP="00430AA7">
      <w:pPr>
        <w:spacing w:after="200" w:line="480" w:lineRule="auto"/>
        <w:rPr>
          <w:rFonts w:eastAsia="Calibri"/>
          <w:b/>
          <w:lang w:val="en-US" w:eastAsia="en-US"/>
        </w:rPr>
      </w:pPr>
      <w:r>
        <w:rPr>
          <w:rFonts w:eastAsia="Calibri"/>
          <w:b/>
          <w:lang w:val="en-US" w:eastAsia="en-US"/>
        </w:rPr>
        <w:lastRenderedPageBreak/>
        <w:t>Supplementary Tables and Figures</w:t>
      </w:r>
    </w:p>
    <w:p w14:paraId="2D139AF0" w14:textId="77777777" w:rsidR="00430AA7" w:rsidRDefault="00430AA7" w:rsidP="00430AA7">
      <w:pPr>
        <w:spacing w:after="200" w:line="480" w:lineRule="auto"/>
        <w:rPr>
          <w:rFonts w:eastAsia="Calibri"/>
          <w:b/>
          <w:lang w:val="en-US" w:eastAsia="en-US"/>
        </w:rPr>
      </w:pPr>
      <w:r>
        <w:rPr>
          <w:rFonts w:eastAsia="Calibri"/>
          <w:b/>
          <w:lang w:val="en-US" w:eastAsia="en-US"/>
        </w:rPr>
        <w:t>Supplementary Table S1:</w:t>
      </w:r>
      <w:r w:rsidRPr="0011289C">
        <w:rPr>
          <w:lang w:val="en-US"/>
        </w:rPr>
        <w:t xml:space="preserve"> </w:t>
      </w:r>
      <w:r w:rsidRPr="0011289C">
        <w:rPr>
          <w:rFonts w:eastAsia="Calibri"/>
          <w:b/>
          <w:lang w:val="en-US" w:eastAsia="en-US"/>
        </w:rPr>
        <w:t>Toxicity grading scale modified according to CTCAE V5.0.</w:t>
      </w:r>
    </w:p>
    <w:p w14:paraId="642BB995" w14:textId="77777777" w:rsidR="00430AA7" w:rsidRPr="002A5151" w:rsidRDefault="00430AA7" w:rsidP="00430AA7">
      <w:pPr>
        <w:spacing w:after="200" w:line="480" w:lineRule="auto"/>
        <w:rPr>
          <w:rFonts w:eastAsia="Calibri"/>
          <w:lang w:val="en-US" w:eastAsia="en-US"/>
        </w:rPr>
      </w:pPr>
      <w:r>
        <w:rPr>
          <w:rFonts w:eastAsia="Calibri"/>
          <w:lang w:val="en-US" w:eastAsia="en-US"/>
        </w:rPr>
        <w:t>This table depicts the t</w:t>
      </w:r>
      <w:r w:rsidRPr="002A5151">
        <w:rPr>
          <w:rFonts w:eastAsia="Calibri"/>
          <w:lang w:val="en-US" w:eastAsia="en-US"/>
        </w:rPr>
        <w:t xml:space="preserve">oxicity grading </w:t>
      </w:r>
      <w:r>
        <w:rPr>
          <w:rFonts w:eastAsia="Calibri"/>
          <w:lang w:val="en-US" w:eastAsia="en-US"/>
        </w:rPr>
        <w:t xml:space="preserve">for local solicited AEs. </w:t>
      </w:r>
    </w:p>
    <w:p w14:paraId="7C7B8582" w14:textId="77777777" w:rsidR="00430AA7" w:rsidRDefault="00430AA7" w:rsidP="00430AA7">
      <w:pPr>
        <w:spacing w:after="200" w:line="480" w:lineRule="auto"/>
        <w:rPr>
          <w:rFonts w:eastAsia="Calibri"/>
          <w:b/>
          <w:lang w:val="en-US" w:eastAsia="en-US"/>
        </w:rPr>
      </w:pPr>
      <w:r>
        <w:rPr>
          <w:rFonts w:eastAsia="Calibri"/>
          <w:b/>
          <w:lang w:val="en-US" w:eastAsia="en-US"/>
        </w:rPr>
        <w:t xml:space="preserve">Supplementary Table S2: </w:t>
      </w:r>
      <w:r w:rsidRPr="0011289C">
        <w:rPr>
          <w:rFonts w:eastAsia="Calibri"/>
          <w:b/>
          <w:lang w:val="en-US" w:eastAsia="en-US"/>
        </w:rPr>
        <w:t>Potential immune-mediated medical conditions</w:t>
      </w:r>
      <w:r>
        <w:rPr>
          <w:rFonts w:eastAsia="Calibri"/>
          <w:b/>
          <w:lang w:val="en-US" w:eastAsia="en-US"/>
        </w:rPr>
        <w:t>.</w:t>
      </w:r>
    </w:p>
    <w:p w14:paraId="29BDBA26" w14:textId="77777777" w:rsidR="00430AA7" w:rsidRPr="002A5151" w:rsidRDefault="00430AA7" w:rsidP="00430AA7">
      <w:pPr>
        <w:spacing w:after="200" w:line="480" w:lineRule="auto"/>
        <w:rPr>
          <w:rFonts w:eastAsia="Calibri"/>
          <w:lang w:val="en-US" w:eastAsia="en-US"/>
        </w:rPr>
      </w:pPr>
      <w:r>
        <w:rPr>
          <w:rFonts w:eastAsia="Calibri"/>
          <w:lang w:val="en-US" w:eastAsia="en-US"/>
        </w:rPr>
        <w:t>This table depicts p</w:t>
      </w:r>
      <w:r w:rsidRPr="002A5151">
        <w:rPr>
          <w:rFonts w:eastAsia="Calibri"/>
          <w:lang w:val="en-US" w:eastAsia="en-US"/>
        </w:rPr>
        <w:t>otential immune-mediated medical conditions</w:t>
      </w:r>
      <w:r>
        <w:rPr>
          <w:rFonts w:eastAsia="Calibri"/>
          <w:lang w:val="en-US" w:eastAsia="en-US"/>
        </w:rPr>
        <w:t xml:space="preserve"> after CoVac-1 administration.</w:t>
      </w:r>
    </w:p>
    <w:p w14:paraId="6E9B0943" w14:textId="77777777" w:rsidR="00430AA7" w:rsidRDefault="00430AA7" w:rsidP="00430AA7">
      <w:pPr>
        <w:spacing w:after="200" w:line="480" w:lineRule="auto"/>
        <w:rPr>
          <w:rFonts w:eastAsia="Calibri"/>
          <w:b/>
          <w:lang w:val="en-US" w:eastAsia="en-US"/>
        </w:rPr>
      </w:pPr>
      <w:r>
        <w:rPr>
          <w:rFonts w:eastAsia="Calibri"/>
          <w:b/>
          <w:lang w:val="en-US" w:eastAsia="en-US"/>
        </w:rPr>
        <w:t xml:space="preserve">Supplementary Table S3: </w:t>
      </w:r>
      <w:r w:rsidRPr="0011289C">
        <w:rPr>
          <w:rFonts w:eastAsia="Calibri"/>
          <w:b/>
          <w:lang w:val="en-US" w:eastAsia="en-US"/>
        </w:rPr>
        <w:t>Adverse events of special interest (AESI).</w:t>
      </w:r>
    </w:p>
    <w:p w14:paraId="4CBF37CA" w14:textId="77777777" w:rsidR="00430AA7" w:rsidRPr="002A5151" w:rsidRDefault="00430AA7" w:rsidP="00430AA7">
      <w:pPr>
        <w:spacing w:after="200" w:line="480" w:lineRule="auto"/>
        <w:rPr>
          <w:rFonts w:eastAsia="Calibri"/>
          <w:lang w:val="en-US" w:eastAsia="en-US"/>
        </w:rPr>
      </w:pPr>
      <w:r>
        <w:rPr>
          <w:rFonts w:eastAsia="Calibri"/>
          <w:lang w:val="en-US" w:eastAsia="en-US"/>
        </w:rPr>
        <w:t xml:space="preserve">This table depicts the predefined AESIs. </w:t>
      </w:r>
    </w:p>
    <w:p w14:paraId="5ECC2250" w14:textId="77777777" w:rsidR="00430AA7" w:rsidRDefault="00430AA7" w:rsidP="00430AA7">
      <w:pPr>
        <w:spacing w:after="200" w:line="480" w:lineRule="auto"/>
        <w:rPr>
          <w:rFonts w:eastAsia="Calibri"/>
          <w:b/>
          <w:lang w:val="en-US" w:eastAsia="en-US"/>
        </w:rPr>
      </w:pPr>
      <w:r>
        <w:rPr>
          <w:rFonts w:eastAsia="Calibri"/>
          <w:b/>
          <w:lang w:val="en-US" w:eastAsia="en-US"/>
        </w:rPr>
        <w:t xml:space="preserve">Supplementary Table S4: </w:t>
      </w:r>
      <w:r w:rsidRPr="0011289C">
        <w:rPr>
          <w:rFonts w:eastAsia="Calibri"/>
          <w:b/>
          <w:lang w:val="en-US" w:eastAsia="en-US"/>
        </w:rPr>
        <w:t>HLA-DR viral control peptide panel (ADV, CMV, EBV).</w:t>
      </w:r>
    </w:p>
    <w:p w14:paraId="584D4069" w14:textId="77777777" w:rsidR="00430AA7" w:rsidRPr="002A5151" w:rsidRDefault="00430AA7" w:rsidP="00430AA7">
      <w:pPr>
        <w:spacing w:after="200" w:line="480" w:lineRule="auto"/>
        <w:rPr>
          <w:rFonts w:eastAsia="Calibri"/>
          <w:lang w:val="en-US" w:eastAsia="en-US"/>
        </w:rPr>
      </w:pPr>
      <w:r>
        <w:rPr>
          <w:rFonts w:eastAsia="Calibri"/>
          <w:lang w:val="en-US" w:eastAsia="en-US"/>
        </w:rPr>
        <w:t xml:space="preserve">This table depicts the peptides derived from ADV, CMV and EBV which were used as </w:t>
      </w:r>
      <w:r w:rsidRPr="002A5151">
        <w:rPr>
          <w:rFonts w:eastAsia="Calibri"/>
          <w:lang w:val="en-US" w:eastAsia="en-US"/>
        </w:rPr>
        <w:t>HLA</w:t>
      </w:r>
      <w:r>
        <w:rPr>
          <w:rFonts w:eastAsia="Calibri"/>
          <w:lang w:val="en-US" w:eastAsia="en-US"/>
        </w:rPr>
        <w:t>-DR viral control peptide panel</w:t>
      </w:r>
      <w:r w:rsidRPr="002A5151">
        <w:rPr>
          <w:rFonts w:eastAsia="Calibri"/>
          <w:lang w:val="en-US" w:eastAsia="en-US"/>
        </w:rPr>
        <w:t>.</w:t>
      </w:r>
    </w:p>
    <w:p w14:paraId="26ACE4D2" w14:textId="77777777" w:rsidR="00430AA7" w:rsidRDefault="00430AA7" w:rsidP="00430AA7">
      <w:pPr>
        <w:spacing w:after="200" w:line="480" w:lineRule="auto"/>
        <w:rPr>
          <w:rFonts w:eastAsia="Calibri"/>
          <w:b/>
          <w:lang w:val="en-US" w:eastAsia="en-US"/>
        </w:rPr>
      </w:pPr>
      <w:r>
        <w:rPr>
          <w:rFonts w:eastAsia="Calibri"/>
          <w:b/>
          <w:lang w:val="en-US" w:eastAsia="en-US"/>
        </w:rPr>
        <w:t xml:space="preserve">Supplementary Table S5: </w:t>
      </w:r>
      <w:r w:rsidRPr="0011289C">
        <w:rPr>
          <w:rFonts w:eastAsia="Calibri"/>
          <w:b/>
          <w:lang w:val="en-US" w:eastAsia="en-US"/>
        </w:rPr>
        <w:t>Characteristics of immunocompetent convalescents after SARS-CoV-2 infection</w:t>
      </w:r>
      <w:r>
        <w:rPr>
          <w:rFonts w:eastAsia="Calibri"/>
          <w:b/>
          <w:lang w:val="en-US" w:eastAsia="en-US"/>
        </w:rPr>
        <w:t>.</w:t>
      </w:r>
    </w:p>
    <w:p w14:paraId="51D31C9D" w14:textId="77777777" w:rsidR="00430AA7" w:rsidRPr="002A5151" w:rsidRDefault="00430AA7" w:rsidP="00430AA7">
      <w:pPr>
        <w:spacing w:after="200" w:line="480" w:lineRule="auto"/>
        <w:rPr>
          <w:rFonts w:eastAsia="Calibri"/>
          <w:lang w:val="en-US" w:eastAsia="en-US"/>
        </w:rPr>
      </w:pPr>
      <w:r>
        <w:rPr>
          <w:rFonts w:eastAsia="Calibri"/>
          <w:lang w:val="en-US" w:eastAsia="en-US"/>
        </w:rPr>
        <w:t>This table depicts the c</w:t>
      </w:r>
      <w:r w:rsidRPr="002A5151">
        <w:rPr>
          <w:rFonts w:eastAsia="Calibri"/>
          <w:lang w:val="en-US" w:eastAsia="en-US"/>
        </w:rPr>
        <w:t>haracteristics of immunocompetent convalescents after SARS-CoV-2 infection</w:t>
      </w:r>
      <w:r>
        <w:rPr>
          <w:rFonts w:eastAsia="Calibri"/>
          <w:lang w:val="en-US" w:eastAsia="en-US"/>
        </w:rPr>
        <w:t>.</w:t>
      </w:r>
    </w:p>
    <w:p w14:paraId="2AFD8216" w14:textId="77777777" w:rsidR="00430AA7" w:rsidRDefault="00430AA7" w:rsidP="00430AA7">
      <w:pPr>
        <w:spacing w:after="200" w:line="480" w:lineRule="auto"/>
        <w:rPr>
          <w:rFonts w:eastAsia="Calibri"/>
          <w:b/>
          <w:lang w:val="en-US" w:eastAsia="en-US"/>
        </w:rPr>
      </w:pPr>
      <w:r>
        <w:rPr>
          <w:rFonts w:eastAsia="Calibri"/>
          <w:b/>
          <w:lang w:val="en-US" w:eastAsia="en-US"/>
        </w:rPr>
        <w:t xml:space="preserve">Supplementary Table S6: </w:t>
      </w:r>
      <w:r w:rsidRPr="0011289C">
        <w:rPr>
          <w:rFonts w:eastAsia="Calibri"/>
          <w:b/>
          <w:lang w:val="en-US" w:eastAsia="en-US"/>
        </w:rPr>
        <w:t>Additional information on patients` prior vaccination</w:t>
      </w:r>
      <w:r>
        <w:rPr>
          <w:rFonts w:eastAsia="Calibri"/>
          <w:b/>
          <w:lang w:val="en-US" w:eastAsia="en-US"/>
        </w:rPr>
        <w:t>.</w:t>
      </w:r>
    </w:p>
    <w:p w14:paraId="5A7451AB" w14:textId="77777777" w:rsidR="00430AA7" w:rsidRPr="002A5151" w:rsidRDefault="00430AA7" w:rsidP="00430AA7">
      <w:pPr>
        <w:spacing w:after="200" w:line="480" w:lineRule="auto"/>
        <w:rPr>
          <w:rFonts w:eastAsia="Calibri"/>
          <w:lang w:val="en-US" w:eastAsia="en-US"/>
        </w:rPr>
      </w:pPr>
      <w:r>
        <w:rPr>
          <w:rFonts w:eastAsia="Calibri"/>
          <w:lang w:val="en-US" w:eastAsia="en-US"/>
        </w:rPr>
        <w:t>This table depicts a</w:t>
      </w:r>
      <w:r w:rsidRPr="002A5151">
        <w:rPr>
          <w:rFonts w:eastAsia="Calibri"/>
          <w:lang w:val="en-US" w:eastAsia="en-US"/>
        </w:rPr>
        <w:t xml:space="preserve">dditional information on patients` prior </w:t>
      </w:r>
      <w:r>
        <w:rPr>
          <w:rFonts w:eastAsia="Calibri"/>
          <w:lang w:val="en-US" w:eastAsia="en-US"/>
        </w:rPr>
        <w:t xml:space="preserve">COVID-19 </w:t>
      </w:r>
      <w:r w:rsidRPr="002A5151">
        <w:rPr>
          <w:rFonts w:eastAsia="Calibri"/>
          <w:lang w:val="en-US" w:eastAsia="en-US"/>
        </w:rPr>
        <w:t>vaccination</w:t>
      </w:r>
      <w:r>
        <w:rPr>
          <w:rFonts w:eastAsia="Calibri"/>
          <w:lang w:val="en-US" w:eastAsia="en-US"/>
        </w:rPr>
        <w:t>.</w:t>
      </w:r>
    </w:p>
    <w:p w14:paraId="3B6DF87E" w14:textId="77777777" w:rsidR="00430AA7" w:rsidRDefault="00430AA7" w:rsidP="00430AA7">
      <w:pPr>
        <w:spacing w:after="200" w:line="480" w:lineRule="auto"/>
        <w:rPr>
          <w:rFonts w:eastAsia="Calibri"/>
          <w:b/>
          <w:lang w:val="en-US" w:eastAsia="en-US"/>
        </w:rPr>
      </w:pPr>
      <w:r>
        <w:rPr>
          <w:rFonts w:eastAsia="Calibri"/>
          <w:b/>
          <w:lang w:val="en-US" w:eastAsia="en-US"/>
        </w:rPr>
        <w:t xml:space="preserve">Supplementary Table S7: </w:t>
      </w:r>
      <w:r w:rsidRPr="0011289C">
        <w:rPr>
          <w:rFonts w:eastAsia="Calibri"/>
          <w:b/>
          <w:lang w:val="en-US" w:eastAsia="en-US"/>
        </w:rPr>
        <w:t>Hematological malignancies and therapies of patients included in the study.</w:t>
      </w:r>
    </w:p>
    <w:p w14:paraId="04E2DEC8" w14:textId="77777777" w:rsidR="00430AA7" w:rsidRDefault="00430AA7" w:rsidP="00430AA7">
      <w:pPr>
        <w:spacing w:after="200" w:line="480" w:lineRule="auto"/>
        <w:rPr>
          <w:rFonts w:eastAsia="Calibri"/>
          <w:lang w:val="en-US" w:eastAsia="en-US"/>
        </w:rPr>
      </w:pPr>
      <w:r>
        <w:rPr>
          <w:rFonts w:eastAsia="Calibri"/>
          <w:lang w:val="en-US" w:eastAsia="en-US"/>
        </w:rPr>
        <w:lastRenderedPageBreak/>
        <w:t>This table contains information about the h</w:t>
      </w:r>
      <w:r w:rsidRPr="002A5151">
        <w:rPr>
          <w:rFonts w:eastAsia="Calibri"/>
          <w:lang w:val="en-US" w:eastAsia="en-US"/>
        </w:rPr>
        <w:t>ematological malignancies and therapies of patients included in the study.</w:t>
      </w:r>
    </w:p>
    <w:p w14:paraId="0E894C71" w14:textId="77777777" w:rsidR="00430AA7" w:rsidRPr="002A5151" w:rsidRDefault="00430AA7" w:rsidP="00430AA7">
      <w:pPr>
        <w:spacing w:after="200" w:line="480" w:lineRule="auto"/>
        <w:rPr>
          <w:rFonts w:eastAsia="Calibri"/>
          <w:b/>
          <w:lang w:val="en-US" w:eastAsia="en-US"/>
        </w:rPr>
      </w:pPr>
      <w:r w:rsidRPr="002A5151">
        <w:rPr>
          <w:rFonts w:eastAsia="Calibri"/>
          <w:b/>
          <w:lang w:val="en-US" w:eastAsia="en-US"/>
        </w:rPr>
        <w:t>Supplementary Table S8:</w:t>
      </w:r>
      <w:r>
        <w:rPr>
          <w:rFonts w:eastAsia="Calibri"/>
          <w:b/>
          <w:lang w:val="en-US" w:eastAsia="en-US"/>
        </w:rPr>
        <w:t xml:space="preserve"> </w:t>
      </w:r>
      <w:r w:rsidRPr="0011289C">
        <w:rPr>
          <w:rFonts w:eastAsia="Calibri"/>
          <w:b/>
          <w:lang w:val="en-US" w:eastAsia="en-US"/>
        </w:rPr>
        <w:t>Mutations of SARS-CoV-2 omicron variants</w:t>
      </w:r>
      <w:r>
        <w:rPr>
          <w:rFonts w:eastAsia="Calibri"/>
          <w:b/>
          <w:lang w:val="en-US" w:eastAsia="en-US"/>
        </w:rPr>
        <w:t>.</w:t>
      </w:r>
    </w:p>
    <w:p w14:paraId="44463DDA" w14:textId="77777777" w:rsidR="00430AA7" w:rsidRPr="002A5151" w:rsidRDefault="00430AA7" w:rsidP="00430AA7">
      <w:pPr>
        <w:spacing w:after="200" w:line="480" w:lineRule="auto"/>
        <w:rPr>
          <w:rFonts w:eastAsia="Calibri"/>
          <w:lang w:val="en-US" w:eastAsia="en-US"/>
        </w:rPr>
      </w:pPr>
      <w:r>
        <w:rPr>
          <w:rFonts w:eastAsia="Calibri"/>
          <w:lang w:val="en-US" w:eastAsia="en-US"/>
        </w:rPr>
        <w:t>This table depicts a list of m</w:t>
      </w:r>
      <w:r w:rsidRPr="002A5151">
        <w:rPr>
          <w:rFonts w:eastAsia="Calibri"/>
          <w:lang w:val="en-US" w:eastAsia="en-US"/>
        </w:rPr>
        <w:t>utations of SARS-CoV-2 omicron variants</w:t>
      </w:r>
      <w:r>
        <w:rPr>
          <w:rFonts w:eastAsia="Calibri"/>
          <w:lang w:val="en-US" w:eastAsia="en-US"/>
        </w:rPr>
        <w:t>.</w:t>
      </w:r>
    </w:p>
    <w:p w14:paraId="55BFB3E1" w14:textId="77777777" w:rsidR="00430AA7" w:rsidRDefault="00430AA7" w:rsidP="00430AA7">
      <w:pPr>
        <w:spacing w:after="200" w:line="276" w:lineRule="auto"/>
        <w:rPr>
          <w:rFonts w:eastAsia="Calibri"/>
          <w:b/>
          <w:lang w:val="en-US" w:eastAsia="en-US"/>
        </w:rPr>
      </w:pPr>
      <w:r>
        <w:rPr>
          <w:rFonts w:eastAsia="Calibri"/>
          <w:b/>
          <w:lang w:val="en-US" w:eastAsia="en-US"/>
        </w:rPr>
        <w:br w:type="page"/>
      </w:r>
    </w:p>
    <w:p w14:paraId="366496DB" w14:textId="77777777" w:rsidR="00430AA7" w:rsidRPr="00A876CD" w:rsidRDefault="00430AA7" w:rsidP="00430AA7">
      <w:pPr>
        <w:spacing w:after="200" w:line="480" w:lineRule="auto"/>
        <w:jc w:val="both"/>
        <w:rPr>
          <w:rFonts w:eastAsia="Calibri"/>
          <w:b/>
          <w:lang w:val="en-US" w:eastAsia="en-US"/>
        </w:rPr>
      </w:pPr>
      <w:r>
        <w:rPr>
          <w:rFonts w:eastAsia="Calibri"/>
          <w:b/>
          <w:lang w:val="en-US" w:eastAsia="en-US"/>
        </w:rPr>
        <w:lastRenderedPageBreak/>
        <w:t xml:space="preserve">Supplementary Figure S1: </w:t>
      </w:r>
      <w:r>
        <w:rPr>
          <w:rFonts w:eastAsia="Calibri"/>
          <w:b/>
          <w:bCs/>
          <w:lang w:val="en-US" w:eastAsia="en-US"/>
        </w:rPr>
        <w:t>Gating strategy for flow cytometry-based evaluation of surface marker and intracellular cytokine staining.</w:t>
      </w:r>
      <w:r>
        <w:rPr>
          <w:rFonts w:eastAsia="Calibri"/>
          <w:lang w:val="en-US" w:eastAsia="en-US"/>
        </w:rPr>
        <w:t xml:space="preserve"> Representative example showing the gating strategy for the evaluation of flow cytometry-acquired surface marker and intracellular cytokine staining data. The first gate identifies the lymphocytes (FSC-A vs. SSC-A), which are further gated for single cells (FSC-A vs. FSC-H and SSC-A vs. SSC-H) and viable cells (FSC-A vs. Aqua live/dead). CD4</w:t>
      </w:r>
      <w:r>
        <w:rPr>
          <w:rFonts w:eastAsia="Calibri"/>
          <w:vertAlign w:val="superscript"/>
          <w:lang w:val="en-US" w:eastAsia="en-US"/>
        </w:rPr>
        <w:t>+</w:t>
      </w:r>
      <w:r>
        <w:rPr>
          <w:rFonts w:eastAsia="Calibri"/>
          <w:lang w:val="en-US" w:eastAsia="en-US"/>
        </w:rPr>
        <w:t xml:space="preserve"> T cells (CD4-APC/Cy7 vs. CD8-PE/Cy7) are analyzed for different cytokines (FSC-A vs. IFN-</w:t>
      </w:r>
      <w:r>
        <w:rPr>
          <w:rFonts w:ascii="Symbol" w:eastAsia="Calibri" w:hAnsi="Symbol"/>
          <w:lang w:val="en-US" w:eastAsia="en-US"/>
        </w:rPr>
        <w:t></w:t>
      </w:r>
      <w:r>
        <w:rPr>
          <w:rFonts w:eastAsia="Calibri"/>
          <w:lang w:val="en-US" w:eastAsia="en-US"/>
        </w:rPr>
        <w:t>-PE; FSC-A vs. TNF-Pacific Blue; FSC</w:t>
      </w:r>
      <w:r>
        <w:rPr>
          <w:rFonts w:eastAsia="Calibri"/>
          <w:lang w:val="en-US" w:eastAsia="en-US"/>
        </w:rPr>
        <w:noBreakHyphen/>
        <w:t>A vs. IL-2-APC; IFN-</w:t>
      </w:r>
      <w:r>
        <w:rPr>
          <w:rFonts w:ascii="Symbol" w:eastAsia="Calibri" w:hAnsi="Symbol"/>
          <w:lang w:val="en-US" w:eastAsia="en-US"/>
        </w:rPr>
        <w:t></w:t>
      </w:r>
      <w:r>
        <w:rPr>
          <w:rFonts w:eastAsia="Calibri"/>
          <w:lang w:val="en-US" w:eastAsia="en-US"/>
        </w:rPr>
        <w:t>-PE vs. TNF-Pacific Blue; IL-2-APC vs. TNF-Pacific Blue) and the degranulation marker CD107a (FSC-A vs. CD107a-FITC). This gating strategy was applied for the data presented in Figure 3c and Extended Figure 3.</w:t>
      </w:r>
    </w:p>
    <w:p w14:paraId="67EB4448" w14:textId="77777777" w:rsidR="00F856A5" w:rsidRDefault="00F856A5"/>
    <w:sectPr w:rsidR="00F856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726BA"/>
    <w:multiLevelType w:val="hybridMultilevel"/>
    <w:tmpl w:val="326CCAA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F4831"/>
    <w:multiLevelType w:val="hybridMultilevel"/>
    <w:tmpl w:val="7A081BEE"/>
    <w:lvl w:ilvl="0" w:tplc="F9D88050">
      <w:start w:val="4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B5D88"/>
    <w:multiLevelType w:val="hybridMultilevel"/>
    <w:tmpl w:val="50262E18"/>
    <w:lvl w:ilvl="0" w:tplc="13A60C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F13CFA"/>
    <w:multiLevelType w:val="hybridMultilevel"/>
    <w:tmpl w:val="09F6A56C"/>
    <w:lvl w:ilvl="0" w:tplc="CDAA6E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774CAB"/>
    <w:multiLevelType w:val="hybridMultilevel"/>
    <w:tmpl w:val="25B056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D66BCA"/>
    <w:multiLevelType w:val="hybridMultilevel"/>
    <w:tmpl w:val="E66662C0"/>
    <w:lvl w:ilvl="0" w:tplc="B87055F4">
      <w:start w:val="13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6A55F64"/>
    <w:multiLevelType w:val="hybridMultilevel"/>
    <w:tmpl w:val="52121792"/>
    <w:lvl w:ilvl="0" w:tplc="A260AA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F25046"/>
    <w:multiLevelType w:val="hybridMultilevel"/>
    <w:tmpl w:val="8ADA3542"/>
    <w:lvl w:ilvl="0" w:tplc="32C06878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1438D4"/>
    <w:multiLevelType w:val="hybridMultilevel"/>
    <w:tmpl w:val="952C571C"/>
    <w:lvl w:ilvl="0" w:tplc="7CF89FE8">
      <w:start w:val="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1838CC"/>
    <w:multiLevelType w:val="multilevel"/>
    <w:tmpl w:val="59A45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6A1BBB"/>
    <w:multiLevelType w:val="multilevel"/>
    <w:tmpl w:val="0B982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79699D"/>
    <w:multiLevelType w:val="hybridMultilevel"/>
    <w:tmpl w:val="16704450"/>
    <w:lvl w:ilvl="0" w:tplc="04069972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E46E26"/>
    <w:multiLevelType w:val="hybridMultilevel"/>
    <w:tmpl w:val="09C2AC8E"/>
    <w:lvl w:ilvl="0" w:tplc="B2143C1A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255C89"/>
    <w:multiLevelType w:val="hybridMultilevel"/>
    <w:tmpl w:val="B1CA14DC"/>
    <w:lvl w:ilvl="0" w:tplc="CC2EB7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031F86"/>
    <w:multiLevelType w:val="hybridMultilevel"/>
    <w:tmpl w:val="F2D2EA2E"/>
    <w:lvl w:ilvl="0" w:tplc="8BC0D07E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F31E9C"/>
    <w:multiLevelType w:val="hybridMultilevel"/>
    <w:tmpl w:val="1C5093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7F591A"/>
    <w:multiLevelType w:val="hybridMultilevel"/>
    <w:tmpl w:val="0F688E1C"/>
    <w:lvl w:ilvl="0" w:tplc="EFF06AC4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CD0635"/>
    <w:multiLevelType w:val="hybridMultilevel"/>
    <w:tmpl w:val="EC88C6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7277E8"/>
    <w:multiLevelType w:val="hybridMultilevel"/>
    <w:tmpl w:val="B10ED3A0"/>
    <w:lvl w:ilvl="0" w:tplc="ACEE9F3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350E2F"/>
    <w:multiLevelType w:val="multilevel"/>
    <w:tmpl w:val="85ACB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CD69CE"/>
    <w:multiLevelType w:val="hybridMultilevel"/>
    <w:tmpl w:val="A764472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5F58B4"/>
    <w:multiLevelType w:val="multilevel"/>
    <w:tmpl w:val="5D3AE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0D6AC2"/>
    <w:multiLevelType w:val="hybridMultilevel"/>
    <w:tmpl w:val="B88EB2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AE7210"/>
    <w:multiLevelType w:val="hybridMultilevel"/>
    <w:tmpl w:val="37BA4776"/>
    <w:lvl w:ilvl="0" w:tplc="0AB87A48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3C3057"/>
    <w:multiLevelType w:val="multilevel"/>
    <w:tmpl w:val="4FF49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8327293"/>
    <w:multiLevelType w:val="multilevel"/>
    <w:tmpl w:val="B7023CC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50CD0D8F"/>
    <w:multiLevelType w:val="hybridMultilevel"/>
    <w:tmpl w:val="B95ED23C"/>
    <w:lvl w:ilvl="0" w:tplc="1CF437A8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823104"/>
    <w:multiLevelType w:val="hybridMultilevel"/>
    <w:tmpl w:val="38128C96"/>
    <w:lvl w:ilvl="0" w:tplc="7E783B0C">
      <w:start w:val="3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9E5C5A"/>
    <w:multiLevelType w:val="hybridMultilevel"/>
    <w:tmpl w:val="0D248946"/>
    <w:lvl w:ilvl="0" w:tplc="68A866D2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D06B40"/>
    <w:multiLevelType w:val="multilevel"/>
    <w:tmpl w:val="636EC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64309F6"/>
    <w:multiLevelType w:val="hybridMultilevel"/>
    <w:tmpl w:val="B7FE3E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4D066C"/>
    <w:multiLevelType w:val="hybridMultilevel"/>
    <w:tmpl w:val="11F428D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53363D"/>
    <w:multiLevelType w:val="hybridMultilevel"/>
    <w:tmpl w:val="E5D24298"/>
    <w:lvl w:ilvl="0" w:tplc="E61ECD4E">
      <w:start w:val="4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5D571E"/>
    <w:multiLevelType w:val="hybridMultilevel"/>
    <w:tmpl w:val="D9E499F6"/>
    <w:lvl w:ilvl="0" w:tplc="F7DC5ED0">
      <w:start w:val="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E126EB"/>
    <w:multiLevelType w:val="hybridMultilevel"/>
    <w:tmpl w:val="9CFACCE0"/>
    <w:lvl w:ilvl="0" w:tplc="1332D11C">
      <w:start w:val="3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030367"/>
    <w:multiLevelType w:val="multilevel"/>
    <w:tmpl w:val="53F2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62848AC"/>
    <w:multiLevelType w:val="hybridMultilevel"/>
    <w:tmpl w:val="B96E66FE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934F3C"/>
    <w:multiLevelType w:val="multilevel"/>
    <w:tmpl w:val="0D688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ACA273A"/>
    <w:multiLevelType w:val="hybridMultilevel"/>
    <w:tmpl w:val="ACF6C97A"/>
    <w:lvl w:ilvl="0" w:tplc="EA3EF858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81766E"/>
    <w:multiLevelType w:val="hybridMultilevel"/>
    <w:tmpl w:val="36944B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F83796"/>
    <w:multiLevelType w:val="hybridMultilevel"/>
    <w:tmpl w:val="44BC5610"/>
    <w:lvl w:ilvl="0" w:tplc="040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753F40D7"/>
    <w:multiLevelType w:val="hybridMultilevel"/>
    <w:tmpl w:val="78CA403C"/>
    <w:lvl w:ilvl="0" w:tplc="FB74149C">
      <w:start w:val="5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3F2B08"/>
    <w:multiLevelType w:val="hybridMultilevel"/>
    <w:tmpl w:val="6080A86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551B49"/>
    <w:multiLevelType w:val="hybridMultilevel"/>
    <w:tmpl w:val="0B062D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A53148"/>
    <w:multiLevelType w:val="hybridMultilevel"/>
    <w:tmpl w:val="CF8007D8"/>
    <w:lvl w:ilvl="0" w:tplc="DD00F1F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526790"/>
    <w:multiLevelType w:val="hybridMultilevel"/>
    <w:tmpl w:val="38AEBF56"/>
    <w:lvl w:ilvl="0" w:tplc="C908E7F4">
      <w:start w:val="1"/>
      <w:numFmt w:val="lowerLetter"/>
      <w:lvlText w:val="(%1)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F66F97"/>
    <w:multiLevelType w:val="hybridMultilevel"/>
    <w:tmpl w:val="2C32DC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B110B58"/>
    <w:multiLevelType w:val="hybridMultilevel"/>
    <w:tmpl w:val="7D7EAF8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D476DDB"/>
    <w:multiLevelType w:val="hybridMultilevel"/>
    <w:tmpl w:val="57F81BB2"/>
    <w:lvl w:ilvl="0" w:tplc="839EDB6C">
      <w:start w:val="5"/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0710310">
    <w:abstractNumId w:val="15"/>
  </w:num>
  <w:num w:numId="2" w16cid:durableId="812648189">
    <w:abstractNumId w:val="44"/>
  </w:num>
  <w:num w:numId="3" w16cid:durableId="1087262522">
    <w:abstractNumId w:val="25"/>
  </w:num>
  <w:num w:numId="4" w16cid:durableId="934635725">
    <w:abstractNumId w:val="12"/>
  </w:num>
  <w:num w:numId="5" w16cid:durableId="1137647558">
    <w:abstractNumId w:val="29"/>
  </w:num>
  <w:num w:numId="6" w16cid:durableId="714425883">
    <w:abstractNumId w:val="35"/>
  </w:num>
  <w:num w:numId="7" w16cid:durableId="1324510529">
    <w:abstractNumId w:val="37"/>
  </w:num>
  <w:num w:numId="8" w16cid:durableId="583152906">
    <w:abstractNumId w:val="9"/>
  </w:num>
  <w:num w:numId="9" w16cid:durableId="2024897523">
    <w:abstractNumId w:val="24"/>
  </w:num>
  <w:num w:numId="10" w16cid:durableId="1521624460">
    <w:abstractNumId w:val="21"/>
  </w:num>
  <w:num w:numId="11" w16cid:durableId="865678441">
    <w:abstractNumId w:val="42"/>
  </w:num>
  <w:num w:numId="12" w16cid:durableId="1602373780">
    <w:abstractNumId w:val="18"/>
  </w:num>
  <w:num w:numId="13" w16cid:durableId="232588467">
    <w:abstractNumId w:val="7"/>
  </w:num>
  <w:num w:numId="14" w16cid:durableId="1748726121">
    <w:abstractNumId w:val="23"/>
  </w:num>
  <w:num w:numId="15" w16cid:durableId="385570595">
    <w:abstractNumId w:val="16"/>
  </w:num>
  <w:num w:numId="16" w16cid:durableId="353653337">
    <w:abstractNumId w:val="8"/>
  </w:num>
  <w:num w:numId="17" w16cid:durableId="1812478004">
    <w:abstractNumId w:val="27"/>
  </w:num>
  <w:num w:numId="18" w16cid:durableId="1593585039">
    <w:abstractNumId w:val="34"/>
  </w:num>
  <w:num w:numId="19" w16cid:durableId="188875177">
    <w:abstractNumId w:val="32"/>
  </w:num>
  <w:num w:numId="20" w16cid:durableId="1739935160">
    <w:abstractNumId w:val="1"/>
  </w:num>
  <w:num w:numId="21" w16cid:durableId="1451122214">
    <w:abstractNumId w:val="33"/>
  </w:num>
  <w:num w:numId="22" w16cid:durableId="677582563">
    <w:abstractNumId w:val="41"/>
  </w:num>
  <w:num w:numId="23" w16cid:durableId="883912120">
    <w:abstractNumId w:val="43"/>
  </w:num>
  <w:num w:numId="24" w16cid:durableId="2135904763">
    <w:abstractNumId w:val="22"/>
  </w:num>
  <w:num w:numId="25" w16cid:durableId="1209415687">
    <w:abstractNumId w:val="20"/>
  </w:num>
  <w:num w:numId="26" w16cid:durableId="597255432">
    <w:abstractNumId w:val="4"/>
  </w:num>
  <w:num w:numId="27" w16cid:durableId="1064524959">
    <w:abstractNumId w:val="38"/>
  </w:num>
  <w:num w:numId="28" w16cid:durableId="2080053581">
    <w:abstractNumId w:val="26"/>
  </w:num>
  <w:num w:numId="29" w16cid:durableId="1413694774">
    <w:abstractNumId w:val="31"/>
  </w:num>
  <w:num w:numId="30" w16cid:durableId="2004359506">
    <w:abstractNumId w:val="11"/>
  </w:num>
  <w:num w:numId="31" w16cid:durableId="34475515">
    <w:abstractNumId w:val="39"/>
  </w:num>
  <w:num w:numId="32" w16cid:durableId="17465305">
    <w:abstractNumId w:val="6"/>
  </w:num>
  <w:num w:numId="33" w16cid:durableId="74012678">
    <w:abstractNumId w:val="13"/>
  </w:num>
  <w:num w:numId="34" w16cid:durableId="616376207">
    <w:abstractNumId w:val="47"/>
  </w:num>
  <w:num w:numId="35" w16cid:durableId="1451049033">
    <w:abstractNumId w:val="10"/>
  </w:num>
  <w:num w:numId="36" w16cid:durableId="1720517166">
    <w:abstractNumId w:val="19"/>
  </w:num>
  <w:num w:numId="37" w16cid:durableId="1144666016">
    <w:abstractNumId w:val="2"/>
  </w:num>
  <w:num w:numId="38" w16cid:durableId="624848155">
    <w:abstractNumId w:val="14"/>
  </w:num>
  <w:num w:numId="39" w16cid:durableId="1751123000">
    <w:abstractNumId w:val="45"/>
  </w:num>
  <w:num w:numId="40" w16cid:durableId="2120683657">
    <w:abstractNumId w:val="46"/>
  </w:num>
  <w:num w:numId="41" w16cid:durableId="101073021">
    <w:abstractNumId w:val="3"/>
  </w:num>
  <w:num w:numId="42" w16cid:durableId="1080447067">
    <w:abstractNumId w:val="0"/>
  </w:num>
  <w:num w:numId="43" w16cid:durableId="22874293">
    <w:abstractNumId w:val="28"/>
  </w:num>
  <w:num w:numId="44" w16cid:durableId="647900198">
    <w:abstractNumId w:val="17"/>
  </w:num>
  <w:num w:numId="45" w16cid:durableId="1614897820">
    <w:abstractNumId w:val="5"/>
  </w:num>
  <w:num w:numId="46" w16cid:durableId="1217860805">
    <w:abstractNumId w:val="40"/>
  </w:num>
  <w:num w:numId="47" w16cid:durableId="2092461024">
    <w:abstractNumId w:val="30"/>
  </w:num>
  <w:num w:numId="48" w16cid:durableId="737440401">
    <w:abstractNumId w:val="36"/>
  </w:num>
  <w:num w:numId="49" w16cid:durableId="1684430481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A7"/>
    <w:rsid w:val="00430AA7"/>
    <w:rsid w:val="00F85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C3EC7"/>
  <w15:chartTrackingRefBased/>
  <w15:docId w15:val="{163DC84B-8571-48C8-BF17-56CB342D3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Heading1">
    <w:name w:val="heading 1"/>
    <w:basedOn w:val="Normal"/>
    <w:link w:val="Heading1Char"/>
    <w:uiPriority w:val="9"/>
    <w:qFormat/>
    <w:rsid w:val="00430AA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0AA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0AA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0AA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0AA7"/>
    <w:rPr>
      <w:rFonts w:ascii="Times New Roman" w:eastAsia="Times New Roman" w:hAnsi="Times New Roman" w:cs="Times New Roman"/>
      <w:b/>
      <w:bCs/>
      <w:kern w:val="36"/>
      <w:sz w:val="48"/>
      <w:szCs w:val="48"/>
      <w:lang w:val="de-DE" w:eastAsia="de-DE"/>
    </w:rPr>
  </w:style>
  <w:style w:type="character" w:customStyle="1" w:styleId="Heading2Char">
    <w:name w:val="Heading 2 Char"/>
    <w:basedOn w:val="DefaultParagraphFont"/>
    <w:link w:val="Heading2"/>
    <w:uiPriority w:val="9"/>
    <w:rsid w:val="00430AA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DE" w:eastAsia="de-D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0AA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de-DE" w:eastAsia="de-D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0AA7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de-DE" w:eastAsia="de-DE"/>
    </w:rPr>
  </w:style>
  <w:style w:type="character" w:customStyle="1" w:styleId="institution">
    <w:name w:val="institution"/>
    <w:basedOn w:val="DefaultParagraphFont"/>
    <w:rsid w:val="00430AA7"/>
  </w:style>
  <w:style w:type="character" w:customStyle="1" w:styleId="addr-line">
    <w:name w:val="addr-line"/>
    <w:basedOn w:val="DefaultParagraphFont"/>
    <w:rsid w:val="00430AA7"/>
  </w:style>
  <w:style w:type="paragraph" w:styleId="ListParagraph">
    <w:name w:val="List Paragraph"/>
    <w:aliases w:val="Table Legend"/>
    <w:basedOn w:val="Normal"/>
    <w:link w:val="ListParagraphChar"/>
    <w:uiPriority w:val="34"/>
    <w:qFormat/>
    <w:rsid w:val="00430AA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430AA7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0AA7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AA7"/>
    <w:rPr>
      <w:rFonts w:ascii="Segoe UI" w:hAnsi="Segoe UI" w:cs="Segoe UI"/>
      <w:sz w:val="18"/>
      <w:szCs w:val="18"/>
      <w:lang w:val="de-DE"/>
    </w:rPr>
  </w:style>
  <w:style w:type="character" w:styleId="CommentReference">
    <w:name w:val="annotation reference"/>
    <w:uiPriority w:val="99"/>
    <w:semiHidden/>
    <w:unhideWhenUsed/>
    <w:rsid w:val="00430AA7"/>
    <w:rPr>
      <w:sz w:val="16"/>
      <w:szCs w:val="16"/>
    </w:rPr>
  </w:style>
  <w:style w:type="paragraph" w:styleId="CommentText">
    <w:name w:val="annotation text"/>
    <w:link w:val="CommentTextChar"/>
    <w:uiPriority w:val="99"/>
    <w:unhideWhenUsed/>
    <w:rsid w:val="00430AA7"/>
    <w:pPr>
      <w:spacing w:after="200" w:line="240" w:lineRule="auto"/>
    </w:pPr>
    <w:rPr>
      <w:sz w:val="20"/>
      <w:szCs w:val="20"/>
      <w:lang w:val="de-D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0AA7"/>
    <w:rPr>
      <w:sz w:val="20"/>
      <w:szCs w:val="20"/>
      <w:lang w:val="de-DE"/>
    </w:rPr>
  </w:style>
  <w:style w:type="character" w:customStyle="1" w:styleId="KommentartextZchn">
    <w:name w:val="Kommentartext Zchn"/>
    <w:basedOn w:val="DefaultParagraphFont"/>
    <w:uiPriority w:val="99"/>
    <w:rsid w:val="00430A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0A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0AA7"/>
    <w:rPr>
      <w:b/>
      <w:bCs/>
      <w:sz w:val="20"/>
      <w:szCs w:val="20"/>
      <w:lang w:val="de-DE"/>
    </w:rPr>
  </w:style>
  <w:style w:type="character" w:customStyle="1" w:styleId="KommentarthemaZchn">
    <w:name w:val="Kommentarthema Zchn"/>
    <w:basedOn w:val="KommentartextZchn"/>
    <w:uiPriority w:val="99"/>
    <w:semiHidden/>
    <w:rsid w:val="00430AA7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Zchn"/>
    <w:rsid w:val="00430AA7"/>
    <w:pPr>
      <w:spacing w:line="259" w:lineRule="auto"/>
      <w:jc w:val="center"/>
    </w:pPr>
    <w:rPr>
      <w:rFonts w:eastAsiaTheme="minorHAnsi"/>
      <w:noProof/>
      <w:szCs w:val="22"/>
      <w:lang w:val="en-US" w:eastAsia="en-US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430AA7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Zchn"/>
    <w:rsid w:val="00430AA7"/>
    <w:pPr>
      <w:spacing w:after="160"/>
      <w:jc w:val="both"/>
    </w:pPr>
    <w:rPr>
      <w:rFonts w:eastAsiaTheme="minorHAnsi"/>
      <w:noProof/>
      <w:szCs w:val="22"/>
      <w:lang w:val="en-US" w:eastAsia="en-US"/>
    </w:rPr>
  </w:style>
  <w:style w:type="character" w:customStyle="1" w:styleId="EndNoteBibliographyZchn">
    <w:name w:val="EndNote Bibliography Zchn"/>
    <w:basedOn w:val="DefaultParagraphFont"/>
    <w:link w:val="EndNoteBibliography"/>
    <w:rsid w:val="00430AA7"/>
    <w:rPr>
      <w:rFonts w:ascii="Times New Roman" w:hAnsi="Times New Roman" w:cs="Times New Roman"/>
      <w:noProof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430AA7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table" w:customStyle="1" w:styleId="TabellemithellemGitternetz1">
    <w:name w:val="Tabelle mit hellem Gitternetz1"/>
    <w:basedOn w:val="TableNormal"/>
    <w:uiPriority w:val="40"/>
    <w:rsid w:val="00430AA7"/>
    <w:pPr>
      <w:spacing w:after="0" w:line="240" w:lineRule="auto"/>
    </w:pPr>
    <w:rPr>
      <w:lang w:val="de-D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430A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430AA7"/>
    <w:pPr>
      <w:spacing w:before="100" w:beforeAutospacing="1" w:after="100" w:afterAutospacing="1"/>
    </w:pPr>
    <w:rPr>
      <w:lang w:eastAsia="zh-CN"/>
    </w:rPr>
  </w:style>
  <w:style w:type="character" w:styleId="PlaceholderText">
    <w:name w:val="Placeholder Text"/>
    <w:basedOn w:val="DefaultParagraphFont"/>
    <w:uiPriority w:val="99"/>
    <w:semiHidden/>
    <w:rsid w:val="00430AA7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30AA7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30AA7"/>
    <w:rPr>
      <w:sz w:val="20"/>
      <w:szCs w:val="20"/>
      <w:lang w:val="de-DE"/>
    </w:rPr>
  </w:style>
  <w:style w:type="character" w:styleId="FootnoteReference">
    <w:name w:val="footnote reference"/>
    <w:basedOn w:val="DefaultParagraphFont"/>
    <w:uiPriority w:val="99"/>
    <w:semiHidden/>
    <w:unhideWhenUsed/>
    <w:rsid w:val="00430AA7"/>
    <w:rPr>
      <w:vertAlign w:val="superscript"/>
    </w:rPr>
  </w:style>
  <w:style w:type="paragraph" w:styleId="NoSpacing">
    <w:name w:val="No Spacing"/>
    <w:uiPriority w:val="1"/>
    <w:qFormat/>
    <w:rsid w:val="00430AA7"/>
    <w:pPr>
      <w:spacing w:after="0" w:line="240" w:lineRule="auto"/>
    </w:pPr>
    <w:rPr>
      <w:lang w:val="de-DE"/>
    </w:rPr>
  </w:style>
  <w:style w:type="character" w:customStyle="1" w:styleId="NichtaufgelsteErwhnung2">
    <w:name w:val="Nicht aufgelöste Erwähnung2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character" w:customStyle="1" w:styleId="highwire-citation-authors">
    <w:name w:val="highwire-citation-authors"/>
    <w:basedOn w:val="DefaultParagraphFont"/>
    <w:rsid w:val="00430AA7"/>
  </w:style>
  <w:style w:type="character" w:customStyle="1" w:styleId="nlm-given-names">
    <w:name w:val="nlm-given-names"/>
    <w:basedOn w:val="DefaultParagraphFont"/>
    <w:rsid w:val="00430AA7"/>
  </w:style>
  <w:style w:type="character" w:customStyle="1" w:styleId="apple-converted-space">
    <w:name w:val="apple-converted-space"/>
    <w:basedOn w:val="DefaultParagraphFont"/>
    <w:rsid w:val="00430AA7"/>
  </w:style>
  <w:style w:type="character" w:customStyle="1" w:styleId="nlm-surname">
    <w:name w:val="nlm-surname"/>
    <w:basedOn w:val="DefaultParagraphFont"/>
    <w:rsid w:val="00430AA7"/>
  </w:style>
  <w:style w:type="character" w:customStyle="1" w:styleId="highwire-cite-metadata-doi">
    <w:name w:val="highwire-cite-metadata-doi"/>
    <w:basedOn w:val="DefaultParagraphFont"/>
    <w:rsid w:val="00430AA7"/>
  </w:style>
  <w:style w:type="character" w:customStyle="1" w:styleId="label">
    <w:name w:val="label"/>
    <w:basedOn w:val="DefaultParagraphFont"/>
    <w:rsid w:val="00430AA7"/>
  </w:style>
  <w:style w:type="character" w:customStyle="1" w:styleId="cit">
    <w:name w:val="cit"/>
    <w:basedOn w:val="DefaultParagraphFont"/>
    <w:rsid w:val="00430AA7"/>
  </w:style>
  <w:style w:type="character" w:customStyle="1" w:styleId="doi">
    <w:name w:val="doi"/>
    <w:basedOn w:val="DefaultParagraphFont"/>
    <w:rsid w:val="00430AA7"/>
  </w:style>
  <w:style w:type="character" w:customStyle="1" w:styleId="fm-citation-ids-label">
    <w:name w:val="fm-citation-ids-label"/>
    <w:basedOn w:val="DefaultParagraphFont"/>
    <w:rsid w:val="00430AA7"/>
  </w:style>
  <w:style w:type="paragraph" w:customStyle="1" w:styleId="c-author-listitem">
    <w:name w:val="c-author-list__item"/>
    <w:basedOn w:val="Normal"/>
    <w:rsid w:val="00430AA7"/>
    <w:pPr>
      <w:spacing w:before="100" w:beforeAutospacing="1" w:after="100" w:afterAutospacing="1"/>
    </w:pPr>
  </w:style>
  <w:style w:type="paragraph" w:customStyle="1" w:styleId="c-author-listshow-more">
    <w:name w:val="c-author-list__show-more"/>
    <w:basedOn w:val="Normal"/>
    <w:rsid w:val="00430AA7"/>
    <w:pPr>
      <w:spacing w:before="100" w:beforeAutospacing="1" w:after="100" w:afterAutospacing="1"/>
    </w:pPr>
  </w:style>
  <w:style w:type="paragraph" w:customStyle="1" w:styleId="c-article-info-details">
    <w:name w:val="c-article-info-details"/>
    <w:basedOn w:val="Normal"/>
    <w:rsid w:val="00430AA7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430AA7"/>
    <w:pPr>
      <w:spacing w:after="0" w:line="240" w:lineRule="auto"/>
    </w:pPr>
    <w:rPr>
      <w:lang w:val="de-DE"/>
    </w:rPr>
  </w:style>
  <w:style w:type="character" w:customStyle="1" w:styleId="NichtaufgelsteErwhnung3">
    <w:name w:val="Nicht aufgelöste Erwähnung3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character" w:customStyle="1" w:styleId="NichtaufgelsteErwhnung5">
    <w:name w:val="Nicht aufgelöste Erwähnung5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30AA7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430AA7"/>
    <w:rPr>
      <w:lang w:val="de-DE"/>
    </w:rPr>
  </w:style>
  <w:style w:type="paragraph" w:styleId="Footer">
    <w:name w:val="footer"/>
    <w:basedOn w:val="Normal"/>
    <w:link w:val="FooterChar"/>
    <w:uiPriority w:val="99"/>
    <w:unhideWhenUsed/>
    <w:rsid w:val="00430AA7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430AA7"/>
    <w:rPr>
      <w:lang w:val="de-DE"/>
    </w:rPr>
  </w:style>
  <w:style w:type="character" w:customStyle="1" w:styleId="labs-docsum-authors">
    <w:name w:val="labs-docsum-authors"/>
    <w:basedOn w:val="DefaultParagraphFont"/>
    <w:rsid w:val="00430AA7"/>
  </w:style>
  <w:style w:type="character" w:customStyle="1" w:styleId="labs-docsum-journal-citation">
    <w:name w:val="labs-docsum-journal-citation"/>
    <w:basedOn w:val="DefaultParagraphFont"/>
    <w:rsid w:val="00430AA7"/>
  </w:style>
  <w:style w:type="character" w:customStyle="1" w:styleId="ref-journal">
    <w:name w:val="ref-journal"/>
    <w:basedOn w:val="DefaultParagraphFont"/>
    <w:rsid w:val="00430AA7"/>
  </w:style>
  <w:style w:type="character" w:customStyle="1" w:styleId="ref-vol">
    <w:name w:val="ref-vol"/>
    <w:basedOn w:val="DefaultParagraphFont"/>
    <w:rsid w:val="00430AA7"/>
  </w:style>
  <w:style w:type="character" w:customStyle="1" w:styleId="NichtaufgelsteErwhnung6">
    <w:name w:val="Nicht aufgelöste Erwähnung6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430AA7"/>
  </w:style>
  <w:style w:type="character" w:styleId="Emphasis">
    <w:name w:val="Emphasis"/>
    <w:basedOn w:val="DefaultParagraphFont"/>
    <w:uiPriority w:val="20"/>
    <w:qFormat/>
    <w:rsid w:val="00430AA7"/>
    <w:rPr>
      <w:i/>
      <w:iCs/>
    </w:rPr>
  </w:style>
  <w:style w:type="character" w:styleId="Strong">
    <w:name w:val="Strong"/>
    <w:basedOn w:val="DefaultParagraphFont"/>
    <w:uiPriority w:val="22"/>
    <w:qFormat/>
    <w:rsid w:val="00430AA7"/>
    <w:rPr>
      <w:b/>
      <w:bCs/>
    </w:rPr>
  </w:style>
  <w:style w:type="character" w:customStyle="1" w:styleId="NichtaufgelsteErwhnung7">
    <w:name w:val="Nicht aufgelöste Erwähnung7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character" w:customStyle="1" w:styleId="NichtaufgelsteErwhnung8">
    <w:name w:val="Nicht aufgelöste Erwähnung8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30AA7"/>
    <w:rPr>
      <w:color w:val="954F72" w:themeColor="followedHyperlink"/>
      <w:u w:val="single"/>
    </w:rPr>
  </w:style>
  <w:style w:type="character" w:customStyle="1" w:styleId="NichtaufgelsteErwhnung9">
    <w:name w:val="Nicht aufgelöste Erwähnung9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character" w:customStyle="1" w:styleId="NichtaufgelsteErwhnung10">
    <w:name w:val="Nicht aufgelöste Erwähnung10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character" w:customStyle="1" w:styleId="NichtaufgelsteErwhnung11">
    <w:name w:val="Nicht aufgelöste Erwähnung11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430A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uthors">
    <w:name w:val="authors"/>
    <w:basedOn w:val="DefaultParagraphFont"/>
    <w:rsid w:val="00430AA7"/>
  </w:style>
  <w:style w:type="character" w:customStyle="1" w:styleId="authors-truncate-to-hide">
    <w:name w:val="authors-truncate-to-hide"/>
    <w:basedOn w:val="DefaultParagraphFont"/>
    <w:rsid w:val="00430AA7"/>
  </w:style>
  <w:style w:type="character" w:customStyle="1" w:styleId="core-enumeration">
    <w:name w:val="core-enumeration"/>
    <w:basedOn w:val="DefaultParagraphFont"/>
    <w:rsid w:val="00430AA7"/>
  </w:style>
  <w:style w:type="character" w:customStyle="1" w:styleId="delimiter">
    <w:name w:val="delimiter"/>
    <w:basedOn w:val="DefaultParagraphFont"/>
    <w:rsid w:val="00430AA7"/>
  </w:style>
  <w:style w:type="character" w:customStyle="1" w:styleId="NichtaufgelsteErwhnung12">
    <w:name w:val="Nicht aufgelöste Erwähnung12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character" w:customStyle="1" w:styleId="a">
    <w:name w:val="_"/>
    <w:basedOn w:val="DefaultParagraphFont"/>
    <w:rsid w:val="00430AA7"/>
  </w:style>
  <w:style w:type="character" w:customStyle="1" w:styleId="NichtaufgelsteErwhnung13">
    <w:name w:val="Nicht aufgelöste Erwähnung13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character" w:customStyle="1" w:styleId="NichtaufgelsteErwhnung14">
    <w:name w:val="Nicht aufgelöste Erwähnung14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character" w:customStyle="1" w:styleId="NichtaufgelsteErwhnung15">
    <w:name w:val="Nicht aufgelöste Erwähnung15"/>
    <w:basedOn w:val="DefaultParagraphFont"/>
    <w:uiPriority w:val="99"/>
    <w:semiHidden/>
    <w:unhideWhenUsed/>
    <w:rsid w:val="00430AA7"/>
    <w:rPr>
      <w:color w:val="605E5C"/>
      <w:shd w:val="clear" w:color="auto" w:fill="E1DFDD"/>
    </w:rPr>
  </w:style>
  <w:style w:type="paragraph" w:customStyle="1" w:styleId="f-body">
    <w:name w:val="f-body"/>
    <w:basedOn w:val="Normal"/>
    <w:rsid w:val="00430AA7"/>
    <w:pPr>
      <w:spacing w:before="100" w:beforeAutospacing="1" w:after="100" w:afterAutospacing="1"/>
    </w:pPr>
  </w:style>
  <w:style w:type="character" w:customStyle="1" w:styleId="s6">
    <w:name w:val="s6"/>
    <w:basedOn w:val="DefaultParagraphFont"/>
    <w:rsid w:val="00430AA7"/>
  </w:style>
  <w:style w:type="character" w:customStyle="1" w:styleId="s5">
    <w:name w:val="s5"/>
    <w:basedOn w:val="DefaultParagraphFont"/>
    <w:rsid w:val="00430AA7"/>
  </w:style>
  <w:style w:type="numbering" w:customStyle="1" w:styleId="KeineListe1">
    <w:name w:val="Keine Liste1"/>
    <w:next w:val="NoList"/>
    <w:uiPriority w:val="99"/>
    <w:semiHidden/>
    <w:unhideWhenUsed/>
    <w:rsid w:val="00430AA7"/>
  </w:style>
  <w:style w:type="paragraph" w:styleId="TOCHeading">
    <w:name w:val="TOC Heading"/>
    <w:basedOn w:val="Heading1"/>
    <w:next w:val="Normal"/>
    <w:uiPriority w:val="39"/>
    <w:unhideWhenUsed/>
    <w:qFormat/>
    <w:rsid w:val="00430AA7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430AA7"/>
    <w:pPr>
      <w:pBdr>
        <w:between w:val="double" w:sz="6" w:space="0" w:color="auto"/>
      </w:pBdr>
      <w:spacing w:before="120" w:after="120"/>
      <w:jc w:val="center"/>
    </w:pPr>
    <w:rPr>
      <w:rFonts w:asciiTheme="minorHAnsi" w:hAnsi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430AA7"/>
    <w:pPr>
      <w:pBdr>
        <w:between w:val="double" w:sz="6" w:space="0" w:color="auto"/>
      </w:pBdr>
      <w:spacing w:before="120" w:after="120"/>
      <w:jc w:val="center"/>
    </w:pPr>
    <w:rPr>
      <w:rFonts w:asciiTheme="minorHAnsi" w:hAnsiTheme="minorHAnsi"/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430AA7"/>
    <w:pPr>
      <w:pBdr>
        <w:between w:val="double" w:sz="6" w:space="0" w:color="auto"/>
      </w:pBdr>
      <w:spacing w:before="120" w:after="120"/>
      <w:ind w:left="240"/>
      <w:jc w:val="center"/>
    </w:pPr>
    <w:rPr>
      <w:rFonts w:asciiTheme="minorHAnsi" w:hAnsi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430AA7"/>
    <w:pPr>
      <w:pBdr>
        <w:between w:val="double" w:sz="6" w:space="0" w:color="auto"/>
      </w:pBdr>
      <w:spacing w:before="120" w:after="120"/>
      <w:ind w:left="480"/>
      <w:jc w:val="center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430AA7"/>
    <w:pPr>
      <w:pBdr>
        <w:between w:val="double" w:sz="6" w:space="0" w:color="auto"/>
      </w:pBdr>
      <w:spacing w:before="120" w:after="120"/>
      <w:ind w:left="720"/>
      <w:jc w:val="center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430AA7"/>
    <w:pPr>
      <w:pBdr>
        <w:between w:val="double" w:sz="6" w:space="0" w:color="auto"/>
      </w:pBdr>
      <w:spacing w:before="120" w:after="120"/>
      <w:ind w:left="960"/>
      <w:jc w:val="center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430AA7"/>
    <w:pPr>
      <w:pBdr>
        <w:between w:val="double" w:sz="6" w:space="0" w:color="auto"/>
      </w:pBdr>
      <w:spacing w:before="120" w:after="120"/>
      <w:ind w:left="1200"/>
      <w:jc w:val="center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430AA7"/>
    <w:pPr>
      <w:pBdr>
        <w:between w:val="double" w:sz="6" w:space="0" w:color="auto"/>
      </w:pBdr>
      <w:spacing w:before="120" w:after="120"/>
      <w:ind w:left="1440"/>
      <w:jc w:val="center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430AA7"/>
    <w:pPr>
      <w:pBdr>
        <w:between w:val="double" w:sz="6" w:space="0" w:color="auto"/>
      </w:pBdr>
      <w:spacing w:before="120" w:after="120"/>
      <w:ind w:left="1680"/>
      <w:jc w:val="center"/>
    </w:pPr>
    <w:rPr>
      <w:rFonts w:asciiTheme="minorHAnsi" w:hAnsiTheme="minorHAnsi"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430AA7"/>
  </w:style>
  <w:style w:type="table" w:customStyle="1" w:styleId="Tabellenraster3">
    <w:name w:val="Tabellenraster3"/>
    <w:basedOn w:val="TableNormal"/>
    <w:next w:val="TableGrid"/>
    <w:uiPriority w:val="59"/>
    <w:rsid w:val="00430AA7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Table Legend Char"/>
    <w:link w:val="ListParagraph"/>
    <w:uiPriority w:val="34"/>
    <w:qFormat/>
    <w:rsid w:val="00430AA7"/>
    <w:rPr>
      <w:lang w:val="de-DE"/>
    </w:rPr>
  </w:style>
  <w:style w:type="table" w:customStyle="1" w:styleId="Tabellenraster1">
    <w:name w:val="Tabellenraster1"/>
    <w:basedOn w:val="TableNormal"/>
    <w:next w:val="TableGrid"/>
    <w:uiPriority w:val="59"/>
    <w:rsid w:val="00430A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1270</Words>
  <Characters>7242</Characters>
  <Application>Microsoft Office Word</Application>
  <DocSecurity>0</DocSecurity>
  <Lines>60</Lines>
  <Paragraphs>16</Paragraphs>
  <ScaleCrop>false</ScaleCrop>
  <Company/>
  <LinksUpToDate>false</LinksUpToDate>
  <CharactersWithSpaces>8496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2022-06-02T13:29:00Z</dcterms:created>
  <dcterms:modified xsi:type="dcterms:W3CDTF">2022-06-02T13:29:00Z</dcterms:modified>
</cp:coreProperties>
</file>