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3A9D9" w14:textId="77777777" w:rsidR="007C007C" w:rsidRPr="006E340F" w:rsidRDefault="007C007C" w:rsidP="007C007C">
      <w:pPr>
        <w:widowControl/>
        <w:jc w:val="left"/>
        <w:textAlignment w:val="bottom"/>
        <w:rPr>
          <w:rFonts w:ascii="Times New Roman" w:hAnsi="Times New Roman" w:cs="Times New Roman"/>
          <w:sz w:val="20"/>
          <w:szCs w:val="20"/>
        </w:rPr>
      </w:pPr>
      <w:r w:rsidRPr="006E340F">
        <w:rPr>
          <w:rFonts w:ascii="Times New Roman" w:hAnsi="Times New Roman" w:cs="Times New Roman"/>
          <w:b/>
          <w:bCs/>
          <w:sz w:val="20"/>
          <w:szCs w:val="20"/>
        </w:rPr>
        <w:t>Table S3</w:t>
      </w:r>
      <w:r w:rsidRPr="006E340F">
        <w:rPr>
          <w:rFonts w:ascii="Times New Roman" w:hAnsi="Times New Roman" w:cs="Times New Roman"/>
          <w:sz w:val="20"/>
          <w:szCs w:val="20"/>
        </w:rPr>
        <w:t xml:space="preserve"> The description and functional annotation of the gene with 100Kb upstream and downstream of the significant SNP</w:t>
      </w:r>
    </w:p>
    <w:tbl>
      <w:tblPr>
        <w:tblW w:w="10480" w:type="dxa"/>
        <w:jc w:val="center"/>
        <w:tblLayout w:type="fixed"/>
        <w:tblLook w:val="04A0" w:firstRow="1" w:lastRow="0" w:firstColumn="1" w:lastColumn="0" w:noHBand="0" w:noVBand="1"/>
      </w:tblPr>
      <w:tblGrid>
        <w:gridCol w:w="1214"/>
        <w:gridCol w:w="2454"/>
        <w:gridCol w:w="6812"/>
      </w:tblGrid>
      <w:tr w:rsidR="007C007C" w:rsidRPr="006E340F" w14:paraId="58BB2DDC" w14:textId="77777777" w:rsidTr="002C32C6">
        <w:trPr>
          <w:trHeight w:hRule="exact" w:val="370"/>
          <w:jc w:val="center"/>
        </w:trPr>
        <w:tc>
          <w:tcPr>
            <w:tcW w:w="121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907EF4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Genes</w:t>
            </w:r>
          </w:p>
        </w:tc>
        <w:tc>
          <w:tcPr>
            <w:tcW w:w="24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07363F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Descriptions</w:t>
            </w:r>
          </w:p>
        </w:tc>
        <w:tc>
          <w:tcPr>
            <w:tcW w:w="681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5CEC72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Functional annotation</w:t>
            </w:r>
            <w:r w:rsidRPr="006E340F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</w:tr>
      <w:tr w:rsidR="007C007C" w:rsidRPr="006E340F" w14:paraId="468AC24C" w14:textId="77777777" w:rsidTr="002C32C6">
        <w:trPr>
          <w:trHeight w:hRule="exact" w:val="624"/>
          <w:jc w:val="center"/>
        </w:trPr>
        <w:tc>
          <w:tcPr>
            <w:tcW w:w="1214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FDB331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OR4P4L</w:t>
            </w:r>
          </w:p>
          <w:p w14:paraId="37435E2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E8000D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Olfactory receptor 4P4-like</w:t>
            </w:r>
          </w:p>
          <w:p w14:paraId="7FAD2FE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40EDB" w14:textId="77777777" w:rsidR="007C007C" w:rsidRPr="006E340F" w:rsidRDefault="007C007C" w:rsidP="002C32C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G-protein coupled receptor signaling pathway (GO:0007186); MF: transmembrane signaling receptor activity (GO:0004888); </w:t>
            </w:r>
          </w:p>
        </w:tc>
      </w:tr>
      <w:tr w:rsidR="007C007C" w:rsidRPr="006E340F" w14:paraId="537CACEE" w14:textId="77777777" w:rsidTr="002C32C6">
        <w:trPr>
          <w:trHeight w:hRule="exact" w:val="630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CB62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OR4C13L</w:t>
            </w:r>
          </w:p>
          <w:p w14:paraId="1DF5AAA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0750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Olfactory receptor 4C13-like</w:t>
            </w:r>
          </w:p>
          <w:p w14:paraId="4AB6556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F70B6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BP: G-protein coupled receptor signaling pathway (GO:0007186); MF: G-protein coupled receptor activity (GO:0004930); olfactory receptor activity (GO:0004984);</w:t>
            </w:r>
          </w:p>
        </w:tc>
      </w:tr>
      <w:tr w:rsidR="007C007C" w:rsidRPr="006E340F" w14:paraId="3D94333A" w14:textId="77777777" w:rsidTr="002C32C6">
        <w:trPr>
          <w:trHeight w:hRule="exact" w:val="315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0309B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OR5D14</w:t>
            </w:r>
          </w:p>
          <w:p w14:paraId="1C998B5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83C08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Olfactory receptor 5D14</w:t>
            </w:r>
          </w:p>
          <w:p w14:paraId="5E7EDEA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30890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  <w:p w14:paraId="1506B68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14283024" w14:textId="77777777" w:rsidTr="002C32C6">
        <w:trPr>
          <w:trHeight w:hRule="exact" w:val="340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7E130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OR5D13L</w:t>
            </w: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D076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Olfactory receptor 5D13-like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00D64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</w:tc>
      </w:tr>
      <w:tr w:rsidR="007C007C" w:rsidRPr="006E340F" w14:paraId="3340C8CB" w14:textId="77777777" w:rsidTr="002C32C6">
        <w:trPr>
          <w:trHeight w:hRule="exact" w:val="367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CB953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POM121L2</w:t>
            </w: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84B6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POM121-like protein 2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E181E4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</w:tc>
      </w:tr>
      <w:tr w:rsidR="007C007C" w:rsidRPr="006E340F" w14:paraId="58556E63" w14:textId="77777777" w:rsidTr="002C32C6">
        <w:trPr>
          <w:trHeight w:hRule="exact" w:val="557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63D9B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ZNF391</w:t>
            </w:r>
          </w:p>
          <w:p w14:paraId="2CA4A77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43B8389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0D6109C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5EC1AF6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4771CEA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741232F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7939F41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3F55DF6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5C689CE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57467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Zinc finger protein 391</w:t>
            </w:r>
          </w:p>
          <w:p w14:paraId="1338390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6EF1631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3D72579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66983D8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797CA0C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3D3007F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76AE98A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2323E7B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337BFF5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FE78A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regulation of transcription, DNA-templated (GO:0006355); MF: metal ion binding (GO:0046872); nucleic acid binding (GO:0003676); </w:t>
            </w:r>
          </w:p>
          <w:p w14:paraId="5B6686C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074DC61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4DB5C1A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50D37804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5BB0027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0A5ADD2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5AE3FAA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7714142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6E3D71BB" w14:textId="77777777" w:rsidTr="002C32C6">
        <w:trPr>
          <w:trHeight w:hRule="exact" w:val="702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78A68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ZNF184</w:t>
            </w:r>
          </w:p>
          <w:p w14:paraId="0F9A603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3069F48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6BD68AA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2091F79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D359D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Zinc finger protein 184</w:t>
            </w:r>
          </w:p>
          <w:p w14:paraId="392AFAC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40E3846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735C252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310A6E6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39935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regulation of transcription, DNA-templated (GO:0006355); MF: DNA binding (GO:0003677); metal ion binding (GO:0046872); </w:t>
            </w:r>
          </w:p>
          <w:p w14:paraId="53D7815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0D891084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5E4B56B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0B4B991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33B46772" w14:textId="77777777" w:rsidTr="002C32C6">
        <w:trPr>
          <w:trHeight w:hRule="exact" w:val="583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40F35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COL21A1</w:t>
            </w:r>
          </w:p>
          <w:p w14:paraId="44C52E4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8DE89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Collagen type XXI alpha 1 chain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20873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CC: collagen trimer (GO:0005581); extracellular matrix (GO:0031012);</w:t>
            </w:r>
          </w:p>
          <w:p w14:paraId="70EF9F0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4B12EDCD" w14:textId="77777777" w:rsidTr="002C32C6">
        <w:trPr>
          <w:trHeight w:hRule="exact" w:val="583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F1582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BARD1</w:t>
            </w:r>
          </w:p>
          <w:p w14:paraId="07CFC4E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C1D1F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BRCA1 associated RING domain 1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A1013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MF: RNA binding (GO:0003723); ubiquitin-protein transferase activity (GO:0004842);</w:t>
            </w:r>
          </w:p>
          <w:p w14:paraId="11B7966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378EA0BE" w14:textId="77777777" w:rsidTr="002C32C6">
        <w:trPr>
          <w:trHeight w:hRule="exact" w:val="583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39A44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ENSSSCG00000048197</w:t>
            </w: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5FB9E4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LINE-1 type transposase domain-containing protein 1</w:t>
            </w:r>
          </w:p>
          <w:p w14:paraId="296B3CF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120EA11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5647465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0761BCD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97348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  <w:p w14:paraId="02C76C3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3FB3260E" w14:textId="77777777" w:rsidTr="002C32C6">
        <w:trPr>
          <w:trHeight w:hRule="exact" w:val="583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B9660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bookmarkStart w:id="0" w:name="OLE_LINK2"/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GRM4</w:t>
            </w:r>
          </w:p>
          <w:bookmarkEnd w:id="0"/>
          <w:p w14:paraId="648CE71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89A28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Glutamate metabotropic receptor 4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2D4B6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BP: activation of MAPK activity (GO:0000187); MF: group III metabotropic glutamate receptor activity (GO:0001642);</w:t>
            </w:r>
          </w:p>
        </w:tc>
      </w:tr>
      <w:tr w:rsidR="007C007C" w:rsidRPr="006E340F" w14:paraId="5DF6BBFA" w14:textId="77777777" w:rsidTr="002C32C6">
        <w:trPr>
          <w:trHeight w:hRule="exact" w:val="583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C7CD4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NUDT3</w:t>
            </w:r>
          </w:p>
          <w:p w14:paraId="4A1B606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4F3FE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Nudix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hydrolase 3</w:t>
            </w:r>
          </w:p>
          <w:p w14:paraId="5653D9A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D2FB1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MF: magnesium ion binding (GO:0000287); 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diphosphoinositol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-polyphosphate diphosphatase activity (GO:0008486); CC: extracellular exosome (GO:0070062);</w:t>
            </w:r>
          </w:p>
        </w:tc>
      </w:tr>
      <w:tr w:rsidR="007C007C" w:rsidRPr="006E340F" w14:paraId="4F3525F4" w14:textId="77777777" w:rsidTr="002C32C6">
        <w:trPr>
          <w:trHeight w:hRule="exact" w:val="726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9648E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bookmarkStart w:id="1" w:name="OLE_LINK3"/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HMGA1</w:t>
            </w:r>
          </w:p>
          <w:bookmarkEnd w:id="1"/>
          <w:p w14:paraId="6976982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B82E1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High mobility group protein HMG-I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CE0AD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  <w:p w14:paraId="4C82C10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3AEEA90A" w14:textId="77777777" w:rsidTr="002C32C6">
        <w:trPr>
          <w:trHeight w:hRule="exact" w:val="654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FDE2BF" w14:textId="77777777" w:rsidR="007C007C" w:rsidRPr="006E340F" w:rsidRDefault="007C007C" w:rsidP="002C32C6">
            <w:pPr>
              <w:pStyle w:val="1"/>
              <w:widowControl/>
              <w:shd w:val="clear" w:color="auto" w:fill="FFFFFF"/>
              <w:spacing w:beforeAutospacing="0" w:after="210" w:afterAutospacing="0"/>
              <w:rPr>
                <w:rFonts w:ascii="Times New Roman" w:eastAsia="Helvetica" w:hAnsi="Times New Roman" w:hint="default"/>
                <w:b w:val="0"/>
                <w:bCs w:val="0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hAnsi="Times New Roman" w:hint="default"/>
                <w:b w:val="0"/>
                <w:bCs w:val="0"/>
                <w:i/>
                <w:iCs/>
                <w:kern w:val="2"/>
                <w:sz w:val="20"/>
                <w:szCs w:val="20"/>
              </w:rPr>
              <w:t>SMIM29</w:t>
            </w:r>
          </w:p>
          <w:p w14:paraId="5AF0A2C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A2CED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Small integral membrane protein 29</w:t>
            </w:r>
          </w:p>
          <w:p w14:paraId="6CE600A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4EB495E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E7D3C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  <w:p w14:paraId="58B5363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65B559A8" w14:textId="77777777" w:rsidTr="002C32C6">
        <w:trPr>
          <w:trHeight w:hRule="exact" w:val="949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D7B2A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MRPS6</w:t>
            </w:r>
          </w:p>
          <w:p w14:paraId="1DECCE1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14:paraId="20AA142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D3FBE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Mitochondrial ribosomal protein S6</w:t>
            </w:r>
          </w:p>
          <w:p w14:paraId="5A74922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8DBC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BP: mitochondrial translational initiation (GO:0070124); mitochondrial translational elongation (GO:0070125); MF: structural constituent of ribosome (GO:0003735); small ribosomal subunit rRNA binding (GO:0070181);</w:t>
            </w:r>
          </w:p>
        </w:tc>
      </w:tr>
      <w:tr w:rsidR="007C007C" w:rsidRPr="006E340F" w14:paraId="6E847E66" w14:textId="77777777" w:rsidTr="002C32C6">
        <w:trPr>
          <w:trHeight w:hRule="exact" w:val="632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3D6A7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SLC5A3</w:t>
            </w:r>
          </w:p>
          <w:p w14:paraId="442AD27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39D8FAB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7365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Solute carrier family 5 member 3</w:t>
            </w:r>
          </w:p>
          <w:p w14:paraId="198D7F9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64650D6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C06684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NA</w:t>
            </w:r>
          </w:p>
          <w:p w14:paraId="5729829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5EA7D357" w14:textId="77777777" w:rsidTr="002C32C6">
        <w:trPr>
          <w:trHeight w:hRule="exact" w:val="910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6BF2063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LIPT2</w:t>
            </w:r>
          </w:p>
          <w:p w14:paraId="3EE4587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5921F4B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06B6E30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Lipoyltransferase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2</w:t>
            </w:r>
          </w:p>
          <w:p w14:paraId="312F903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08BCEC5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52C4B02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lipoate biosynthetic process (GO:0009107); protein lipoylation (GO:0009249); MF: 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octanoyltransferase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activity (GO:0016415); 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lipoyl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octanoyl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) transferase activity (GO:0033819); CC: mitochondrion (GO:0005739); </w:t>
            </w:r>
          </w:p>
        </w:tc>
      </w:tr>
      <w:tr w:rsidR="007C007C" w:rsidRPr="006E340F" w14:paraId="20B26576" w14:textId="77777777" w:rsidTr="002C32C6">
        <w:trPr>
          <w:trHeight w:hRule="exact" w:val="916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6763896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KCNE3</w:t>
            </w:r>
          </w:p>
          <w:p w14:paraId="709ACAE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7D669FE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65119D1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Potassium voltage-gated channel subfamily E regulatory subunit 3</w:t>
            </w: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6FC34C8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regulation of membrane repolarization (GO:0060306); MF: voltage-gated potassium channel activity (GO:0005249); potassium channel regulator activity (GO:0015459); </w:t>
            </w:r>
          </w:p>
          <w:p w14:paraId="325C799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0568BF28" w14:textId="77777777" w:rsidTr="002C32C6">
        <w:trPr>
          <w:trHeight w:hRule="exact" w:val="949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76EB292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PGM2L1</w:t>
            </w:r>
          </w:p>
          <w:p w14:paraId="3696630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  <w:p w14:paraId="4261133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212B673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Phosphoglucomutase 2 like 1</w:t>
            </w:r>
          </w:p>
          <w:p w14:paraId="1922BBD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  <w:p w14:paraId="648BDB7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646EB02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carbohydpercentage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metabolic process (GO:0005975); phosphorylation (GO:0016310); MF: intramolecular transferase activity, phosphotransferases (GO:0016868); glucose-1,6-bisphosphate synthase activity (GO:0047933); </w:t>
            </w:r>
          </w:p>
        </w:tc>
      </w:tr>
      <w:tr w:rsidR="007C007C" w:rsidRPr="006E340F" w14:paraId="58F31376" w14:textId="77777777" w:rsidTr="002C32C6">
        <w:trPr>
          <w:trHeight w:hRule="exact" w:val="702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1E7A261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P4HA3</w:t>
            </w:r>
          </w:p>
          <w:p w14:paraId="4F1421E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5265D484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Prolyl 4-hydroxylase subunit alpha 3</w:t>
            </w: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2796A2D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oxidation-reduction process (GO:0055114); MF: procollagen-proline 4-dioxygenase activity (GO:0004656); iron ion binding (GO:0005506); </w:t>
            </w:r>
          </w:p>
        </w:tc>
      </w:tr>
      <w:tr w:rsidR="007C007C" w:rsidRPr="006E340F" w14:paraId="18B3CA38" w14:textId="77777777" w:rsidTr="002C32C6">
        <w:trPr>
          <w:trHeight w:hRule="exact" w:val="961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003E7687" w14:textId="77777777" w:rsidR="007C007C" w:rsidRPr="006E340F" w:rsidRDefault="007C007C" w:rsidP="002C32C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lastRenderedPageBreak/>
              <w:t>ENSSSCG00000042110</w:t>
            </w:r>
          </w:p>
          <w:p w14:paraId="7755D8A7" w14:textId="77777777" w:rsidR="007C007C" w:rsidRPr="006E340F" w:rsidRDefault="007C007C" w:rsidP="002C32C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3365870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58FA62F9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nucleic acid phosphodiester bond hydrolysis (GO:0090305); RNA-dependent DNA biosynthetic process (GO:0006278); MF: RNA-directed DNA polymerase activity (GO:0003964); endonuclease activity (GO:0004519); </w:t>
            </w:r>
          </w:p>
        </w:tc>
      </w:tr>
      <w:tr w:rsidR="007C007C" w:rsidRPr="006E340F" w14:paraId="596B2882" w14:textId="77777777" w:rsidTr="002C32C6">
        <w:trPr>
          <w:trHeight w:hRule="exact" w:val="639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44617F1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PITPNM3</w:t>
            </w:r>
          </w:p>
          <w:p w14:paraId="6B5475E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223C311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phosphatidylinositol transfer</w:t>
            </w:r>
          </w:p>
          <w:p w14:paraId="7A349AF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protein 3</w:t>
            </w: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4F2A04D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BP: centriole replication(</w:t>
            </w:r>
            <w:hyperlink r:id="rId6" w:history="1">
              <w:r w:rsidRPr="006E340F">
                <w:rPr>
                  <w:rFonts w:ascii="Times New Roman" w:eastAsia="宋体" w:hAnsi="Times New Roman" w:cs="Times New Roman"/>
                  <w:sz w:val="20"/>
                  <w:szCs w:val="20"/>
                </w:rPr>
                <w:t>GO:0007099</w:t>
              </w:r>
            </w:hyperlink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); MF: metal ion binding (GO:0046872); </w:t>
            </w:r>
          </w:p>
          <w:p w14:paraId="1A08A9E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04A37D64" w14:textId="77777777" w:rsidTr="002C32C6">
        <w:trPr>
          <w:trHeight w:hRule="exact" w:val="590"/>
          <w:jc w:val="center"/>
        </w:trPr>
        <w:tc>
          <w:tcPr>
            <w:tcW w:w="1214" w:type="dxa"/>
            <w:shd w:val="clear" w:color="auto" w:fill="auto"/>
            <w:noWrap/>
            <w:vAlign w:val="center"/>
          </w:tcPr>
          <w:p w14:paraId="7EFDED6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PIMREG</w:t>
            </w:r>
          </w:p>
          <w:p w14:paraId="6E894AA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shd w:val="clear" w:color="auto" w:fill="auto"/>
            <w:noWrap/>
            <w:vAlign w:val="center"/>
          </w:tcPr>
          <w:p w14:paraId="2401D86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PICALM interacting mitotic regulator</w:t>
            </w:r>
          </w:p>
        </w:tc>
        <w:tc>
          <w:tcPr>
            <w:tcW w:w="6812" w:type="dxa"/>
            <w:shd w:val="clear" w:color="auto" w:fill="auto"/>
            <w:noWrap/>
            <w:vAlign w:val="center"/>
          </w:tcPr>
          <w:p w14:paraId="75D7213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CC: nucleolus (GO:0005730); </w:t>
            </w:r>
          </w:p>
          <w:p w14:paraId="5921E6E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C007C" w:rsidRPr="006E340F" w14:paraId="17008E2A" w14:textId="77777777" w:rsidTr="002C32C6">
        <w:trPr>
          <w:trHeight w:hRule="exact" w:val="980"/>
          <w:jc w:val="center"/>
        </w:trPr>
        <w:tc>
          <w:tcPr>
            <w:tcW w:w="121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F0E208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AIPL1</w:t>
            </w:r>
          </w:p>
          <w:p w14:paraId="2C027B3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  <w:p w14:paraId="763CB75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252EC8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Aryl hydrocarbon receptor interacting protein like 1</w:t>
            </w:r>
          </w:p>
          <w:p w14:paraId="124817F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2CBFEF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protein folding (GO:0006457); protein 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farnesylation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(GO:0018343); regulation of cGMP metabolic process (GO:0030823); negative regulation of apoptotic process (GO:0043066); MF: </w:t>
            </w: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farnesylated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protein binding (GO:0001918); </w:t>
            </w:r>
          </w:p>
        </w:tc>
      </w:tr>
      <w:tr w:rsidR="007C007C" w:rsidRPr="006E340F" w14:paraId="4375B06C" w14:textId="77777777" w:rsidTr="002C32C6">
        <w:trPr>
          <w:trHeight w:hRule="exact" w:val="623"/>
          <w:jc w:val="center"/>
        </w:trPr>
        <w:tc>
          <w:tcPr>
            <w:tcW w:w="1214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B5AABA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  <w:t>OR1J4L</w:t>
            </w:r>
          </w:p>
          <w:p w14:paraId="30785A6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454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1430B30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Olfactory receptor </w:t>
            </w:r>
            <w:r w:rsidRPr="006E340F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1J4 Like</w:t>
            </w:r>
          </w:p>
          <w:p w14:paraId="2B50E152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8E0CF18" w14:textId="77777777" w:rsidR="007C007C" w:rsidRPr="006E340F" w:rsidRDefault="007C007C" w:rsidP="002C32C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 xml:space="preserve">BP: G-protein coupled receptor signaling pathway (GO:0007186); MF: G-protein coupled receptor activity (GO:0004930); olfactory receptor activity (GO:0004984); </w:t>
            </w:r>
          </w:p>
        </w:tc>
      </w:tr>
      <w:tr w:rsidR="007C007C" w:rsidRPr="006E340F" w14:paraId="7526A37F" w14:textId="77777777" w:rsidTr="002C32C6">
        <w:trPr>
          <w:trHeight w:hRule="exact" w:val="596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FDFDD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SDS</w:t>
            </w:r>
          </w:p>
          <w:p w14:paraId="6F01174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E79CCC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Serine dehydratase</w:t>
            </w:r>
          </w:p>
          <w:p w14:paraId="2B76FE0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FC03B3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gluconeogenesis (GO:0006094); MF: L-serine ammonia-lyase activity (GO:0003941); CC: mitochondrion (GO:0005739); </w:t>
            </w:r>
          </w:p>
        </w:tc>
      </w:tr>
      <w:tr w:rsidR="007C007C" w:rsidRPr="006E340F" w14:paraId="2053F4F1" w14:textId="77777777" w:rsidTr="002C32C6">
        <w:trPr>
          <w:trHeight w:hRule="exact" w:val="620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5B253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LHX5</w:t>
            </w:r>
          </w:p>
          <w:p w14:paraId="51AE8B9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CE71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LIM homeobox 5</w:t>
            </w:r>
          </w:p>
          <w:p w14:paraId="45A9ED5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20A5A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spinal cord association neuron differentiation (GO:0021527); MF: zinc ion binding (GO:0008270); CC: nucleus (GO:0005634); </w:t>
            </w:r>
          </w:p>
        </w:tc>
      </w:tr>
      <w:tr w:rsidR="007C007C" w:rsidRPr="006E340F" w14:paraId="453E9636" w14:textId="77777777" w:rsidTr="002C32C6">
        <w:trPr>
          <w:trHeight w:hRule="exact" w:val="604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E877A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SDSL</w:t>
            </w:r>
          </w:p>
          <w:p w14:paraId="2442FAB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98148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Serine dehydratase like</w:t>
            </w:r>
          </w:p>
          <w:p w14:paraId="3D58F3D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8F1C55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cellular amino acid metabolic process (GO:0006520); MF: pyridoxal phosphate binding (GO:0030170); CC: mitochondrion (GO:0005739); </w:t>
            </w:r>
          </w:p>
        </w:tc>
      </w:tr>
      <w:tr w:rsidR="007C007C" w:rsidRPr="006E340F" w14:paraId="7AB595BB" w14:textId="77777777" w:rsidTr="002C32C6">
        <w:trPr>
          <w:trHeight w:hRule="exact" w:val="301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156B5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PLBD2</w:t>
            </w: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3944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Phospholipase B-like 2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1CB0C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lipid catabolic process (GO:0016042); MF: hydrolase activity (GO:0016787); </w:t>
            </w:r>
          </w:p>
        </w:tc>
      </w:tr>
      <w:tr w:rsidR="007C007C" w:rsidRPr="006E340F" w14:paraId="06514AA9" w14:textId="77777777" w:rsidTr="002C32C6">
        <w:trPr>
          <w:trHeight w:hRule="exact" w:val="650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3E1AE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DTX1</w:t>
            </w:r>
          </w:p>
          <w:p w14:paraId="209BB07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CDB22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Deltex</w:t>
            </w:r>
            <w:proofErr w:type="spellEnd"/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E3 ubiquitin ligase 1</w:t>
            </w:r>
          </w:p>
          <w:p w14:paraId="6139463B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48362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regulation of Notch signaling pathway (GO:0008593); glial cell differentiation (GO:0010001); MF: Notch binding (GO:0005112); zinc ion binding (GO:0008270);  </w:t>
            </w:r>
          </w:p>
        </w:tc>
      </w:tr>
      <w:tr w:rsidR="007C007C" w:rsidRPr="006E340F" w14:paraId="282D4102" w14:textId="77777777" w:rsidTr="002C32C6">
        <w:trPr>
          <w:trHeight w:hRule="exact" w:val="630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9F18F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RASAL1</w:t>
            </w:r>
          </w:p>
          <w:p w14:paraId="4DA4F5A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72026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RAS protein activator like 1</w:t>
            </w:r>
          </w:p>
          <w:p w14:paraId="4CD41738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B9056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BP: positive regulation of GTPase activity (GO:0043547); negative regulation of Ras protein signal transduction; MF: GTPase activator activity (GO:0005096); (GO:0046580);</w:t>
            </w:r>
          </w:p>
        </w:tc>
      </w:tr>
      <w:tr w:rsidR="007C007C" w:rsidRPr="006E340F" w14:paraId="37526F65" w14:textId="77777777" w:rsidTr="002C32C6">
        <w:trPr>
          <w:trHeight w:hRule="exact" w:val="634"/>
          <w:jc w:val="center"/>
        </w:trPr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23B6A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FAM171A1</w:t>
            </w:r>
          </w:p>
          <w:p w14:paraId="5423F997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2B01A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hAnsi="Times New Roman" w:cs="Times New Roman"/>
                <w:sz w:val="20"/>
                <w:szCs w:val="20"/>
              </w:rPr>
              <w:t>Family with sequence similarity 171 member A1</w:t>
            </w:r>
          </w:p>
        </w:tc>
        <w:tc>
          <w:tcPr>
            <w:tcW w:w="681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EC324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BP: regulation of cell shape (GO:0008360); CC: integral component of membrane (GO:0016021); </w:t>
            </w:r>
          </w:p>
        </w:tc>
      </w:tr>
      <w:tr w:rsidR="007C007C" w:rsidRPr="006E340F" w14:paraId="397DFF88" w14:textId="77777777" w:rsidTr="002C32C6">
        <w:trPr>
          <w:trHeight w:hRule="exact" w:val="386"/>
          <w:jc w:val="center"/>
        </w:trPr>
        <w:tc>
          <w:tcPr>
            <w:tcW w:w="121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08841BE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KIAA1217</w:t>
            </w:r>
          </w:p>
          <w:p w14:paraId="364EFDE0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45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F6E4AE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681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53D23B1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BP: embryonic skeletal system development (</w:t>
            </w:r>
            <w:hyperlink r:id="rId7" w:history="1">
              <w:r w:rsidRPr="006E340F">
                <w:rPr>
                  <w:rFonts w:ascii="Times New Roman" w:eastAsia="宋体" w:hAnsi="Times New Roman" w:cs="Times New Roman"/>
                  <w:sz w:val="20"/>
                  <w:szCs w:val="20"/>
                </w:rPr>
                <w:t>GO:0048706</w:t>
              </w:r>
            </w:hyperlink>
            <w:r w:rsidRPr="006E340F">
              <w:rPr>
                <w:rFonts w:ascii="Times New Roman" w:eastAsia="宋体" w:hAnsi="Times New Roman" w:cs="Times New Roman"/>
                <w:sz w:val="20"/>
                <w:szCs w:val="20"/>
              </w:rPr>
              <w:t>);</w:t>
            </w:r>
          </w:p>
          <w:p w14:paraId="658EFC9D" w14:textId="77777777" w:rsidR="007C007C" w:rsidRPr="006E340F" w:rsidRDefault="007C007C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77A6E280" w14:textId="31C0DED9" w:rsidR="006E043B" w:rsidRPr="006E340F" w:rsidRDefault="007C007C">
      <w:pPr>
        <w:rPr>
          <w:sz w:val="20"/>
          <w:szCs w:val="20"/>
        </w:rPr>
      </w:pPr>
      <w:r w:rsidRPr="006E340F">
        <w:rPr>
          <w:rFonts w:ascii="Times New Roman" w:eastAsia="宋体" w:hAnsi="Times New Roman" w:cs="Times New Roman"/>
          <w:sz w:val="20"/>
          <w:szCs w:val="20"/>
          <w:vertAlign w:val="superscript"/>
        </w:rPr>
        <w:t>1</w:t>
      </w:r>
      <w:r w:rsidRPr="006E340F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6E340F">
        <w:rPr>
          <w:rFonts w:ascii="Times New Roman" w:eastAsia="宋体" w:hAnsi="Times New Roman" w:cs="Times New Roman"/>
          <w:i/>
          <w:iCs/>
          <w:sz w:val="20"/>
          <w:szCs w:val="20"/>
        </w:rPr>
        <w:t>BP</w:t>
      </w:r>
      <w:r w:rsidRPr="006E340F">
        <w:rPr>
          <w:rFonts w:ascii="Times New Roman" w:eastAsia="宋体" w:hAnsi="Times New Roman" w:cs="Times New Roman"/>
          <w:sz w:val="20"/>
          <w:szCs w:val="20"/>
        </w:rPr>
        <w:t xml:space="preserve"> Biological Process </w:t>
      </w:r>
      <w:r w:rsidRPr="006E340F">
        <w:rPr>
          <w:rFonts w:ascii="Times New Roman" w:eastAsia="宋体" w:hAnsi="Times New Roman" w:cs="Times New Roman"/>
          <w:i/>
          <w:iCs/>
          <w:sz w:val="20"/>
          <w:szCs w:val="20"/>
        </w:rPr>
        <w:t>MF</w:t>
      </w:r>
      <w:r w:rsidRPr="006E340F">
        <w:rPr>
          <w:rFonts w:ascii="Times New Roman" w:eastAsia="宋体" w:hAnsi="Times New Roman" w:cs="Times New Roman"/>
          <w:sz w:val="20"/>
          <w:szCs w:val="20"/>
        </w:rPr>
        <w:t xml:space="preserve"> Molecular Function </w:t>
      </w:r>
      <w:r w:rsidRPr="006E340F">
        <w:rPr>
          <w:rFonts w:ascii="Times New Roman" w:eastAsia="宋体" w:hAnsi="Times New Roman" w:cs="Times New Roman"/>
          <w:i/>
          <w:iCs/>
          <w:sz w:val="20"/>
          <w:szCs w:val="20"/>
        </w:rPr>
        <w:t>CC</w:t>
      </w:r>
      <w:r w:rsidRPr="006E340F">
        <w:rPr>
          <w:rFonts w:ascii="Times New Roman" w:eastAsia="宋体" w:hAnsi="Times New Roman" w:cs="Times New Roman"/>
          <w:sz w:val="20"/>
          <w:szCs w:val="20"/>
        </w:rPr>
        <w:t xml:space="preserve"> Cellular Component </w:t>
      </w:r>
    </w:p>
    <w:sectPr w:rsidR="006E043B" w:rsidRPr="006E3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992F5" w14:textId="77777777" w:rsidR="00FD1CBF" w:rsidRDefault="00FD1CBF" w:rsidP="001478BC">
      <w:r>
        <w:separator/>
      </w:r>
    </w:p>
  </w:endnote>
  <w:endnote w:type="continuationSeparator" w:id="0">
    <w:p w14:paraId="0B4C0109" w14:textId="77777777" w:rsidR="00FD1CBF" w:rsidRDefault="00FD1CBF" w:rsidP="0014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2CFAA" w14:textId="77777777" w:rsidR="00FD1CBF" w:rsidRDefault="00FD1CBF" w:rsidP="001478BC">
      <w:r>
        <w:separator/>
      </w:r>
    </w:p>
  </w:footnote>
  <w:footnote w:type="continuationSeparator" w:id="0">
    <w:p w14:paraId="233158C0" w14:textId="77777777" w:rsidR="00FD1CBF" w:rsidRDefault="00FD1CBF" w:rsidP="00147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02C"/>
    <w:rsid w:val="001478BC"/>
    <w:rsid w:val="004B002C"/>
    <w:rsid w:val="0063749C"/>
    <w:rsid w:val="006E043B"/>
    <w:rsid w:val="006E340F"/>
    <w:rsid w:val="0070104D"/>
    <w:rsid w:val="007929A6"/>
    <w:rsid w:val="007C007C"/>
    <w:rsid w:val="00C16DDA"/>
    <w:rsid w:val="00F12BC3"/>
    <w:rsid w:val="00FD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D7D4D9"/>
  <w15:chartTrackingRefBased/>
  <w15:docId w15:val="{F8413D04-82EC-4BCE-8271-8375E502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8B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7C007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8BC"/>
    <w:rPr>
      <w:sz w:val="18"/>
      <w:szCs w:val="18"/>
    </w:rPr>
  </w:style>
  <w:style w:type="character" w:customStyle="1" w:styleId="10">
    <w:name w:val="标题 1 字符"/>
    <w:basedOn w:val="a0"/>
    <w:link w:val="1"/>
    <w:rsid w:val="007C007C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bi.ac.uk/QuickGO/term/GO:004870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bi.ac.uk/QuickGO/term/GO:000709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788</Words>
  <Characters>4498</Characters>
  <Application>Microsoft Office Word</Application>
  <DocSecurity>0</DocSecurity>
  <Lines>37</Lines>
  <Paragraphs>10</Paragraphs>
  <ScaleCrop>false</ScaleCrop>
  <Company/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慧宇</dc:creator>
  <cp:keywords/>
  <dc:description/>
  <cp:lastModifiedBy>王 慧宇</cp:lastModifiedBy>
  <cp:revision>6</cp:revision>
  <dcterms:created xsi:type="dcterms:W3CDTF">2022-05-18T13:28:00Z</dcterms:created>
  <dcterms:modified xsi:type="dcterms:W3CDTF">2022-05-25T05:36:00Z</dcterms:modified>
</cp:coreProperties>
</file>