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385DB" w14:textId="44FB6FBD" w:rsidR="00AD0DEB" w:rsidRDefault="00AD0DEB" w:rsidP="00AD0DEB">
      <w:pPr>
        <w:pStyle w:val="Heading2"/>
        <w:rPr>
          <w:lang w:val="en-US"/>
        </w:rPr>
      </w:pPr>
      <w:r>
        <w:rPr>
          <w:lang w:val="en-US"/>
        </w:rPr>
        <w:t>Supplement</w:t>
      </w:r>
      <w:r w:rsidR="005C47F0">
        <w:rPr>
          <w:lang w:val="en-US"/>
        </w:rPr>
        <w:t xml:space="preserve">ary </w:t>
      </w:r>
      <w:r w:rsidR="00C87C09">
        <w:rPr>
          <w:lang w:val="en-US"/>
        </w:rPr>
        <w:t>notes</w:t>
      </w:r>
    </w:p>
    <w:p w14:paraId="32F2BA58" w14:textId="77777777" w:rsidR="00AD0DEB" w:rsidRDefault="00AD0DEB" w:rsidP="00AA75D7">
      <w:pPr>
        <w:pStyle w:val="Heading2"/>
        <w:rPr>
          <w:lang w:val="en-US"/>
        </w:rPr>
      </w:pPr>
    </w:p>
    <w:p w14:paraId="217A92F8" w14:textId="51A20F64" w:rsidR="00AA75D7" w:rsidRDefault="00AA75D7" w:rsidP="00AA75D7">
      <w:pPr>
        <w:pStyle w:val="Heading2"/>
        <w:rPr>
          <w:lang w:val="en-US"/>
        </w:rPr>
      </w:pPr>
      <w:r>
        <w:rPr>
          <w:lang w:val="en-US"/>
        </w:rPr>
        <w:t xml:space="preserve">PGS </w:t>
      </w:r>
      <w:r w:rsidR="00727CC4">
        <w:rPr>
          <w:lang w:val="en-US"/>
        </w:rPr>
        <w:t>method</w:t>
      </w:r>
      <w:r w:rsidR="00161ECF">
        <w:rPr>
          <w:lang w:val="en-US"/>
        </w:rPr>
        <w:t xml:space="preserve"> selection and</w:t>
      </w:r>
      <w:r w:rsidR="00727CC4">
        <w:rPr>
          <w:lang w:val="en-US"/>
        </w:rPr>
        <w:t xml:space="preserve"> validation</w:t>
      </w:r>
    </w:p>
    <w:p w14:paraId="7664F4E7" w14:textId="034C908D" w:rsidR="00AA75D7" w:rsidRDefault="00AA75D7" w:rsidP="00AA75D7">
      <w:pPr>
        <w:rPr>
          <w:color w:val="000000"/>
          <w:lang w:val="en-US"/>
        </w:rPr>
      </w:pPr>
      <w:r w:rsidRPr="0CFB28C1">
        <w:rPr>
          <w:lang w:val="en-US"/>
        </w:rPr>
        <w:t xml:space="preserve">While we aimed to use the most optimal methods to predict PGS, we </w:t>
      </w:r>
      <w:r>
        <w:rPr>
          <w:lang w:val="en-US"/>
        </w:rPr>
        <w:t xml:space="preserve">originally </w:t>
      </w:r>
      <w:r w:rsidRPr="0CFB28C1">
        <w:rPr>
          <w:lang w:val="en-US"/>
        </w:rPr>
        <w:t xml:space="preserve">noticed </w:t>
      </w:r>
      <w:r>
        <w:rPr>
          <w:lang w:val="en-US"/>
        </w:rPr>
        <w:t>d</w:t>
      </w:r>
      <w:r w:rsidRPr="0CFB28C1">
        <w:rPr>
          <w:lang w:val="en-US"/>
        </w:rPr>
        <w:t>ifferent papers inconsistently report varying optimal PGS strategies</w:t>
      </w:r>
      <w:r>
        <w:rPr>
          <w:lang w:val="en-US"/>
        </w:rPr>
        <w:t>.</w:t>
      </w:r>
      <w:r w:rsidRPr="0CFB28C1">
        <w:rPr>
          <w:lang w:val="en-US"/>
        </w:rPr>
        <w:t xml:space="preserve"> </w:t>
      </w:r>
      <w:r>
        <w:rPr>
          <w:lang w:val="en-US"/>
        </w:rPr>
        <w:t>These methods</w:t>
      </w:r>
      <w:r w:rsidRPr="0CFB28C1">
        <w:rPr>
          <w:lang w:val="en-US"/>
        </w:rPr>
        <w:t xml:space="preserve"> vary from simple yet effective clumping and thresholding using PRSice-</w:t>
      </w:r>
      <w:r>
        <w:rPr>
          <w:lang w:val="en-US"/>
        </w:rPr>
        <w:t xml:space="preserve">2 </w:t>
      </w:r>
      <w:r>
        <w:rPr>
          <w:lang w:val="en-US"/>
        </w:rPr>
        <w:fldChar w:fldCharType="begin" w:fldLock="1"/>
      </w:r>
      <w:r w:rsidR="00393E8E">
        <w:rPr>
          <w:lang w:val="en-US"/>
        </w:rPr>
        <w:instrText>ADDIN CSL_CITATION {"citationItems":[{"id":"ITEM-1","itemData":{"DOI":"10.3389/FGENE.2021.632385","ISSN":"1664-8021","abstract":"Polygenic risk score (PRS) has been shown to be predictive of disease risk such as type 2 diabetes (T2D). However, the existing studies on genetic prediction for T2D only had limited predictive power. To further improve the predictive capability of the PRS model in identifying individuals at high T2D risk, we proposed a new three-step filtering procedure, which aimed to include truly predictive single nucleotide polymorphisms (SNPs) and avoid unpredictive ones into PRS model. First, we filtered SNPs according to the marginal association p-values (p≤5×10^(-2)) from large-scale genome-wide association studies. Second, we set LD pruning thresholds (r^2) as 0.2, 0.4, 0.6 and 0.8. Third, we set p-value thresholds as 5×10^(-2), 5×10^(-4), 5×10^(-6), and 5×10^(-8). Then we constructed and tested multiple candidate PRS models obtained by the PRSice-2 software among 182,422 individuals in the UK Biobank (UKB) testing dataset. We validated the predictive capability of the optimal PRS model that chosen from testing process in identifying individuals at high T2D risk based on UKB validation dataset (n=274,029). The prediction accuracy of PRS model evaluated by adjusted area under the receiver operating characteristics curve (AUC) showed that our PRS model had good prediction performance (AUC=0.795, 95% confidence interval (CI): [0.790,0.800]). Specifically, our PRS identified 30%, 12% and 7% of the population at greater than five-fold, six-fold and seven-fold risk for T2D respectively. After adjusting for sex, age, physical measurements and clinical factors, the AUC increased to 0.901 (95% CI: [0.897,0.904]). Therefore, our PRS model could be useful for population-level preventive T2D screening.","author":[{"dropping-particle":"","family":"Liu","given":"Wei","non-dropping-particle":"","parse-names":false,"suffix":""},{"dropping-particle":"","family":"Zhuang","given":"Zhenhuang","non-dropping-particle":"","parse-names":false,"suffix":""},{"dropping-particle":"","family":"Wang","given":"Wenxiu","non-dropping-particle":"","parse-names":false,"suffix":""},{"dropping-particle":"","family":"Huang","given":"Tao","non-dropping-particle":"","parse-names":false,"suffix":""},{"dropping-particle":"","family":"Liu","given":"Zhonghua","non-dropping-particle":"","parse-names":false,"suffix":""}],"container-title":"Frontiers in Genetics","id":"ITEM-1","issued":{"date-parts":[["2021","2","11"]]},"page":"63","publisher":"Frontiers","title":"An Improved Genome-Wide Polygenic Score Model for Predicting the Risk of Type 2 Diabetes","type":"article-journal","volume":"0"},"uris":["http://www.mendeley.com/documents/?uuid=be881ace-9e01-35dd-9558-46aab1f005e2"]}],"mendeley":{"formattedCitation":"&lt;sup&gt;1&lt;/sup&gt;","plainTextFormattedCitation":"1","previouslyFormattedCitation":"&lt;sup&gt;1&lt;/sup&gt;"},"properties":{"noteIndex":0},"schema":"https://github.com/citation-style-language/schema/raw/master/csl-citation.json"}</w:instrText>
      </w:r>
      <w:r>
        <w:rPr>
          <w:lang w:val="en-US"/>
        </w:rPr>
        <w:fldChar w:fldCharType="separate"/>
      </w:r>
      <w:r w:rsidR="00B04084" w:rsidRPr="00B04084">
        <w:rPr>
          <w:noProof/>
          <w:vertAlign w:val="superscript"/>
          <w:lang w:val="en-US"/>
        </w:rPr>
        <w:t>1</w:t>
      </w:r>
      <w:r>
        <w:rPr>
          <w:lang w:val="en-US"/>
        </w:rPr>
        <w:fldChar w:fldCharType="end"/>
      </w:r>
      <w:r>
        <w:rPr>
          <w:lang w:val="en-US"/>
        </w:rPr>
        <w:t xml:space="preserve">, </w:t>
      </w:r>
      <w:r w:rsidRPr="0CFB28C1">
        <w:rPr>
          <w:color w:val="000000" w:themeColor="text1"/>
          <w:lang w:val="en-US"/>
        </w:rPr>
        <w:t>stacked clumping and thresholding (SCT)</w:t>
      </w:r>
      <w:r>
        <w:rPr>
          <w:color w:val="000000" w:themeColor="text1"/>
          <w:lang w:val="en-US"/>
        </w:rPr>
        <w:t xml:space="preserve"> </w:t>
      </w:r>
      <w:r>
        <w:rPr>
          <w:color w:val="000000" w:themeColor="text1"/>
          <w:lang w:val="en-US"/>
        </w:rPr>
        <w:fldChar w:fldCharType="begin" w:fldLock="1"/>
      </w:r>
      <w:r w:rsidR="00393E8E">
        <w:rPr>
          <w:color w:val="000000" w:themeColor="text1"/>
          <w:lang w:val="en-US"/>
        </w:rPr>
        <w:instrText>ADDIN CSL_CITATION {"citationItems":[{"id":"ITEM-1","itemData":{"DOI":"10.1016/J.AJHG.2019.11.001","ISSN":"0002-9297","abstract":"Polygenic prediction has the potential to contribute to precision medicine. Clumping and thresholding (C+T) is a widely used method to derive polygenic scores. When using C+T, several p value thresholds are tested to maximize predictive ability of the derived polygenic scores. Along with this p value threshold, we propose to tune three other hyper-parameters for C+T. We implement an efficient way to derive thousands of different C+T scores corresponding to a grid over four hyper-parameters. For example, it takes a few hours to derive 123K different C+T scores for 300K individuals and 1M variants using 16 physical cores. We find that optimizing over these four hyper-parameters improves the predictive performance of C+T in both simulations and real data applications as compared to tuning only the p value threshold. A particularly large increase can be noted when predicting depression status, from an AUC of 0.557 (95% CI: [0.544–0.569]) when tuning only the p value threshold to an AUC of 0.592 (95% CI: [0.580–0.604]) when tuning all four hyper-parameters we propose for C+T. We further propose stacked clumping and thresholding (SCT), a polygenic score that results from stacking all derived C+T scores. Instead of choosing one set of hyper-parameters that maximizes prediction in some training set, SCT learns an optimal linear combination of all C+T scores by using an efficient penalized regression. We apply SCT to eight different case-control diseases in the UK biobank data and find that SCT substantially improves prediction accuracy with an average AUC increase of 0.035 over standard C+T.","author":[{"dropping-particle":"","family":"Privé","given":"Florian","non-dropping-particle":"","parse-names":false,"suffix":""},{"dropping-particle":"","family":"Vilhjálmsson","given":"Bjarni J.","non-dropping-particle":"","parse-names":false,"suffix":""},{"dropping-particle":"","family":"Aschard","given":"Hugues","non-dropping-particle":"","parse-names":false,"suffix":""},{"dropping-particle":"","family":"Blum","given":"Michael G.B.","non-dropping-particle":"","parse-names":false,"suffix":""}],"container-title":"The American Journal of Human Genetics","id":"ITEM-1","issue":"6","issued":{"date-parts":[["2019","12","5"]]},"page":"1213-1221","publisher":"Cell Press","title":"Making the Most of Clumping and Thresholding for Polygenic Scores","type":"article-journal","volume":"105"},"uris":["http://www.mendeley.com/documents/?uuid=a2252be7-8e8a-37b2-a67e-f4ee965ee8dd"]}],"mendeley":{"formattedCitation":"&lt;sup&gt;2&lt;/sup&gt;","plainTextFormattedCitation":"2","previouslyFormattedCitation":"&lt;sup&gt;2&lt;/sup&gt;"},"properties":{"noteIndex":0},"schema":"https://github.com/citation-style-language/schema/raw/master/csl-citation.json"}</w:instrText>
      </w:r>
      <w:r>
        <w:rPr>
          <w:color w:val="000000" w:themeColor="text1"/>
          <w:lang w:val="en-US"/>
        </w:rPr>
        <w:fldChar w:fldCharType="separate"/>
      </w:r>
      <w:r w:rsidR="00B04084" w:rsidRPr="00B04084">
        <w:rPr>
          <w:noProof/>
          <w:color w:val="000000" w:themeColor="text1"/>
          <w:vertAlign w:val="superscript"/>
          <w:lang w:val="en-US"/>
        </w:rPr>
        <w:t>2</w:t>
      </w:r>
      <w:r>
        <w:rPr>
          <w:color w:val="000000" w:themeColor="text1"/>
          <w:lang w:val="en-US"/>
        </w:rPr>
        <w:fldChar w:fldCharType="end"/>
      </w:r>
      <w:r>
        <w:rPr>
          <w:color w:val="000000" w:themeColor="text1"/>
          <w:lang w:val="en-US"/>
        </w:rPr>
        <w:t xml:space="preserve">, </w:t>
      </w:r>
      <w:r>
        <w:rPr>
          <w:color w:val="000000"/>
          <w:lang w:val="en-US"/>
        </w:rPr>
        <w:t>t</w:t>
      </w:r>
      <w:r w:rsidRPr="0CFB28C1">
        <w:rPr>
          <w:color w:val="000000" w:themeColor="text1"/>
          <w:lang w:val="en-US"/>
        </w:rPr>
        <w:t>o other methods such as, Lassosum</w:t>
      </w:r>
      <w:r>
        <w:rPr>
          <w:color w:val="000000"/>
          <w:lang w:val="en-US"/>
        </w:rPr>
        <w:t xml:space="preserve"> </w:t>
      </w:r>
      <w:r>
        <w:rPr>
          <w:color w:val="000000"/>
          <w:lang w:val="en-US"/>
        </w:rPr>
        <w:fldChar w:fldCharType="begin" w:fldLock="1"/>
      </w:r>
      <w:r w:rsidR="00393E8E">
        <w:rPr>
          <w:color w:val="000000"/>
          <w:lang w:val="en-US"/>
        </w:rPr>
        <w:instrText>ADDIN CSL_CITATION {"citationItems":[{"id":"ITEM-1","itemData":{"DOI":"10.1002/gepi.22050","abstract":"Polygenic scores (PGS) summarize the genetic contribution of a person's genotype to a disease or phenotype. They can be used to group participants into different risk categories for diseases, and are also used as covariates in epidemiological analyses. A number of possible ways of calculating PGS have been proposed, and recently there is much interest in methods that incorporate information available in published summary statistics. As there is no inherent information on linkage disequilibrium (LD) in summary statistics, a pertinent question is how we can use LD information available elsewhere to supplement such analyses. To answer this question, we propose a method for constructing PGS using summary statistics and a reference panel in a penalized regression framework, which we call lassosum. We also propose a general method for choosing the value of the tuning parameter in the absence of validation data. In our simulations, we showed that pseudovalidation often resulted in prediction accuracy that is comparable to using a dataset with validation phenotype and was clearly superior to the conservative option of setting the tuning parameter of lassosum to its lowest value. We also showed that lassosum achieved better prediction accuracy than simple clumping and í µí±</w:instrText>
      </w:r>
      <w:r w:rsidR="00393E8E">
        <w:rPr>
          <w:rFonts w:ascii="Calibri" w:hAnsi="Calibri" w:cs="Calibri"/>
          <w:color w:val="000000"/>
          <w:lang w:val="en-US"/>
        </w:rPr>
        <w:instrText></w:instrText>
      </w:r>
      <w:r w:rsidR="00393E8E">
        <w:rPr>
          <w:color w:val="000000"/>
          <w:lang w:val="en-US"/>
        </w:rPr>
        <w:instrText>-value thresholding in almost all scenarios. It was also substantially faster and more accurate than the recently proposed LDpred.","author":[{"dropping-particle":"","family":"Shin Heng Mak","given":"Timothy","non-dropping-particle":"","parse-names":false,"suffix":""},{"dropping-particle":"","family":"Milan Porsch","given":"Robert","non-dropping-particle":"","parse-names":false,"suffix":""},{"dropping-particle":"","family":"Wan Choi","given":"Shing","non-dropping-particle":"","parse-names":false,"suffix":""},{"dropping-particle":"","family":"Zhou","given":"Xueya","non-dropping-particle":"","parse-names":false,"suffix":""},{"dropping-particle":"","family":"Chung Sham","given":"Pak","non-dropping-particle":"","parse-names":false,"suffix":""},{"dropping-particle":"","family":"Kong","given":"Hong","non-dropping-particle":"","parse-names":false,"suffix":""},{"dropping-particle":"","family":"Timothy Shin Heng Mak","given":"Correspondence","non-dropping-particle":"","parse-names":false,"suffix":""},{"dropping-particle":"","family":"Chung","given":"Pak","non-dropping-particle":"","parse-names":false,"suffix":""}],"id":"ITEM-1","issued":{"date-parts":[["2017"]]},"title":"Polygenic scores via penalized regression on summary statistics","type":"article-journal"},"uris":["http://www.mendeley.com/documents/?uuid=b52e49e3-1d48-323b-9c8e-b92ac90c5f36"]}],"mendeley":{"formattedCitation":"&lt;sup&gt;3&lt;/sup&gt;","plainTextFormattedCitation":"3","previouslyFormattedCitation":"&lt;sup&gt;3&lt;/sup&gt;"},"properties":{"noteIndex":0},"schema":"https://github.com/citation-style-language/schema/raw/master/csl-citation.json"}</w:instrText>
      </w:r>
      <w:r>
        <w:rPr>
          <w:color w:val="000000"/>
          <w:lang w:val="en-US"/>
        </w:rPr>
        <w:fldChar w:fldCharType="separate"/>
      </w:r>
      <w:r w:rsidR="00B04084" w:rsidRPr="00B04084">
        <w:rPr>
          <w:noProof/>
          <w:color w:val="000000"/>
          <w:vertAlign w:val="superscript"/>
          <w:lang w:val="en-US"/>
        </w:rPr>
        <w:t>3</w:t>
      </w:r>
      <w:r>
        <w:rPr>
          <w:color w:val="000000"/>
          <w:lang w:val="en-US"/>
        </w:rPr>
        <w:fldChar w:fldCharType="end"/>
      </w:r>
      <w:r>
        <w:rPr>
          <w:color w:val="000000"/>
          <w:lang w:val="en-US"/>
        </w:rPr>
        <w:t>,</w:t>
      </w:r>
      <w:r w:rsidRPr="0CFB28C1">
        <w:rPr>
          <w:color w:val="000000" w:themeColor="text1"/>
          <w:lang w:val="en-US"/>
        </w:rPr>
        <w:t xml:space="preserve"> Ldpred-2</w:t>
      </w:r>
      <w:r>
        <w:rPr>
          <w:color w:val="000000" w:themeColor="text1"/>
          <w:lang w:val="en-US"/>
        </w:rPr>
        <w:t xml:space="preserve"> </w:t>
      </w:r>
      <w:r>
        <w:rPr>
          <w:color w:val="000000" w:themeColor="text1"/>
          <w:lang w:val="en-US"/>
        </w:rPr>
        <w:fldChar w:fldCharType="begin" w:fldLock="1"/>
      </w:r>
      <w:r w:rsidR="00393E8E">
        <w:rPr>
          <w:color w:val="000000" w:themeColor="text1"/>
          <w:lang w:val="en-US"/>
        </w:rPr>
        <w:instrText>ADDIN CSL_CITATION {"citationItems":[{"id":"ITEM-1","itemData":{"DOI":"10.1093/BIOINFORMATICS/BTAA1029","ISSN":"1367-4803","abstract":"Motivation: Polygenic scores have become a central tool in human genetics research. LDpred is a popular method for deriving polygenic scores based on summary statistics and a matrix of correlation between genetic variants. However, LDpred has limitations that may reduce its predictive performance. Results: Here, we present LDpred2, a new version of LDpred that addresses these issues. We also provide two new options in LDpred2: a 'sparse' option that can learn effects that are exactly 0, and an 'auto' option that directly learns the two LDpred parameters from data. We benchmark predictive performance of LDpred2 against the previous version on simulated and real data, demonstrating substantial improvements in robustness and predictive accuracy compared to LDpred1. We then show that LDpred2 also outperforms other polygenic score methods recently developed, with a mean AUC over the 8 real traits analyzed here of 65.1%, compared to 63.8% for lassosum, 62.9% for PRS-CS and 61.5% for SBayesR. Note that LDpred2 provides more accurate polygenic scores when run genome-wide, instead of per chromosome.","author":[{"dropping-particle":"","family":"Privé","given":"Florian","non-dropping-particle":"","parse-names":false,"suffix":""},{"dropping-particle":"","family":"Arbel","given":"Julyan","non-dropping-particle":"","parse-names":false,"suffix":""},{"dropping-particle":"","family":"Vilhjálmsson","given":"Bjarni J","non-dropping-particle":"","parse-names":false,"suffix":""}],"container-title":"Bioinformatics","id":"ITEM-1","issue":"22-23","issued":{"date-parts":[["2021","4","1"]]},"page":"5424-5431","publisher":"Oxford Academic","title":"LDpred2: better, faster, stronger","type":"article-journal","volume":"36"},"uris":["http://www.mendeley.com/documents/?uuid=600a3e90-3cb9-39ff-be3b-77b321235d8a"]}],"mendeley":{"formattedCitation":"&lt;sup&gt;4&lt;/sup&gt;","plainTextFormattedCitation":"4","previouslyFormattedCitation":"&lt;sup&gt;4&lt;/sup&gt;"},"properties":{"noteIndex":0},"schema":"https://github.com/citation-style-language/schema/raw/master/csl-citation.json"}</w:instrText>
      </w:r>
      <w:r>
        <w:rPr>
          <w:color w:val="000000" w:themeColor="text1"/>
          <w:lang w:val="en-US"/>
        </w:rPr>
        <w:fldChar w:fldCharType="separate"/>
      </w:r>
      <w:r w:rsidR="00B04084" w:rsidRPr="00B04084">
        <w:rPr>
          <w:noProof/>
          <w:color w:val="000000" w:themeColor="text1"/>
          <w:vertAlign w:val="superscript"/>
          <w:lang w:val="en-US"/>
        </w:rPr>
        <w:t>4</w:t>
      </w:r>
      <w:r>
        <w:rPr>
          <w:color w:val="000000" w:themeColor="text1"/>
          <w:lang w:val="en-US"/>
        </w:rPr>
        <w:fldChar w:fldCharType="end"/>
      </w:r>
      <w:r>
        <w:rPr>
          <w:color w:val="000000" w:themeColor="text1"/>
          <w:lang w:val="en-US"/>
        </w:rPr>
        <w:t>,</w:t>
      </w:r>
      <w:r w:rsidRPr="0CFB28C1">
        <w:rPr>
          <w:color w:val="000000" w:themeColor="text1"/>
          <w:lang w:val="en-US"/>
        </w:rPr>
        <w:t xml:space="preserve"> SbayesR</w:t>
      </w:r>
      <w:r>
        <w:rPr>
          <w:color w:val="000000"/>
          <w:lang w:val="en-US"/>
        </w:rPr>
        <w:t xml:space="preserve"> </w:t>
      </w:r>
      <w:r>
        <w:rPr>
          <w:color w:val="000000"/>
          <w:lang w:val="en-US"/>
        </w:rPr>
        <w:fldChar w:fldCharType="begin" w:fldLock="1"/>
      </w:r>
      <w:r w:rsidR="00393E8E">
        <w:rPr>
          <w:color w:val="000000"/>
          <w:lang w:val="en-US"/>
        </w:rPr>
        <w:instrText>ADDIN CSL_CITATION {"citationItems":[{"id":"ITEM-1","itemData":{"DOI":"10.1038/s41467-019-12653-0","ISSN":"2041-1723","abstract":"Accurate prediction of an individual’s phenotype from their DNA sequence is one of the great promises of genomics and precision medicine. We extend a powerful individual-level data Bayesian multiple regression model (BayesR) to one that utilises summary statistics from genome-wide association studies (GWAS), SBayesR. In simulation and cross-validation using 12 real traits and 1.1 million variants on 350,000 individuals from the UK Biobank, SBayesR improves prediction accuracy relative to commonly used state-of-the-art summary statistics methods at a fraction of the computational resources. Furthermore, using summary statistics for variants from the largest GWAS meta-analysis (n ≈ 700, 000) on height and BMI, we show that on average across traits and two independent data sets that SBayesR improves prediction R2 by 5.2% relative to LDpred and by 26.5% relative to clumping and p value thresholding. Various approaches are being used for polygenic prediction including Bayesian multiple regression methods that require access to individual-level genotype data. Here, the authors extend BayesR to utilise GWAS summary statistics (SBayesR) and show that it outperforms other summary statistic-based methods.","author":[{"dropping-particle":"","family":"Lloyd-Jones","given":"Luke R.","non-dropping-particle":"","parse-names":false,"suffix":""},{"dropping-particle":"","family":"Zeng","given":"Jian","non-dropping-particle":"","parse-names":false,"suffix":""},{"dropping-particle":"","family":"Sidorenko","given":"Julia","non-dropping-particle":"","parse-names":false,"suffix":""},{"dropping-particle":"","family":"Yengo","given":"Loïc","non-dropping-particle":"","parse-names":false,"suffix":""},{"dropping-particle":"","family":"Moser","given":"Gerhard","non-dropping-particle":"","parse-names":false,"suffix":""},{"dropping-particle":"","family":"Kemper","given":"Kathryn E.","non-dropping-particle":"","parse-names":false,"suffix":""},{"dropping-particle":"","family":"Wang","given":"Huanwei","non-dropping-particle":"","parse-names":false,"suffix":""},{"dropping-particle":"","family":"Zheng","given":"Zhili","non-dropping-particle":"","parse-names":false,"suffix":""},{"dropping-particle":"","family":"Magi","given":"Reedik","non-dropping-particle":"","parse-names":false,"suffix":""},{"dropping-particle":"","family":"Esko","given":"Tõnu","non-dropping-particle":"","parse-names":false,"suffix":""},{"dropping-particle":"","family":"Metspalu","given":"Andres","non-dropping-particle":"","parse-names":false,"suffix":""},{"dropping-particle":"","family":"Wray","given":"Naomi R.","non-dropping-particle":"","parse-names":false,"suffix":""},{"dropping-particle":"","family":"Goddard","given":"Michael E.","non-dropping-particle":"","parse-names":false,"suffix":""},{"dropping-particle":"","family":"Yang","given":"Jian","non-dropping-particle":"","parse-names":false,"suffix":""},{"dropping-particle":"","family":"Visscher","given":"Peter M.","non-dropping-particle":"","parse-names":false,"suffix":""}],"container-title":"Nature Communications 2019 10:1","id":"ITEM-1","issue":"1","issued":{"date-parts":[["2019","11","8"]]},"page":"1-11","publisher":"Nature Publishing Group","title":"Improved polygenic prediction by Bayesian multiple regression on summary statistics","type":"article-journal","volume":"10"},"uris":["http://www.mendeley.com/documents/?uuid=5f4540c7-7c0a-3ec6-9dac-444301606ace"]}],"mendeley":{"formattedCitation":"&lt;sup&gt;5&lt;/sup&gt;","plainTextFormattedCitation":"5","previouslyFormattedCitation":"&lt;sup&gt;5&lt;/sup&gt;"},"properties":{"noteIndex":0},"schema":"https://github.com/citation-style-language/schema/raw/master/csl-citation.json"}</w:instrText>
      </w:r>
      <w:r>
        <w:rPr>
          <w:color w:val="000000"/>
          <w:lang w:val="en-US"/>
        </w:rPr>
        <w:fldChar w:fldCharType="separate"/>
      </w:r>
      <w:r w:rsidR="00B04084" w:rsidRPr="00B04084">
        <w:rPr>
          <w:noProof/>
          <w:color w:val="000000"/>
          <w:vertAlign w:val="superscript"/>
          <w:lang w:val="en-US"/>
        </w:rPr>
        <w:t>5</w:t>
      </w:r>
      <w:r>
        <w:rPr>
          <w:color w:val="000000"/>
          <w:lang w:val="en-US"/>
        </w:rPr>
        <w:fldChar w:fldCharType="end"/>
      </w:r>
      <w:r>
        <w:rPr>
          <w:color w:val="000000"/>
          <w:lang w:val="en-US"/>
        </w:rPr>
        <w:t>,</w:t>
      </w:r>
      <w:r w:rsidRPr="0CFB28C1">
        <w:rPr>
          <w:color w:val="000000" w:themeColor="text1"/>
          <w:lang w:val="en-US"/>
        </w:rPr>
        <w:t xml:space="preserve"> PRS-CS and more</w:t>
      </w:r>
      <w:r>
        <w:rPr>
          <w:color w:val="000000" w:themeColor="text1"/>
          <w:lang w:val="en-US"/>
        </w:rPr>
        <w:t xml:space="preserve"> </w:t>
      </w:r>
      <w:r>
        <w:rPr>
          <w:color w:val="000000" w:themeColor="text1"/>
          <w:lang w:val="en-US"/>
        </w:rPr>
        <w:fldChar w:fldCharType="begin" w:fldLock="1"/>
      </w:r>
      <w:r w:rsidR="00393E8E">
        <w:rPr>
          <w:color w:val="000000" w:themeColor="text1"/>
          <w:lang w:val="en-US"/>
        </w:rPr>
        <w:instrText>ADDIN CSL_CITATION {"citationItems":[{"id":"ITEM-1","itemData":{"DOI":"10.2139/SSRN.3808292","abstract":"Risk prediction models provide empirical recommendations that ultimately aim to deliver optimal patient outcomes. Genetic information, in the form of a polygenic risk score (PRS), may be included in these models to significantly increase their accuracy. Several analyses of PRS accuracy have been completed, nearly all focus on only a few diseases and report limited statistics. This narrow approach has limited our ability to assess as a whole whether PRSs can provide actionable disease predictions. This investigation aims to address this uncertainty by comprehensively analyzing 23 diseases within the UK Biobank. Our results show that including the PRS to a base model containing age, sex and the top ten genetic principal components significantly improves prediction accuracy, as measured by ROC curves, in a majority 21 of 23 diseases and reclassifies on average 68% of the individuals in the top 5% risk group. For heart failure, breast cancer, prostate cancer and gout, decision curve analyses using the 5% risk threshold determined that including the PRS in the base model would correctly identity at least 60 more individuals who develop the disease for every 1000 individuals screened, without making any incorrect predictions. Analyses that included disease-specific risk factors, such as Body-Mass Index, and consider time of disease onset found similar PRS benefits. The improved prediction accuracy was translated to 10 instances in which medications/supplements and 94 instances in which lifestyle modifications lead to significantly greater reduction in disease risk for individuals in the top PRS quintile compared to the bottom PRS quintile. Finally we provide guidance for tailored, future PRS generation by comprehensively ranking methods that generate PRS weights and identifying genome wide association study characteristics that influence PRS predictions. The unification of significantly enhanced disease predictions, novel risk mitigation opportunities and improved methodological clarity indicate that PRSs carry far greater clinical impact than previously known.","author":[{"dropping-particle":"","family":"Kulm","given":"Scott","non-dropping-particle":"","parse-names":false,"suffix":""},{"dropping-particle":"","family":"Marderstein","given":"Andrew","non-dropping-particle":"","parse-names":false,"suffix":""},{"dropping-particle":"","family":"Mezey","given":"Jason","non-dropping-particle":"","parse-names":false,"suffix":""},{"dropping-particle":"","family":"Elemento","given":"Olivier","non-dropping-particle":"","parse-names":false,"suffix":""}],"container-title":"SSRN Electronic Journal","id":"ITEM-1","issued":{"date-parts":[["2021","3","23"]]},"publisher":"Elsevier BV","title":"A Systematic Framework for Assessing the Clinical Impact of Polygenic Risk Scores","type":"article-journal"},"uris":["http://www.mendeley.com/documents/?uuid=c87c12d3-e2d6-3228-a27d-7a0acd3d5090"]}],"mendeley":{"formattedCitation":"&lt;sup&gt;6&lt;/sup&gt;","plainTextFormattedCitation":"6","previouslyFormattedCitation":"&lt;sup&gt;6&lt;/sup&gt;"},"properties":{"noteIndex":0},"schema":"https://github.com/citation-style-language/schema/raw/master/csl-citation.json"}</w:instrText>
      </w:r>
      <w:r>
        <w:rPr>
          <w:color w:val="000000" w:themeColor="text1"/>
          <w:lang w:val="en-US"/>
        </w:rPr>
        <w:fldChar w:fldCharType="separate"/>
      </w:r>
      <w:r w:rsidR="00B04084" w:rsidRPr="00B04084">
        <w:rPr>
          <w:noProof/>
          <w:color w:val="000000" w:themeColor="text1"/>
          <w:vertAlign w:val="superscript"/>
          <w:lang w:val="en-US"/>
        </w:rPr>
        <w:t>6</w:t>
      </w:r>
      <w:r>
        <w:rPr>
          <w:color w:val="000000" w:themeColor="text1"/>
          <w:lang w:val="en-US"/>
        </w:rPr>
        <w:fldChar w:fldCharType="end"/>
      </w:r>
      <w:r w:rsidR="00A2153E">
        <w:rPr>
          <w:color w:val="000000" w:themeColor="text1"/>
          <w:lang w:val="en-US"/>
        </w:rPr>
        <w:t>,</w:t>
      </w:r>
      <w:r>
        <w:rPr>
          <w:color w:val="000000" w:themeColor="text1"/>
          <w:lang w:val="en-US"/>
        </w:rPr>
        <w:t xml:space="preserve"> </w:t>
      </w:r>
      <w:r w:rsidRPr="0CFB28C1">
        <w:rPr>
          <w:lang w:val="en-US"/>
        </w:rPr>
        <w:t xml:space="preserve">all predicting Type-2 diabetes </w:t>
      </w:r>
      <w:r w:rsidR="00A2153E">
        <w:rPr>
          <w:lang w:val="en-US"/>
        </w:rPr>
        <w:t xml:space="preserve">(T2D) </w:t>
      </w:r>
      <w:r w:rsidRPr="0CFB28C1">
        <w:rPr>
          <w:lang w:val="en-US"/>
        </w:rPr>
        <w:t>using UK Biobank</w:t>
      </w:r>
      <w:r w:rsidR="00A2153E">
        <w:rPr>
          <w:lang w:val="en-US"/>
        </w:rPr>
        <w:t xml:space="preserve"> (UKB)</w:t>
      </w:r>
      <w:r w:rsidRPr="0CFB28C1">
        <w:rPr>
          <w:lang w:val="en-US"/>
        </w:rPr>
        <w:t xml:space="preserve"> data</w:t>
      </w:r>
      <w:r>
        <w:rPr>
          <w:lang w:val="en-US"/>
        </w:rPr>
        <w:t>.</w:t>
      </w:r>
      <w:r w:rsidRPr="0CFB28C1">
        <w:rPr>
          <w:lang w:val="en-US"/>
        </w:rPr>
        <w:t xml:space="preserve"> Furthermore, it was shown the optimal method </w:t>
      </w:r>
      <w:r w:rsidRPr="0CFB28C1">
        <w:rPr>
          <w:color w:val="000000" w:themeColor="text1"/>
          <w:lang w:val="en-US"/>
        </w:rPr>
        <w:t xml:space="preserve">can also vary on environment of the population on which the GWAS input files were generated as well as the target population in which the PGS are predicted </w:t>
      </w:r>
      <w:r>
        <w:rPr>
          <w:color w:val="000000" w:themeColor="text1"/>
          <w:lang w:val="en-US"/>
        </w:rPr>
        <w:fldChar w:fldCharType="begin" w:fldLock="1"/>
      </w:r>
      <w:r w:rsidR="00393E8E">
        <w:rPr>
          <w:color w:val="000000" w:themeColor="text1"/>
          <w:lang w:val="en-US"/>
        </w:rPr>
        <w:instrText>ADDIN CSL_CITATION {"citationItems":[{"id":"ITEM-1","itemData":{"DOI":"10.7554/ELIFE.48376","abstract":"Fields as diverse as human genetics and sociology are increasingly using polygenic scores based on genome-wide association studies (GWAS) for phenotypic prediction. However, recent work has shown that polygenic scores have limited portability across groups of different genetic ancestries, restricting the contexts in which they can be used reliably and potentially creating serious inequities in future clinical applications. Using the UK Biobank data, we demonstrate that even within a single ancestry group (i.e., when there are negligible differences in linkage disequilibrium or in causal alleles frequencies), the prediction accuracy of polygenic scores can depend on characteristics such as the socio-economic status, age or sex of the individuals in which the GWAS and the prediction were conducted, as well as on the GWAS design. Our findings highlight both the complexities of interpreting polygenic scores and underappreciated obstacles to their broad use.","author":[{"dropping-particle":"","family":"Mostafavi","given":"Hakhamanesh","non-dropping-particle":"","parse-names":false,"suffix":""},{"dropping-particle":"","family":"Harpak","given":"Arbel","non-dropping-particle":"","parse-names":false,"suffix":""},{"dropping-particle":"","family":"Agarwal","given":"Ipsita","non-dropping-particle":"","parse-names":false,"suffix":""},{"dropping-particle":"","family":"Conley","given":"Dalton","non-dropping-particle":"","parse-names":false,"suffix":""},{"dropping-particle":"","family":"Pritchard","given":"Jonathan K.","non-dropping-particle":"","parse-names":false,"suffix":""},{"dropping-particle":"","family":"Przeworski","given":"Molly","non-dropping-particle":"","parse-names":false,"suffix":""}],"container-title":"eLife","id":"ITEM-1","issued":{"date-parts":[["2020","1","1"]]},"publisher":"eLife Sciences Publications Ltd","title":"Variable prediction accuracy of polygenic scores within an ancestry group","type":"article-journal","volume":"9"},"uris":["http://www.mendeley.com/documents/?uuid=a557f691-20ce-3360-b878-ac8ed8715484"]}],"mendeley":{"formattedCitation":"&lt;sup&gt;7&lt;/sup&gt;","plainTextFormattedCitation":"7","previouslyFormattedCitation":"&lt;sup&gt;7&lt;/sup&gt;"},"properties":{"noteIndex":0},"schema":"https://github.com/citation-style-language/schema/raw/master/csl-citation.json"}</w:instrText>
      </w:r>
      <w:r>
        <w:rPr>
          <w:color w:val="000000" w:themeColor="text1"/>
          <w:lang w:val="en-US"/>
        </w:rPr>
        <w:fldChar w:fldCharType="separate"/>
      </w:r>
      <w:r w:rsidR="00B04084" w:rsidRPr="00B04084">
        <w:rPr>
          <w:noProof/>
          <w:color w:val="000000" w:themeColor="text1"/>
          <w:vertAlign w:val="superscript"/>
          <w:lang w:val="en-US"/>
        </w:rPr>
        <w:t>7</w:t>
      </w:r>
      <w:r>
        <w:rPr>
          <w:color w:val="000000" w:themeColor="text1"/>
          <w:lang w:val="en-US"/>
        </w:rPr>
        <w:fldChar w:fldCharType="end"/>
      </w:r>
      <w:r>
        <w:rPr>
          <w:color w:val="000000"/>
          <w:lang w:val="en-US"/>
        </w:rPr>
        <w:t>.</w:t>
      </w:r>
      <w:r w:rsidRPr="0CFB28C1">
        <w:rPr>
          <w:lang w:val="en-US"/>
        </w:rPr>
        <w:t xml:space="preserve"> In an independent extensive comparison, it was shown that the best model varies per phenotype</w:t>
      </w:r>
      <w:r>
        <w:rPr>
          <w:lang w:val="en-US"/>
        </w:rPr>
        <w:t xml:space="preserve"> </w:t>
      </w:r>
      <w:r>
        <w:rPr>
          <w:lang w:val="en-US"/>
        </w:rPr>
        <w:fldChar w:fldCharType="begin" w:fldLock="1"/>
      </w:r>
      <w:r w:rsidR="00393E8E">
        <w:rPr>
          <w:lang w:val="en-US"/>
        </w:rPr>
        <w:instrText>ADDIN CSL_CITATION {"citationItems":[{"id":"ITEM-1","itemData":{"DOI":"10.2139/SSRN.3808292","abstract":"Risk prediction models provide empirical recommendations that ultimately aim to deliver optimal patient outcomes. Genetic information, in the form of a polygenic risk score (PRS), may be included in these models to significantly increase their accuracy. Several analyses of PRS accuracy have been completed, nearly all focus on only a few diseases and report limited statistics. This narrow approach has limited our ability to assess as a whole whether PRSs can provide actionable disease predictions. This investigation aims to address this uncertainty by comprehensively analyzing 23 diseases within the UK Biobank. Our results show that including the PRS to a base model containing age, sex and the top ten genetic principal components significantly improves prediction accuracy, as measured by ROC curves, in a majority 21 of 23 diseases and reclassifies on average 68% of the individuals in the top 5% risk group. For heart failure, breast cancer, prostate cancer and gout, decision curve analyses using the 5% risk threshold determined that including the PRS in the base model would correctly identity at least 60 more individuals who develop the disease for every 1000 individuals screened, without making any incorrect predictions. Analyses that included disease-specific risk factors, such as Body-Mass Index, and consider time of disease onset found similar PRS benefits. The improved prediction accuracy was translated to 10 instances in which medications/supplements and 94 instances in which lifestyle modifications lead to significantly greater reduction in disease risk for individuals in the top PRS quintile compared to the bottom PRS quintile. Finally we provide guidance for tailored, future PRS generation by comprehensively ranking methods that generate PRS weights and identifying genome wide association study characteristics that influence PRS predictions. The unification of significantly enhanced disease predictions, novel risk mitigation opportunities and improved methodological clarity indicate that PRSs carry far greater clinical impact than previously known.","author":[{"dropping-particle":"","family":"Kulm","given":"Scott","non-dropping-particle":"","parse-names":false,"suffix":""},{"dropping-particle":"","family":"Marderstein","given":"Andrew","non-dropping-particle":"","parse-names":false,"suffix":""},{"dropping-particle":"","family":"Mezey","given":"Jason","non-dropping-particle":"","parse-names":false,"suffix":""},{"dropping-particle":"","family":"Elemento","given":"Olivier","non-dropping-particle":"","parse-names":false,"suffix":""}],"container-title":"SSRN Electronic Journal","id":"ITEM-1","issued":{"date-parts":[["2021","3","23"]]},"publisher":"Elsevier BV","title":"A Systematic Framework for Assessing the Clinical Impact of Polygenic Risk Scores","type":"article-journal"},"uris":["http://www.mendeley.com/documents/?uuid=c87c12d3-e2d6-3228-a27d-7a0acd3d5090"]}],"mendeley":{"formattedCitation":"&lt;sup&gt;6&lt;/sup&gt;","plainTextFormattedCitation":"6","previouslyFormattedCitation":"&lt;sup&gt;6&lt;/sup&gt;"},"properties":{"noteIndex":0},"schema":"https://github.com/citation-style-language/schema/raw/master/csl-citation.json"}</w:instrText>
      </w:r>
      <w:r>
        <w:rPr>
          <w:lang w:val="en-US"/>
        </w:rPr>
        <w:fldChar w:fldCharType="separate"/>
      </w:r>
      <w:r w:rsidR="00B04084" w:rsidRPr="00B04084">
        <w:rPr>
          <w:noProof/>
          <w:vertAlign w:val="superscript"/>
          <w:lang w:val="en-US"/>
        </w:rPr>
        <w:t>6</w:t>
      </w:r>
      <w:r>
        <w:rPr>
          <w:lang w:val="en-US"/>
        </w:rPr>
        <w:fldChar w:fldCharType="end"/>
      </w:r>
      <w:r>
        <w:rPr>
          <w:color w:val="000000"/>
          <w:lang w:val="en-US"/>
        </w:rPr>
        <w:t xml:space="preserve">. </w:t>
      </w:r>
    </w:p>
    <w:p w14:paraId="1A1446B2" w14:textId="0073527C" w:rsidR="00AA75D7" w:rsidRDefault="00AA75D7" w:rsidP="00AA75D7">
      <w:pPr>
        <w:rPr>
          <w:lang w:val="en-US"/>
        </w:rPr>
      </w:pPr>
      <w:r>
        <w:rPr>
          <w:color w:val="000000"/>
          <w:lang w:val="en-US"/>
        </w:rPr>
        <w:t>As such, we originally set out to first calculate PGS using a simple computationally less intensive method (ldpred-inf) using a limited set of SNPs. We compared two analyses to compare how the inclusion of more or less SNPs would affect</w:t>
      </w:r>
      <w:r w:rsidR="001433EE">
        <w:rPr>
          <w:color w:val="000000"/>
          <w:lang w:val="en-US"/>
        </w:rPr>
        <w:t>s</w:t>
      </w:r>
      <w:r>
        <w:rPr>
          <w:color w:val="000000"/>
          <w:lang w:val="en-US"/>
        </w:rPr>
        <w:t xml:space="preserve"> the predictive performance. These two analyses varied only in that they included a different set of input SNPs based on two arbitrarily selected</w:t>
      </w:r>
      <w:r>
        <w:rPr>
          <w:lang w:val="en-US"/>
        </w:rPr>
        <w:t xml:space="preserve"> different Genome Wide Association Study (GWAS) significance cutoffs: 10</w:t>
      </w:r>
      <w:r w:rsidRPr="00BC1228">
        <w:rPr>
          <w:vertAlign w:val="superscript"/>
          <w:lang w:val="en-US"/>
        </w:rPr>
        <w:t>-6</w:t>
      </w:r>
      <w:r>
        <w:rPr>
          <w:lang w:val="en-US"/>
        </w:rPr>
        <w:t xml:space="preserve"> and 0.01. We found that both </w:t>
      </w:r>
      <w:r w:rsidR="001E5107">
        <w:rPr>
          <w:lang w:val="en-US"/>
        </w:rPr>
        <w:t>translate into</w:t>
      </w:r>
      <w:r w:rsidR="006617D7">
        <w:rPr>
          <w:lang w:val="en-US"/>
        </w:rPr>
        <w:t xml:space="preserve"> </w:t>
      </w:r>
      <w:r>
        <w:rPr>
          <w:lang w:val="en-US"/>
        </w:rPr>
        <w:t>relatively similar biologically meaningful results in terms of identifying individuals at higher ris</w:t>
      </w:r>
      <w:r w:rsidR="009C672C">
        <w:rPr>
          <w:lang w:val="en-US"/>
        </w:rPr>
        <w:t>k</w:t>
      </w:r>
      <w:r w:rsidR="00FA63E2">
        <w:rPr>
          <w:lang w:val="en-US"/>
        </w:rPr>
        <w:t xml:space="preserve"> (Supplementary figure </w:t>
      </w:r>
      <w:r w:rsidR="001433EE">
        <w:rPr>
          <w:lang w:val="en-US"/>
        </w:rPr>
        <w:t>5</w:t>
      </w:r>
      <w:r w:rsidR="00FA63E2">
        <w:rPr>
          <w:lang w:val="en-US"/>
        </w:rPr>
        <w:t>)</w:t>
      </w:r>
      <w:r>
        <w:rPr>
          <w:lang w:val="en-US"/>
        </w:rPr>
        <w:t xml:space="preserve">. Early reported PGS performance however was slightly </w:t>
      </w:r>
      <w:r w:rsidR="00A2153E">
        <w:rPr>
          <w:lang w:val="en-US"/>
        </w:rPr>
        <w:t xml:space="preserve">worse </w:t>
      </w:r>
      <w:r>
        <w:rPr>
          <w:lang w:val="en-US"/>
        </w:rPr>
        <w:t>than reported in current literature, reporting a 2.5 and 2.9 fold increased risk,</w:t>
      </w:r>
      <w:r w:rsidRPr="006E38EE">
        <w:rPr>
          <w:lang w:val="en-US"/>
        </w:rPr>
        <w:t xml:space="preserve"> </w:t>
      </w:r>
      <w:r>
        <w:rPr>
          <w:lang w:val="en-US"/>
        </w:rPr>
        <w:t xml:space="preserve">fold increased risk for the individuals in the highest decile as compared to the rest,  for T2D and CAD </w:t>
      </w:r>
      <w:r>
        <w:rPr>
          <w:lang w:val="en-US"/>
        </w:rPr>
        <w:fldChar w:fldCharType="begin" w:fldLock="1"/>
      </w:r>
      <w:r w:rsidR="00393E8E">
        <w:rPr>
          <w:lang w:val="en-US"/>
        </w:rPr>
        <w:instrText>ADDIN CSL_CITATION {"citationItems":[{"id":"ITEM-1","itemData":{"DOI":"10.1038/s41588-018-0183-z","ISSN":"15461718","PMID":"30104762","abstract":"A key public health need is to identify individuals at high risk for a given disease to enable enhanced screening or preventive therapies. Because most common diseases have a genetic component, one important approach is to stratify individuals based on inherited DNA variation 1 . Proposed clinical applications have largely focused on finding carriers of rare monogenic mutations at several-fold increased risk. Although most disease risk is polygenic in nature 2–5 , it has not yet been possible to use polygenic predictors to identify individuals at risk comparable to monogenic mutations. Here, we develop and validate genome-wide polygenic scores for five common diseases. The approach identifies 8.0, 6.1, 3.5, 3.2, and 1.5% of the population at greater than threefold increased risk for coronary artery disease, atrial fibrillation, type 2 diabetes, inflammatory bowel disease, and breast cancer, respectively. For coronary artery disease, this prevalence is 20-fold higher than the carrier frequency of rare monogenic mutations conferring comparable risk 6 . We propose that it is time to contemplate the inclusion of polygenic risk prediction in clinical care, and discuss relevant issues.","author":[{"dropping-particle":"V.","family":"Khera","given":"Amit","non-dropping-particle":"","parse-names":false,"suffix":""},{"dropping-particle":"","family":"Chaffin","given":"Mark","non-dropping-particle":"","parse-names":false,"suffix":""},{"dropping-particle":"","family":"Aragam","given":"Krishna G.","non-dropping-particle":"","parse-names":false,"suffix":""},{"dropping-particle":"","family":"Haas","given":"Mary E.","non-dropping-particle":"","parse-names":false,"suffix":""},{"dropping-particle":"","family":"Roselli","given":"Carolina","non-dropping-particle":"","parse-names":false,"suffix":""},{"dropping-particle":"","family":"Choi","given":"Seung Hoan","non-dropping-particle":"","parse-names":false,"suffix":""},{"dropping-particle":"","family":"Natarajan","given":"Pradeep","non-dropping-particle":"","parse-names":false,"suffix":""},{"dropping-particle":"","family":"Lander","given":"Eric S.","non-dropping-particle":"","parse-names":false,"suffix":""},{"dropping-particle":"","family":"Lubitz","given":"Steven A.","non-dropping-particle":"","parse-names":false,"suffix":""},{"dropping-particle":"","family":"Ellinor","given":"Patrick T.","non-dropping-particle":"","parse-names":false,"suffix":""},{"dropping-particle":"","family":"Kathiresan","given":"Sekar","non-dropping-particle":"","parse-names":false,"suffix":""}],"container-title":"Nature Genetics","id":"ITEM-1","issue":"9","issued":{"date-parts":[["2018","9","1"]]},"page":"1219-1224","publisher":"Nature Publishing Group","title":"Genome-wide polygenic scores for common diseases identify individuals with risk equivalent to monogenic mutations","type":"article","volume":"50"},"uris":["http://www.mendeley.com/documents/?uuid=fc055422-a9b3-3c8c-ab42-285120dbd9fc"]}],"mendeley":{"formattedCitation":"&lt;sup&gt;8&lt;/sup&gt;","plainTextFormattedCitation":"8","previouslyFormattedCitation":"&lt;sup&gt;8&lt;/sup&gt;"},"properties":{"noteIndex":0},"schema":"https://github.com/citation-style-language/schema/raw/master/csl-citation.json"}</w:instrText>
      </w:r>
      <w:r>
        <w:rPr>
          <w:lang w:val="en-US"/>
        </w:rPr>
        <w:fldChar w:fldCharType="separate"/>
      </w:r>
      <w:r w:rsidR="00B04084" w:rsidRPr="00B04084">
        <w:rPr>
          <w:noProof/>
          <w:vertAlign w:val="superscript"/>
          <w:lang w:val="en-US"/>
        </w:rPr>
        <w:t>8</w:t>
      </w:r>
      <w:r>
        <w:rPr>
          <w:lang w:val="en-US"/>
        </w:rPr>
        <w:fldChar w:fldCharType="end"/>
      </w:r>
      <w:r>
        <w:rPr>
          <w:lang w:val="en-US"/>
        </w:rPr>
        <w:t xml:space="preserve"> as opposed to 2.3 and 2.4 fold in our exploratory analysis </w:t>
      </w:r>
      <w:r w:rsidR="001433EE">
        <w:rPr>
          <w:lang w:val="en-US"/>
        </w:rPr>
        <w:t>(Supplementary figure 5)</w:t>
      </w:r>
      <w:r>
        <w:rPr>
          <w:lang w:val="en-US"/>
        </w:rPr>
        <w:t>.</w:t>
      </w:r>
    </w:p>
    <w:p w14:paraId="16E8C90C" w14:textId="2DE495BF" w:rsidR="00AA75D7" w:rsidRDefault="00AA75D7" w:rsidP="00AA75D7">
      <w:pPr>
        <w:rPr>
          <w:lang w:val="en-US"/>
        </w:rPr>
      </w:pPr>
      <w:r>
        <w:rPr>
          <w:lang w:val="en-US"/>
        </w:rPr>
        <w:t>In addition to the performance of our PGS predictions on an overall level, we also assessed the robustness of these two different PGS on a per user level. We compared the risk percentiles each individual is part of based on the 2 PGS calculated using the 2 different GWAS significance thresholds. We found that the results on a per person level can greatly differ,</w:t>
      </w:r>
      <w:r w:rsidRPr="006A7038">
        <w:rPr>
          <w:lang w:val="en-US"/>
        </w:rPr>
        <w:t xml:space="preserve"> </w:t>
      </w:r>
      <w:r>
        <w:rPr>
          <w:lang w:val="en-US"/>
        </w:rPr>
        <w:t>while AUROCs using these different cutoffs only differed marginally (</w:t>
      </w:r>
      <w:r w:rsidR="001433EE">
        <w:rPr>
          <w:lang w:val="en-US"/>
        </w:rPr>
        <w:t>Supplementary figure 5</w:t>
      </w:r>
      <w:r w:rsidR="00F75FAB">
        <w:rPr>
          <w:lang w:val="en-US"/>
        </w:rPr>
        <w:t>, Supplementary table 2</w:t>
      </w:r>
      <w:r>
        <w:rPr>
          <w:lang w:val="en-US"/>
        </w:rPr>
        <w:t>). We found that the Pearson correlation between the predicted risk percentiles of these two PGS was 0.36</w:t>
      </w:r>
      <w:r w:rsidR="00F75FAB">
        <w:rPr>
          <w:lang w:val="en-US"/>
        </w:rPr>
        <w:t xml:space="preserve"> for T2D an</w:t>
      </w:r>
      <w:r w:rsidR="00A2153E">
        <w:rPr>
          <w:lang w:val="en-US"/>
        </w:rPr>
        <w:t>d</w:t>
      </w:r>
      <w:r w:rsidR="00F75FAB">
        <w:rPr>
          <w:lang w:val="en-US"/>
        </w:rPr>
        <w:t xml:space="preserve"> 0.37 for CAD in the UKB</w:t>
      </w:r>
      <w:r>
        <w:rPr>
          <w:lang w:val="en-US"/>
        </w:rPr>
        <w:t>.</w:t>
      </w:r>
    </w:p>
    <w:p w14:paraId="7D68FAD2" w14:textId="78D6E283" w:rsidR="002E1A53" w:rsidRDefault="002E1A53" w:rsidP="002E1A53">
      <w:pPr>
        <w:rPr>
          <w:lang w:val="en-US"/>
        </w:rPr>
      </w:pPr>
      <w:r>
        <w:rPr>
          <w:lang w:val="en-US"/>
        </w:rPr>
        <w:t>We concluded</w:t>
      </w:r>
      <w:r w:rsidR="00A2153E">
        <w:rPr>
          <w:lang w:val="en-US"/>
        </w:rPr>
        <w:t xml:space="preserve"> that</w:t>
      </w:r>
      <w:r>
        <w:rPr>
          <w:lang w:val="en-US"/>
        </w:rPr>
        <w:t>, if the predictive power of PGS at both cutoffs is similar but the individual results differ, that both PGS lists harbor different information. As such, a combined model based on both PGS scores should result in more accurate predictions. Indeed, we observe that a model based on both PGS</w:t>
      </w:r>
      <w:r w:rsidR="00CE79D7">
        <w:rPr>
          <w:lang w:val="en-US"/>
        </w:rPr>
        <w:t xml:space="preserve"> combined</w:t>
      </w:r>
      <w:r>
        <w:rPr>
          <w:lang w:val="en-US"/>
        </w:rPr>
        <w:t xml:space="preserve"> finds</w:t>
      </w:r>
      <w:r w:rsidR="00613E78">
        <w:rPr>
          <w:lang w:val="en-US"/>
        </w:rPr>
        <w:t xml:space="preserve"> </w:t>
      </w:r>
      <w:r w:rsidR="00CE79D7">
        <w:rPr>
          <w:lang w:val="en-US"/>
        </w:rPr>
        <w:t xml:space="preserve">has an increased </w:t>
      </w:r>
      <w:r w:rsidR="00A2153E">
        <w:rPr>
          <w:lang w:val="en-US"/>
        </w:rPr>
        <w:t xml:space="preserve">AUROC </w:t>
      </w:r>
      <w:r w:rsidR="00CE79D7">
        <w:rPr>
          <w:lang w:val="en-US"/>
        </w:rPr>
        <w:t xml:space="preserve">compared to the best performing one of either separate. The </w:t>
      </w:r>
      <w:r w:rsidR="00613E78">
        <w:rPr>
          <w:lang w:val="en-US"/>
        </w:rPr>
        <w:t>AU</w:t>
      </w:r>
      <w:r w:rsidR="00CE79D7">
        <w:rPr>
          <w:lang w:val="en-US"/>
        </w:rPr>
        <w:t>RO</w:t>
      </w:r>
      <w:r w:rsidR="00613E78">
        <w:rPr>
          <w:lang w:val="en-US"/>
        </w:rPr>
        <w:t xml:space="preserve">C </w:t>
      </w:r>
      <w:r w:rsidR="00CE79D7">
        <w:rPr>
          <w:lang w:val="en-US"/>
        </w:rPr>
        <w:t xml:space="preserve">increases from </w:t>
      </w:r>
      <w:r w:rsidR="00613E78">
        <w:rPr>
          <w:lang w:val="en-US"/>
        </w:rPr>
        <w:t>0.626 (95 CI: 0.62-0.632) to 0.644 (95 CI: 0.638-0.650) and 0.6</w:t>
      </w:r>
      <w:r w:rsidR="00CE79D7">
        <w:rPr>
          <w:lang w:val="en-US"/>
        </w:rPr>
        <w:t>23 (95 CI: 0.618-0.628)</w:t>
      </w:r>
      <w:r w:rsidR="00613E78">
        <w:rPr>
          <w:lang w:val="en-US"/>
        </w:rPr>
        <w:t xml:space="preserve"> to 0.633 (95 CI: 0.6</w:t>
      </w:r>
      <w:r w:rsidR="00CE79D7">
        <w:rPr>
          <w:lang w:val="en-US"/>
        </w:rPr>
        <w:t>27</w:t>
      </w:r>
      <w:r w:rsidR="00613E78">
        <w:rPr>
          <w:lang w:val="en-US"/>
        </w:rPr>
        <w:t>-0.6</w:t>
      </w:r>
      <w:r w:rsidR="00CE79D7">
        <w:rPr>
          <w:lang w:val="en-US"/>
        </w:rPr>
        <w:t>38</w:t>
      </w:r>
      <w:r w:rsidR="00613E78">
        <w:rPr>
          <w:lang w:val="en-US"/>
        </w:rPr>
        <w:t>) (Supplementary table 1) and</w:t>
      </w:r>
      <w:r>
        <w:rPr>
          <w:lang w:val="en-US"/>
        </w:rPr>
        <w:t xml:space="preserve"> the outcome odds ratios for individuals in the highest risk decile are 2.</w:t>
      </w:r>
      <w:r w:rsidR="00F75FAB">
        <w:rPr>
          <w:lang w:val="en-US"/>
        </w:rPr>
        <w:t>5</w:t>
      </w:r>
      <w:r>
        <w:rPr>
          <w:lang w:val="en-US"/>
        </w:rPr>
        <w:t xml:space="preserve"> and 2.</w:t>
      </w:r>
      <w:r w:rsidR="00F75FAB">
        <w:rPr>
          <w:lang w:val="en-US"/>
        </w:rPr>
        <w:t>5</w:t>
      </w:r>
      <w:r w:rsidR="00325E06">
        <w:rPr>
          <w:lang w:val="en-US"/>
        </w:rPr>
        <w:t xml:space="preserve"> (supplementary figure 6, supplementary table 1)</w:t>
      </w:r>
      <w:r>
        <w:rPr>
          <w:lang w:val="en-US"/>
        </w:rPr>
        <w:t>, for T2D and CAD respectively, compared to the</w:t>
      </w:r>
      <w:r w:rsidR="002F6319">
        <w:rPr>
          <w:lang w:val="en-US"/>
        </w:rPr>
        <w:t xml:space="preserve"> approximate</w:t>
      </w:r>
      <w:r>
        <w:rPr>
          <w:lang w:val="en-US"/>
        </w:rPr>
        <w:t xml:space="preserve"> 2.5 and 2.9 fold</w:t>
      </w:r>
      <w:r w:rsidR="00D256FE">
        <w:rPr>
          <w:lang w:val="en-US"/>
        </w:rPr>
        <w:t xml:space="preserve"> </w:t>
      </w:r>
      <w:r>
        <w:rPr>
          <w:lang w:val="en-US"/>
        </w:rPr>
        <w:t xml:space="preserve">reported earlier in literature </w:t>
      </w:r>
      <w:r w:rsidR="002F6319">
        <w:rPr>
          <w:lang w:val="en-US"/>
        </w:rPr>
        <w:fldChar w:fldCharType="begin" w:fldLock="1"/>
      </w:r>
      <w:r w:rsidR="00393E8E">
        <w:rPr>
          <w:lang w:val="en-US"/>
        </w:rPr>
        <w:instrText>ADDIN CSL_CITATION {"citationItems":[{"id":"ITEM-1","itemData":{"DOI":"10.1038/s41588-018-0183-z","ISSN":"15461718","PMID":"30104762","abstract":"A key public health need is to identify individuals at high risk for a given disease to enable enhanced screening or preventive therapies. Because most common diseases have a genetic component, one important approach is to stratify individuals based on inherited DNA variation 1 . Proposed clinical applications have largely focused on finding carriers of rare monogenic mutations at several-fold increased risk. Although most disease risk is polygenic in nature 2–5 , it has not yet been possible to use polygenic predictors to identify individuals at risk comparable to monogenic mutations. Here, we develop and validate genome-wide polygenic scores for five common diseases. The approach identifies 8.0, 6.1, 3.5, 3.2, and 1.5% of the population at greater than threefold increased risk for coronary artery disease, atrial fibrillation, type 2 diabetes, inflammatory bowel disease, and breast cancer, respectively. For coronary artery disease, this prevalence is 20-fold higher than the carrier frequency of rare monogenic mutations conferring comparable risk 6 . We propose that it is time to contemplate the inclusion of polygenic risk prediction in clinical care, and discuss relevant issues.","author":[{"dropping-particle":"V.","family":"Khera","given":"Amit","non-dropping-particle":"","parse-names":false,"suffix":""},{"dropping-particle":"","family":"Chaffin","given":"Mark","non-dropping-particle":"","parse-names":false,"suffix":""},{"dropping-particle":"","family":"Aragam","given":"Krishna G.","non-dropping-particle":"","parse-names":false,"suffix":""},{"dropping-particle":"","family":"Haas","given":"Mary E.","non-dropping-particle":"","parse-names":false,"suffix":""},{"dropping-particle":"","family":"Roselli","given":"Carolina","non-dropping-particle":"","parse-names":false,"suffix":""},{"dropping-particle":"","family":"Choi","given":"Seung Hoan","non-dropping-particle":"","parse-names":false,"suffix":""},{"dropping-particle":"","family":"Natarajan","given":"Pradeep","non-dropping-particle":"","parse-names":false,"suffix":""},{"dropping-particle":"","family":"Lander","given":"Eric S.","non-dropping-particle":"","parse-names":false,"suffix":""},{"dropping-particle":"","family":"Lubitz","given":"Steven A.","non-dropping-particle":"","parse-names":false,"suffix":""},{"dropping-particle":"","family":"Ellinor","given":"Patrick T.","non-dropping-particle":"","parse-names":false,"suffix":""},{"dropping-particle":"","family":"Kathiresan","given":"Sekar","non-dropping-particle":"","parse-names":false,"suffix":""}],"container-title":"Nature Genetics","id":"ITEM-1","issue":"9","issued":{"date-parts":[["2018","9","1"]]},"page":"1219-1224","publisher":"Nature Publishing Group","title":"Genome-wide polygenic scores for common diseases identify individuals with risk equivalent to monogenic mutations","type":"article","volume":"50"},"uris":["http://www.mendeley.com/documents/?uuid=fc055422-a9b3-3c8c-ab42-285120dbd9fc"]},{"id":"ITEM-2","itemData":{"DOI":"10.1101/727057","abstract":"Background Polygenic risk scores (PRS) have shown promise in predicting susceptibility to common diseases. However, the extent to which PRS and clinical risk factors act jointly and identify high-risk individuals for early onset of disease is unknown.\n\nMethods We used large-scale biobank data (the FinnGen study; n=135,300), with up to 46 years of prospective follow-up, and the FINRISK study with standardized clinical risk factor measurements to build genome-wide PRSs with &gt;6M variants for coronary heart disease (CHD), type 2 diabetes (T2D), atrial fibrillation (AF), and breast and prostate cancer. We evaluated their associations with first disease events, age at disease onset, and impact together with routinely used clinical risk scores for predicting future disease.\n\nResults Compared to the 20-80th percentiles, a PRS in the top 2.5% translated into hazard ratios (HRs) for incident disease ranging from 2.03 to 4.28 (p-values 1.96×10−59 to &lt;1.00×10−100) and the bottom 2.5% into HRs ranging from 0.20 to 0.61. The estimated difference in age at disease onset between top and bottom 2.5% of PRSs was 6 to 13 years. Among early-onset cases, 21.3-32.9% had a PRS in the highest decile and in CHD and AF.\n\nConclusions The properties of PRS were similar in all five diseases. PRS identified a considerable proportion early-onset cases, and for all ages the performance of PRS was comparable to established clinical risk scores. These findings warrant further clinical studies on application of polygenic risk information for stratified screening or for guiding lifestyle and preventive medical interventions.","author":[{"dropping-particle":"","family":"Mars","given":"Nina J.","non-dropping-particle":"","parse-names":false,"suffix":""},{"dropping-particle":"","family":"Koskela","given":"Jukka T.","non-dropping-particle":"","parse-names":false,"suffix":""},{"dropping-particle":"","family":"Ripatti","given":"Pietari","non-dropping-particle":"","parse-names":false,"suffix":""},{"dropping-particle":"","family":"Kiiskinen","given":"Tuomo T.J.","non-dropping-particle":"","parse-names":false,"suffix":""},{"dropping-particle":"","family":"Havulinna","given":"Aki S.","non-dropping-particle":"","parse-names":false,"suffix":""},{"dropping-particle":"V.","family":"Lindbohm","given":"Joni","non-dropping-particle":"","parse-names":false,"suffix":""},{"dropping-particle":"","family":"Ahola-Olli","given":"Ari","non-dropping-particle":"","parse-names":false,"suffix":""},{"dropping-particle":"","family":"Kurki","given":"Mitja","non-dropping-particle":"","parse-names":false,"suffix":""},{"dropping-particle":"","family":"Karjalainen","given":"Juha","non-dropping-particle":"","parse-names":false,"suffix":""},{"dropping-particle":"","family":"Palta","given":"Priit","non-dropping-particle":"","parse-names":false,"suffix":""},{"dropping-particle":"","family":"FinnGen","given":"","non-dropping-particle":"","parse-names":false,"suffix":""},{"dropping-particle":"","family":"Neale","given":"Benjamin M.","non-dropping-particle":"","parse-names":false,"suffix":""},{"dropping-particle":"","family":"Daly","given":"Mark","non-dropping-particle":"","parse-names":false,"suffix":""},{"dropping-particle":"","family":"Salomaa","given":"Veikko","non-dropping-particle":"","parse-names":false,"suffix":""},{"dropping-particle":"","family":"Palotie","given":"Aarno","non-dropping-particle":"","parse-names":false,"suffix":""},{"dropping-particle":"","family":"Widén","given":"Elisabeth","non-dropping-particle":"","parse-names":false,"suffix":""},{"dropping-particle":"","family":"Ripatti","given":"Samuli","non-dropping-particle":"","parse-names":false,"suffix":""}],"container-title":"bioRxiv","id":"ITEM-2","issued":{"date-parts":[["2019","8","6"]]},"page":"727057","publisher":"Cold Spring Harbor Laboratory","title":"Polygenic and clinical risk scores and their impact on age at onset of cardiometabolic diseases and common cancers","type":"article-journal"},"uris":["http://www.mendeley.com/documents/?uuid=1197b6da-30d9-3ef5-84f7-5ef501cae00f"]}],"mendeley":{"formattedCitation":"&lt;sup&gt;8,9&lt;/sup&gt;","plainTextFormattedCitation":"8,9","previouslyFormattedCitation":"&lt;sup&gt;8,9&lt;/sup&gt;"},"properties":{"noteIndex":0},"schema":"https://github.com/citation-style-language/schema/raw/master/csl-citation.json"}</w:instrText>
      </w:r>
      <w:r w:rsidR="002F6319">
        <w:rPr>
          <w:lang w:val="en-US"/>
        </w:rPr>
        <w:fldChar w:fldCharType="separate"/>
      </w:r>
      <w:r w:rsidR="00B04084" w:rsidRPr="00B04084">
        <w:rPr>
          <w:noProof/>
          <w:vertAlign w:val="superscript"/>
          <w:lang w:val="en-US"/>
        </w:rPr>
        <w:t>8,9</w:t>
      </w:r>
      <w:r w:rsidR="002F6319">
        <w:rPr>
          <w:lang w:val="en-US"/>
        </w:rPr>
        <w:fldChar w:fldCharType="end"/>
      </w:r>
      <w:r>
        <w:rPr>
          <w:lang w:val="en-US"/>
        </w:rPr>
        <w:t xml:space="preserve">. </w:t>
      </w:r>
      <w:r w:rsidR="00A2153E">
        <w:rPr>
          <w:lang w:val="en-US"/>
        </w:rPr>
        <w:t>W</w:t>
      </w:r>
      <w:r w:rsidRPr="0CFB28C1">
        <w:rPr>
          <w:lang w:val="en-US"/>
        </w:rPr>
        <w:t>e initially chose our approach as a quick and simple test but found that after combining the results for 2 different thresholds</w:t>
      </w:r>
      <w:r w:rsidR="00A2153E">
        <w:rPr>
          <w:lang w:val="en-US"/>
        </w:rPr>
        <w:t>,</w:t>
      </w:r>
      <w:r w:rsidRPr="0CFB28C1">
        <w:rPr>
          <w:lang w:val="en-US"/>
        </w:rPr>
        <w:t xml:space="preserve"> the performance was similar to that of far more computationally intense methods</w:t>
      </w:r>
      <w:r>
        <w:rPr>
          <w:lang w:val="en-US"/>
        </w:rPr>
        <w:t xml:space="preserve"> </w:t>
      </w:r>
      <w:r>
        <w:rPr>
          <w:lang w:val="en-US"/>
        </w:rPr>
        <w:fldChar w:fldCharType="begin" w:fldLock="1"/>
      </w:r>
      <w:r w:rsidR="00393E8E">
        <w:rPr>
          <w:lang w:val="en-US"/>
        </w:rPr>
        <w:instrText>ADDIN CSL_CITATION {"citationItems":[{"id":"ITEM-1","itemData":{"DOI":"10.1038/s41588-018-0183-z","ISSN":"15461718","PMID":"30104762","abstract":"A key public health need is to identify individuals at high risk for a given disease to enable enhanced screening or preventive therapies. Because most common diseases have a genetic component, one important approach is to stratify individuals based on inherited DNA variation 1 . Proposed clinical applications have largely focused on finding carriers of rare monogenic mutations at several-fold increased risk. Although most disease risk is polygenic in nature 2–5 , it has not yet been possible to use polygenic predictors to identify individuals at risk comparable to monogenic mutations. Here, we develop and validate genome-wide polygenic scores for five common diseases. The approach identifies 8.0, 6.1, 3.5, 3.2, and 1.5% of the population at greater than threefold increased risk for coronary artery disease, atrial fibrillation, type 2 diabetes, inflammatory bowel disease, and breast cancer, respectively. For coronary artery disease, this prevalence is 20-fold higher than the carrier frequency of rare monogenic mutations conferring comparable risk 6 . We propose that it is time to contemplate the inclusion of polygenic risk prediction in clinical care, and discuss relevant issues.","author":[{"dropping-particle":"V.","family":"Khera","given":"Amit","non-dropping-particle":"","parse-names":false,"suffix":""},{"dropping-particle":"","family":"Chaffin","given":"Mark","non-dropping-particle":"","parse-names":false,"suffix":""},{"dropping-particle":"","family":"Aragam","given":"Krishna G.","non-dropping-particle":"","parse-names":false,"suffix":""},{"dropping-particle":"","family":"Haas","given":"Mary E.","non-dropping-particle":"","parse-names":false,"suffix":""},{"dropping-particle":"","family":"Roselli","given":"Carolina","non-dropping-particle":"","parse-names":false,"suffix":""},{"dropping-particle":"","family":"Choi","given":"Seung Hoan","non-dropping-particle":"","parse-names":false,"suffix":""},{"dropping-particle":"","family":"Natarajan","given":"Pradeep","non-dropping-particle":"","parse-names":false,"suffix":""},{"dropping-particle":"","family":"Lander","given":"Eric S.","non-dropping-particle":"","parse-names":false,"suffix":""},{"dropping-particle":"","family":"Lubitz","given":"Steven A.","non-dropping-particle":"","parse-names":false,"suffix":""},{"dropping-particle":"","family":"Ellinor","given":"Patrick T.","non-dropping-particle":"","parse-names":false,"suffix":""},{"dropping-particle":"","family":"Kathiresan","given":"Sekar","non-dropping-particle":"","parse-names":false,"suffix":""}],"container-title":"Nature Genetics","id":"ITEM-1","issue":"9","issued":{"date-parts":[["2018","9","1"]]},"page":"1219-1224","publisher":"Nature Publishing Group","title":"Genome-wide polygenic scores for common diseases identify individuals with risk equivalent to monogenic mutations","type":"article","volume":"50"},"uris":["http://www.mendeley.com/documents/?uuid=fc055422-a9b3-3c8c-ab42-285120dbd9fc"]}],"mendeley":{"formattedCitation":"&lt;sup&gt;8&lt;/sup&gt;","plainTextFormattedCitation":"8","previouslyFormattedCitation":"&lt;sup&gt;8&lt;/sup&gt;"},"properties":{"noteIndex":0},"schema":"https://github.com/citation-style-language/schema/raw/master/csl-citation.json"}</w:instrText>
      </w:r>
      <w:r>
        <w:rPr>
          <w:lang w:val="en-US"/>
        </w:rPr>
        <w:fldChar w:fldCharType="separate"/>
      </w:r>
      <w:r w:rsidR="00B04084" w:rsidRPr="00B04084">
        <w:rPr>
          <w:noProof/>
          <w:vertAlign w:val="superscript"/>
          <w:lang w:val="en-US"/>
        </w:rPr>
        <w:t>8</w:t>
      </w:r>
      <w:r>
        <w:rPr>
          <w:lang w:val="en-US"/>
        </w:rPr>
        <w:fldChar w:fldCharType="end"/>
      </w:r>
      <w:r w:rsidRPr="0CFB28C1">
        <w:rPr>
          <w:lang w:val="en-US"/>
        </w:rPr>
        <w:t xml:space="preserve"> and decided to </w:t>
      </w:r>
      <w:r>
        <w:rPr>
          <w:lang w:val="en-US"/>
        </w:rPr>
        <w:t>use our</w:t>
      </w:r>
      <w:r w:rsidRPr="0CFB28C1">
        <w:rPr>
          <w:lang w:val="en-US"/>
        </w:rPr>
        <w:t xml:space="preserve"> approach</w:t>
      </w:r>
      <w:r>
        <w:rPr>
          <w:lang w:val="en-US"/>
        </w:rPr>
        <w:t>, but acknowledge that there is likely room for further minor improvements trying different strategies</w:t>
      </w:r>
      <w:r w:rsidR="009C672C">
        <w:rPr>
          <w:lang w:val="en-US"/>
        </w:rPr>
        <w:t>, albeit at the cost of introducing</w:t>
      </w:r>
      <w:r w:rsidR="00F75FAB">
        <w:rPr>
          <w:lang w:val="en-US"/>
        </w:rPr>
        <w:t xml:space="preserve"> some</w:t>
      </w:r>
      <w:r w:rsidR="009C672C">
        <w:rPr>
          <w:lang w:val="en-US"/>
        </w:rPr>
        <w:t xml:space="preserve"> bias due to multiple testing</w:t>
      </w:r>
      <w:r w:rsidRPr="0CFB28C1">
        <w:rPr>
          <w:lang w:val="en-US"/>
        </w:rPr>
        <w:t>.</w:t>
      </w:r>
      <w:r w:rsidRPr="00BA5970">
        <w:rPr>
          <w:lang w:val="en-US"/>
        </w:rPr>
        <w:t xml:space="preserve"> </w:t>
      </w:r>
    </w:p>
    <w:p w14:paraId="0397B640" w14:textId="79E2DE37" w:rsidR="003B13C6" w:rsidRDefault="003B13C6" w:rsidP="003B13C6">
      <w:pPr>
        <w:rPr>
          <w:lang w:val="en-US"/>
        </w:rPr>
      </w:pPr>
      <w:r w:rsidRPr="0CFB28C1">
        <w:rPr>
          <w:lang w:val="en-US"/>
        </w:rPr>
        <w:t>As reported previously</w:t>
      </w:r>
      <w:r>
        <w:rPr>
          <w:lang w:val="en-US"/>
        </w:rPr>
        <w:fldChar w:fldCharType="begin" w:fldLock="1"/>
      </w:r>
      <w:r w:rsidR="00393E8E">
        <w:rPr>
          <w:lang w:val="en-US"/>
        </w:rPr>
        <w:instrText>ADDIN CSL_CITATION {"citationItems":[{"id":"ITEM-1","itemData":{"DOI":"10.1038/s41588-018-0183-z","ISSN":"15461718","PMID":"30104762","abstract":"A key public health need is to identify individuals at high risk for a given disease to enable enhanced screening or preventive therapies. Because most common diseases have a genetic component, one important approach is to stratify individuals based on inherited DNA variation 1 . Proposed clinical applications have largely focused on finding carriers of rare monogenic mutations at several-fold increased risk. Although most disease risk is polygenic in nature 2–5 , it has not yet been possible to use polygenic predictors to identify individuals at risk comparable to monogenic mutations. Here, we develop and validate genome-wide polygenic scores for five common diseases. The approach identifies 8.0, 6.1, 3.5, 3.2, and 1.5% of the population at greater than threefold increased risk for coronary artery disease, atrial fibrillation, type 2 diabetes, inflammatory bowel disease, and breast cancer, respectively. For coronary artery disease, this prevalence is 20-fold higher than the carrier frequency of rare monogenic mutations conferring comparable risk 6 . We propose that it is time to contemplate the inclusion of polygenic risk prediction in clinical care, and discuss relevant issues.","author":[{"dropping-particle":"V.","family":"Khera","given":"Amit","non-dropping-particle":"","parse-names":false,"suffix":""},{"dropping-particle":"","family":"Chaffin","given":"Mark","non-dropping-particle":"","parse-names":false,"suffix":""},{"dropping-particle":"","family":"Aragam","given":"Krishna G.","non-dropping-particle":"","parse-names":false,"suffix":""},{"dropping-particle":"","family":"Haas","given":"Mary E.","non-dropping-particle":"","parse-names":false,"suffix":""},{"dropping-particle":"","family":"Roselli","given":"Carolina","non-dropping-particle":"","parse-names":false,"suffix":""},{"dropping-particle":"","family":"Choi","given":"Seung Hoan","non-dropping-particle":"","parse-names":false,"suffix":""},{"dropping-particle":"","family":"Natarajan","given":"Pradeep","non-dropping-particle":"","parse-names":false,"suffix":""},{"dropping-particle":"","family":"Lander","given":"Eric S.","non-dropping-particle":"","parse-names":false,"suffix":""},{"dropping-particle":"","family":"Lubitz","given":"Steven A.","non-dropping-particle":"","parse-names":false,"suffix":""},{"dropping-particle":"","family":"Ellinor","given":"Patrick T.","non-dropping-particle":"","parse-names":false,"suffix":""},{"dropping-particle":"","family":"Kathiresan","given":"Sekar","non-dropping-particle":"","parse-names":false,"suffix":""}],"container-title":"Nature Genetics","id":"ITEM-1","issue":"9","issued":{"date-parts":[["2018","9","1"]]},"page":"1219-1224","publisher":"Nature Publishing Group","title":"Genome-wide polygenic scores for common diseases identify individuals with risk equivalent to monogenic mutations","type":"article","volume":"50"},"uris":["http://www.mendeley.com/documents/?uuid=fc055422-a9b3-3c8c-ab42-285120dbd9fc"]},{"id":"ITEM-2","itemData":{"DOI":"10.1101/727057","abstract":"Background Polygenic risk scores (PRS) have shown promise in predicting susceptibility to common diseases. However, the extent to which PRS and clinical risk factors act jointly and identify high-risk individuals for early onset of disease is unknown.\n\nMethods We used large-scale biobank data (the FinnGen study; n=135,300), with up to 46 years of prospective follow-up, and the FINRISK study with standardized clinical risk factor measurements to build genome-wide PRSs with &gt;6M variants for coronary heart disease (CHD), type 2 diabetes (T2D), atrial fibrillation (AF), and breast and prostate cancer. We evaluated their associations with first disease events, age at disease onset, and impact together with routinely used clinical risk scores for predicting future disease.\n\nResults Compared to the 20-80th percentiles, a PRS in the top 2.5% translated into hazard ratios (HRs) for incident disease ranging from 2.03 to 4.28 (p-values 1.96×10−59 to &lt;1.00×10−100) and the bottom 2.5% into HRs ranging from 0.20 to 0.61. The estimated difference in age at disease onset between top and bottom 2.5% of PRSs was 6 to 13 years. Among early-onset cases, 21.3-32.9% had a PRS in the highest decile and in CHD and AF.\n\nConclusions The properties of PRS were similar in all five diseases. PRS identified a considerable proportion early-onset cases, and for all ages the performance of PRS was comparable to established clinical risk scores. These findings warrant further clinical studies on application of polygenic risk information for stratified screening or for guiding lifestyle and preventive medical interventions.","author":[{"dropping-particle":"","family":"Mars","given":"Nina J.","non-dropping-particle":"","parse-names":false,"suffix":""},{"dropping-particle":"","family":"Koskela","given":"Jukka T.","non-dropping-particle":"","parse-names":false,"suffix":""},{"dropping-particle":"","family":"Ripatti","given":"Pietari","non-dropping-particle":"","parse-names":false,"suffix":""},{"dropping-particle":"","family":"Kiiskinen","given":"Tuomo T.J.","non-dropping-particle":"","parse-names":false,"suffix":""},{"dropping-particle":"","family":"Havulinna","given":"Aki S.","non-dropping-particle":"","parse-names":false,"suffix":""},{"dropping-particle":"V.","family":"Lindbohm","given":"Joni","non-dropping-particle":"","parse-names":false,"suffix":""},{"dropping-particle":"","family":"Ahola-Olli","given":"Ari","non-dropping-particle":"","parse-names":false,"suffix":""},{"dropping-particle":"","family":"Kurki","given":"Mitja","non-dropping-particle":"","parse-names":false,"suffix":""},{"dropping-particle":"","family":"Karjalainen","given":"Juha","non-dropping-particle":"","parse-names":false,"suffix":""},{"dropping-particle":"","family":"Palta","given":"Priit","non-dropping-particle":"","parse-names":false,"suffix":""},{"dropping-particle":"","family":"FinnGen","given":"","non-dropping-particle":"","parse-names":false,"suffix":""},{"dropping-particle":"","family":"Neale","given":"Benjamin M.","non-dropping-particle":"","parse-names":false,"suffix":""},{"dropping-particle":"","family":"Daly","given":"Mark","non-dropping-particle":"","parse-names":false,"suffix":""},{"dropping-particle":"","family":"Salomaa","given":"Veikko","non-dropping-particle":"","parse-names":false,"suffix":""},{"dropping-particle":"","family":"Palotie","given":"Aarno","non-dropping-particle":"","parse-names":false,"suffix":""},{"dropping-particle":"","family":"Widén","given":"Elisabeth","non-dropping-particle":"","parse-names":false,"suffix":""},{"dropping-particle":"","family":"Ripatti","given":"Samuli","non-dropping-particle":"","parse-names":false,"suffix":""}],"container-title":"bioRxiv","id":"ITEM-2","issued":{"date-parts":[["2019","8","6"]]},"page":"727057","publisher":"Cold Spring Harbor Laboratory","title":"Polygenic and clinical risk scores and their impact on age at onset of cardiometabolic diseases and common cancers","type":"article-journal"},"uris":["http://www.mendeley.com/documents/?uuid=1197b6da-30d9-3ef5-84f7-5ef501cae00f"]}],"mendeley":{"formattedCitation":"&lt;sup&gt;8,9&lt;/sup&gt;","plainTextFormattedCitation":"8,9","previouslyFormattedCitation":"&lt;sup&gt;8,9&lt;/sup&gt;"},"properties":{"noteIndex":0},"schema":"https://github.com/citation-style-language/schema/raw/master/csl-citation.json"}</w:instrText>
      </w:r>
      <w:r>
        <w:rPr>
          <w:lang w:val="en-US"/>
        </w:rPr>
        <w:fldChar w:fldCharType="separate"/>
      </w:r>
      <w:r w:rsidR="00B04084" w:rsidRPr="00B04084">
        <w:rPr>
          <w:noProof/>
          <w:vertAlign w:val="superscript"/>
          <w:lang w:val="en-US"/>
        </w:rPr>
        <w:t>8,9</w:t>
      </w:r>
      <w:r>
        <w:rPr>
          <w:lang w:val="en-US"/>
        </w:rPr>
        <w:fldChar w:fldCharType="end"/>
      </w:r>
      <w:r w:rsidRPr="0CFB28C1">
        <w:rPr>
          <w:lang w:val="en-US"/>
        </w:rPr>
        <w:t xml:space="preserve">, we </w:t>
      </w:r>
      <w:r>
        <w:rPr>
          <w:lang w:val="en-US"/>
        </w:rPr>
        <w:t>found</w:t>
      </w:r>
      <w:r w:rsidRPr="0CFB28C1">
        <w:rPr>
          <w:lang w:val="en-US"/>
        </w:rPr>
        <w:t xml:space="preserve"> that individuals in the highest decile have a substantially higher risk of the respective disease and see these are consistent across different ages</w:t>
      </w:r>
      <w:r>
        <w:rPr>
          <w:lang w:val="en-US"/>
        </w:rPr>
        <w:t xml:space="preserve"> in the UK Biobank</w:t>
      </w:r>
      <w:r w:rsidRPr="0CFB28C1">
        <w:rPr>
          <w:lang w:val="en-US"/>
        </w:rPr>
        <w:t xml:space="preserve"> (</w:t>
      </w:r>
      <w:r w:rsidR="002F6319">
        <w:rPr>
          <w:lang w:val="en-US"/>
        </w:rPr>
        <w:t>Figure2, supplementary figure 6, supplementary table 1</w:t>
      </w:r>
      <w:r w:rsidRPr="0CFB28C1">
        <w:rPr>
          <w:lang w:val="en-US"/>
        </w:rPr>
        <w:t xml:space="preserve">). </w:t>
      </w:r>
      <w:r>
        <w:rPr>
          <w:lang w:val="en-US"/>
        </w:rPr>
        <w:t>Risk estimated based on PGS calculated on the</w:t>
      </w:r>
      <w:r w:rsidRPr="587FCD32">
        <w:rPr>
          <w:lang w:val="en-US"/>
        </w:rPr>
        <w:t xml:space="preserve"> Lifelines </w:t>
      </w:r>
      <w:r>
        <w:rPr>
          <w:lang w:val="en-US"/>
        </w:rPr>
        <w:t>cohort</w:t>
      </w:r>
      <w:r w:rsidRPr="587FCD32">
        <w:rPr>
          <w:lang w:val="en-US"/>
        </w:rPr>
        <w:t xml:space="preserve"> </w:t>
      </w:r>
      <w:r>
        <w:rPr>
          <w:lang w:val="en-US"/>
        </w:rPr>
        <w:t>similarly reveal a</w:t>
      </w:r>
      <w:r w:rsidRPr="587FCD32">
        <w:rPr>
          <w:lang w:val="en-US"/>
        </w:rPr>
        <w:t xml:space="preserve"> risk increase for the highest decile</w:t>
      </w:r>
      <w:r>
        <w:rPr>
          <w:lang w:val="en-US"/>
        </w:rPr>
        <w:t xml:space="preserve"> (</w:t>
      </w:r>
      <w:r w:rsidR="001D7129">
        <w:rPr>
          <w:lang w:val="en-US"/>
        </w:rPr>
        <w:t xml:space="preserve">Figure 2, </w:t>
      </w:r>
      <w:r w:rsidR="00D256FE">
        <w:rPr>
          <w:lang w:val="en-US"/>
        </w:rPr>
        <w:t>s</w:t>
      </w:r>
      <w:r w:rsidR="001D7129">
        <w:rPr>
          <w:lang w:val="en-US"/>
        </w:rPr>
        <w:t xml:space="preserve">upplementary </w:t>
      </w:r>
      <w:r w:rsidR="001D7129">
        <w:rPr>
          <w:lang w:val="en-US"/>
        </w:rPr>
        <w:lastRenderedPageBreak/>
        <w:t>t</w:t>
      </w:r>
      <w:r>
        <w:rPr>
          <w:lang w:val="en-US"/>
        </w:rPr>
        <w:t xml:space="preserve">able 1). </w:t>
      </w:r>
      <w:r w:rsidRPr="587FCD32">
        <w:rPr>
          <w:lang w:val="en-US"/>
        </w:rPr>
        <w:t>However, the confidence interval is larger</w:t>
      </w:r>
      <w:r w:rsidR="00D256FE">
        <w:rPr>
          <w:lang w:val="en-US"/>
        </w:rPr>
        <w:t xml:space="preserve"> in Lifelines</w:t>
      </w:r>
      <w:r w:rsidRPr="587FCD32">
        <w:rPr>
          <w:lang w:val="en-US"/>
        </w:rPr>
        <w:t xml:space="preserve">, </w:t>
      </w:r>
      <w:r>
        <w:rPr>
          <w:lang w:val="en-US"/>
        </w:rPr>
        <w:t>likely due to the much smaller sample size and larger age range</w:t>
      </w:r>
      <w:r w:rsidRPr="587FCD32">
        <w:rPr>
          <w:lang w:val="en-US"/>
        </w:rPr>
        <w:t xml:space="preserve">. </w:t>
      </w:r>
      <w:r>
        <w:rPr>
          <w:lang w:val="en-US"/>
        </w:rPr>
        <w:t xml:space="preserve">Additionally, </w:t>
      </w:r>
      <w:r w:rsidRPr="587FCD32">
        <w:rPr>
          <w:lang w:val="en-US"/>
        </w:rPr>
        <w:t>AUROC</w:t>
      </w:r>
      <w:r>
        <w:rPr>
          <w:lang w:val="en-US"/>
        </w:rPr>
        <w:t xml:space="preserve">s were computed </w:t>
      </w:r>
      <w:r w:rsidRPr="587FCD32">
        <w:rPr>
          <w:lang w:val="en-US"/>
        </w:rPr>
        <w:t>(</w:t>
      </w:r>
      <w:r>
        <w:rPr>
          <w:lang w:val="en-US"/>
        </w:rPr>
        <w:t>Figure</w:t>
      </w:r>
      <w:r w:rsidRPr="587FCD32">
        <w:rPr>
          <w:lang w:val="en-US"/>
        </w:rPr>
        <w:t xml:space="preserve"> </w:t>
      </w:r>
      <w:r w:rsidR="00D256FE">
        <w:rPr>
          <w:lang w:val="en-US"/>
        </w:rPr>
        <w:t>2, suppl</w:t>
      </w:r>
      <w:r w:rsidR="002F6319">
        <w:rPr>
          <w:lang w:val="en-US"/>
        </w:rPr>
        <w:t>e</w:t>
      </w:r>
      <w:r w:rsidR="00D256FE">
        <w:rPr>
          <w:lang w:val="en-US"/>
        </w:rPr>
        <w:t>mentary table 1</w:t>
      </w:r>
      <w:r w:rsidRPr="587FCD32">
        <w:rPr>
          <w:lang w:val="en-US"/>
        </w:rPr>
        <w:t>).</w:t>
      </w:r>
    </w:p>
    <w:p w14:paraId="01EBEC3C" w14:textId="77777777" w:rsidR="00667981" w:rsidRDefault="00667981" w:rsidP="003B13C6">
      <w:pPr>
        <w:rPr>
          <w:lang w:val="en-US"/>
        </w:rPr>
      </w:pPr>
    </w:p>
    <w:p w14:paraId="14B89B22" w14:textId="77777777" w:rsidR="009A1AAF" w:rsidRDefault="009A1AAF" w:rsidP="009A1AAF">
      <w:pPr>
        <w:pStyle w:val="Heading2"/>
        <w:rPr>
          <w:lang w:val="en-US"/>
        </w:rPr>
      </w:pPr>
      <w:r>
        <w:rPr>
          <w:lang w:val="en-US"/>
        </w:rPr>
        <w:t>PGS computed from better/larger GWAS predict significantly better</w:t>
      </w:r>
    </w:p>
    <w:p w14:paraId="09241CEE" w14:textId="77777777" w:rsidR="009A1AAF" w:rsidRDefault="009A1AAF" w:rsidP="009A1AAF">
      <w:pPr>
        <w:jc w:val="both"/>
        <w:rPr>
          <w:lang w:val="en-US"/>
        </w:rPr>
      </w:pPr>
      <w:r w:rsidRPr="00D75B64">
        <w:rPr>
          <w:lang w:val="en-US"/>
        </w:rPr>
        <w:t>Although this was not t</w:t>
      </w:r>
      <w:r>
        <w:rPr>
          <w:lang w:val="en-US"/>
        </w:rPr>
        <w:t xml:space="preserve">he main objective in this paper, we also attempted to obtain the best predicting PGS. Due to our access to both the UK Biobank and the Lifelines data, we were able to investigate how well PGS calculated using GWAS summary statistic files from the UK Biobank to predict T2D and CAD in Lifelines. </w:t>
      </w:r>
    </w:p>
    <w:p w14:paraId="49768511" w14:textId="34B7F6C1" w:rsidR="009A1AAF" w:rsidRDefault="009A1AAF" w:rsidP="009A1AAF">
      <w:pPr>
        <w:jc w:val="both"/>
        <w:rPr>
          <w:lang w:val="en-US"/>
        </w:rPr>
      </w:pPr>
      <w:r>
        <w:rPr>
          <w:lang w:val="en-US"/>
        </w:rPr>
        <w:t xml:space="preserve">There is a large amount of literature proving different methods to calculate PGS outperform each other or perform similarly </w:t>
      </w:r>
      <w:r>
        <w:rPr>
          <w:lang w:val="en-US"/>
        </w:rPr>
        <w:fldChar w:fldCharType="begin" w:fldLock="1"/>
      </w:r>
      <w:r w:rsidR="00393E8E">
        <w:rPr>
          <w:lang w:val="en-US"/>
        </w:rPr>
        <w:instrText>ADDIN CSL_CITATION {"citationItems":[{"id":"ITEM-1","itemData":{"DOI":"10.3389/FGENE.2021.632385","ISSN":"1664-8021","abstract":"Polygenic risk score (PRS) has been shown to be predictive of disease risk such as type 2 diabetes (T2D). However, the existing studies on genetic prediction for T2D only had limited predictive power. To further improve the predictive capability of the PRS model in identifying individuals at high T2D risk, we proposed a new three-step filtering procedure, which aimed to include truly predictive single nucleotide polymorphisms (SNPs) and avoid unpredictive ones into PRS model. First, we filtered SNPs according to the marginal association p-values (p≤5×10^(-2)) from large-scale genome-wide association studies. Second, we set LD pruning thresholds (r^2) as 0.2, 0.4, 0.6 and 0.8. Third, we set p-value thresholds as 5×10^(-2), 5×10^(-4), 5×10^(-6), and 5×10^(-8). Then we constructed and tested multiple candidate PRS models obtained by the PRSice-2 software among 182,422 individuals in the UK Biobank (UKB) testing dataset. We validated the predictive capability of the optimal PRS model that chosen from testing process in identifying individuals at high T2D risk based on UKB validation dataset (n=274,029). The prediction accuracy of PRS model evaluated by adjusted area under the receiver operating characteristics curve (AUC) showed that our PRS model had good prediction performance (AUC=0.795, 95% confidence interval (CI): [0.790,0.800]). Specifically, our PRS identified 30%, 12% and 7% of the population at greater than five-fold, six-fold and seven-fold risk for T2D respectively. After adjusting for sex, age, physical measurements and clinical factors, the AUC increased to 0.901 (95% CI: [0.897,0.904]). Therefore, our PRS model could be useful for population-level preventive T2D screening.","author":[{"dropping-particle":"","family":"Liu","given":"Wei","non-dropping-particle":"","parse-names":false,"suffix":""},{"dropping-particle":"","family":"Zhuang","given":"Zhenhuang","non-dropping-particle":"","parse-names":false,"suffix":""},{"dropping-particle":"","family":"Wang","given":"Wenxiu","non-dropping-particle":"","parse-names":false,"suffix":""},{"dropping-particle":"","family":"Huang","given":"Tao","non-dropping-particle":"","parse-names":false,"suffix":""},{"dropping-particle":"","family":"Liu","given":"Zhonghua","non-dropping-particle":"","parse-names":false,"suffix":""}],"container-title":"Frontiers in Genetics","id":"ITEM-1","issued":{"date-parts":[["2021","2","11"]]},"page":"63","publisher":"Frontiers","title":"An Improved Genome-Wide Polygenic Score Model for Predicting the Risk of Type 2 Diabetes","type":"article-journal","volume":"0"},"uris":["http://www.mendeley.com/documents/?uuid=be881ace-9e01-35dd-9558-46aab1f005e2"]},{"id":"ITEM-2","itemData":{"DOI":"10.1016/J.AJHG.2019.11.001","ISSN":"0002-9297","abstract":"Polygenic prediction has the potential to contribute to precision medicine. Clumping and thresholding (C+T) is a widely used method to derive polygenic scores. When using C+T, several p value thresholds are tested to maximize predictive ability of the derived polygenic scores. Along with this p value threshold, we propose to tune three other hyper-parameters for C+T. We implement an efficient way to derive thousands of different C+T scores corresponding to a grid over four hyper-parameters. For example, it takes a few hours to derive 123K different C+T scores for 300K individuals and 1M variants using 16 physical cores. We find that optimizing over these four hyper-parameters improves the predictive performance of C+T in both simulations and real data applications as compared to tuning only the p value threshold. A particularly large increase can be noted when predicting depression status, from an AUC of 0.557 (95% CI: [0.544–0.569]) when tuning only the p value threshold to an AUC of 0.592 (95% CI: [0.580–0.604]) when tuning all four hyper-parameters we propose for C+T. We further propose stacked clumping and thresholding (SCT), a polygenic score that results from stacking all derived C+T scores. Instead of choosing one set of hyper-parameters that maximizes prediction in some training set, SCT learns an optimal linear combination of all C+T scores by using an efficient penalized regression. We apply SCT to eight different case-control diseases in the UK biobank data and find that SCT substantially improves prediction accuracy with an average AUC increase of 0.035 over standard C+T.","author":[{"dropping-particle":"","family":"Privé","given":"Florian","non-dropping-particle":"","parse-names":false,"suffix":""},{"dropping-particle":"","family":"Vilhjálmsson","given":"Bjarni J.","non-dropping-particle":"","parse-names":false,"suffix":""},{"dropping-particle":"","family":"Aschard","given":"Hugues","non-dropping-particle":"","parse-names":false,"suffix":""},{"dropping-particle":"","family":"Blum","given":"Michael G.B.","non-dropping-particle":"","parse-names":false,"suffix":""}],"container-title":"The American Journal of Human Genetics","id":"ITEM-2","issue":"6","issued":{"date-parts":[["2019","12","5"]]},"page":"1213-1221","publisher":"Cell Press","title":"Making the Most of Clumping and Thresholding for Polygenic Scores","type":"article-journal","volume":"105"},"uris":["http://www.mendeley.com/documents/?uuid=ef1294c1-4d33-3824-a68d-afa5736f2f33"]},{"id":"ITEM-3","itemData":{"DOI":"10.1002/gepi.22050","abstract":"Polygenic scores (PGS) summarize the genetic contribution of a person's genotype to a disease or phenotype. They can be used to group participants into different risk categories for diseases, and are also used as covariates in epidemiological analyses. A number of possible ways of calculating PGS have been proposed, and recently there is much interest in methods that incorporate information available in published summary statistics. As there is no inherent information on linkage disequilibrium (LD) in summary statistics, a pertinent question is how we can use LD information available elsewhere to supplement such analyses. To answer this question, we propose a method for constructing PGS using summary statistics and a reference panel in a penalized regression framework, which we call lassosum. We also propose a general method for choosing the value of the tuning parameter in the absence of validation data. In our simulations, we showed that pseudovalidation often resulted in prediction accuracy that is comparable to using a dataset with validation phenotype and was clearly superior to the conservative option of setting the tuning parameter of lassosum to its lowest value. We also showed that lassosum achieved better prediction accuracy than simple clumping and í µí±</w:instrText>
      </w:r>
      <w:r w:rsidR="00393E8E">
        <w:rPr>
          <w:rFonts w:ascii="Calibri" w:hAnsi="Calibri" w:cs="Calibri"/>
          <w:lang w:val="en-US"/>
        </w:rPr>
        <w:instrText></w:instrText>
      </w:r>
      <w:r w:rsidR="00393E8E">
        <w:rPr>
          <w:lang w:val="en-US"/>
        </w:rPr>
        <w:instrText>-value thresholding in almost all scenarios. It was also substantially faster and more accurate than the recently proposed LDpred.","author":[{"dropping-particle":"","family":"Shin Heng Mak","given":"Timothy","non-dropping-particle":"","parse-names":false,"suffix":""},{"dropping-particle":"","family":"Milan Porsch","given":"Robert","non-dropping-particle":"","parse-names":false,"suffix":""},{"dropping-particle":"","family":"Wan Choi","given":"Shing","non-dropping-particle":"","parse-names":false,"suffix":""},{"dropping-particle":"","family":"Zhou","given":"Xueya","non-dropping-particle":"","parse-names":false,"suffix":""},{"dropping-particle":"","family":"Chung Sham","given":"Pak","non-dropping-particle":"","parse-names":false,"suffix":""},{"dropping-particle":"","family":"Kong","given":"Hong","non-dropping-particle":"","parse-names":false,"suffix":""},{"dropping-particle":"","family":"Timothy Shin Heng Mak","given":"Correspondence","non-dropping-particle":"","parse-names":false,"suffix":""},{"dropping-particle":"","family":"Chung","given":"Pak","non-dropping-particle":"","parse-names":false,"suffix":""}],"id":"ITEM-3","issued":{"date-parts":[["2017"]]},"title":"Polygenic scores via penalized regression on summary statistics","type":"article-journal"},"uris":["http://www.mendeley.com/documents/?uuid=b52e49e3-1d48-323b-9c8e-b92ac90c5f36"]},{"id":"ITEM-4","itemData":{"DOI":"10.1093/BIOINFORMATICS/BTAA1029","ISSN":"1367-4803","abstract":"Motivation: Polygenic scores have become a central tool in human genetics research. LDpred is a popular method for deriving polygenic scores based on summary statistics and a matrix of correlation between genetic variants. However, LDpred has limitations that may reduce its predictive performance. Results: Here, we present LDpred2, a new version of LDpred that addresses these issues. We also provide two new options in LDpred2: a 'sparse' option that can learn effects that are exactly 0, and an 'auto' option that directly learns the two LDpred parameters from data. We benchmark predictive performance of LDpred2 against the previous version on simulated and real data, demonstrating substantial improvements in robustness and predictive accuracy compared to LDpred1. We then show that LDpred2 also outperforms other polygenic score methods recently developed, with a mean AUC over the 8 real traits analyzed here of 65.1%, compared to 63.8% for lassosum, 62.9% for PRS-CS and 61.5% for SBayesR. Note that LDpred2 provides more accurate polygenic scores when run genome-wide, instead of per chromosome.","author":[{"dropping-particle":"","family":"Privé","given":"Florian","non-dropping-particle":"","parse-names":false,"suffix":""},{"dropping-particle":"","family":"Arbel","given":"Julyan","non-dropping-particle":"","parse-names":false,"suffix":""},{"dropping-particle":"","family":"Vilhjálmsson","given":"Bjarni J","non-dropping-particle":"","parse-names":false,"suffix":""}],"container-title":"Bioinformatics","id":"ITEM-4","issue":"22-23","issued":{"date-parts":[["2021","4","1"]]},"page":"5424-5431","publisher":"Oxford Academic","title":"LDpred2: better, faster, stronger","type":"article-journal","volume":"36"},"uris":["http://www.mendeley.com/documents/?uuid=600a3e90-3cb9-39ff-be3b-77b321235d8a"]},{"id":"ITEM-5","itemData":{"DOI":"10.1038/s41467-019-12653-0","ISSN":"2041-1723","abstract":"Accurate prediction of an individual’s phenotype from their DNA sequence is one of the great promises of genomics and precision medicine. We extend a powerful individual-level data Bayesian multiple regression model (BayesR) to one that utilises summary statistics from genome-wide association studies (GWAS), SBayesR. In simulation and cross-validation using 12 real traits and 1.1 million variants on 350,000 individuals from the UK Biobank, SBayesR improves prediction accuracy relative to commonly used state-of-the-art summary statistics methods at a fraction of the computational resources. Furthermore, using summary statistics for variants from the largest GWAS meta-analysis (n ≈ 700, 000) on height and BMI, we show that on average across traits and two independent data sets that SBayesR improves prediction R2 by 5.2% relative to LDpred and by 26.5% relative to clumping and p value thresholding. Various approaches are being used for polygenic prediction including Bayesian multiple regression methods that require access to individual-level genotype data. Here, the authors extend BayesR to utilise GWAS summary statistics (SBayesR) and show that it outperforms other summary statistic-based methods.","author":[{"dropping-particle":"","family":"Lloyd-Jones","given":"Luke R.","non-dropping-particle":"","parse-names":false,"suffix":""},{"dropping-particle":"","family":"Zeng","given":"Jian","non-dropping-particle":"","parse-names":false,"suffix":""},{"dropping-particle":"","family":"Sidorenko","given":"Julia","non-dropping-particle":"","parse-names":false,"suffix":""},{"dropping-particle":"","family":"Yengo","given":"Loïc","non-dropping-particle":"","parse-names":false,"suffix":""},{"dropping-particle":"","family":"Moser","given":"Gerhard","non-dropping-particle":"","parse-names":false,"suffix":""},{"dropping-particle":"","family":"Kemper","given":"Kathryn E.","non-dropping-particle":"","parse-names":false,"suffix":""},{"dropping-particle":"","family":"Wang","given":"Huanwei","non-dropping-particle":"","parse-names":false,"suffix":""},{"dropping-particle":"","family":"Zheng","given":"Zhili","non-dropping-particle":"","parse-names":false,"suffix":""},{"dropping-particle":"","family":"Magi","given":"Reedik","non-dropping-particle":"","parse-names":false,"suffix":""},{"dropping-particle":"","family":"Esko","given":"Tõnu","non-dropping-particle":"","parse-names":false,"suffix":""},{"dropping-particle":"","family":"Metspalu","given":"Andres","non-dropping-particle":"","parse-names":false,"suffix":""},{"dropping-particle":"","family":"Wray","given":"Naomi R.","non-dropping-particle":"","parse-names":false,"suffix":""},{"dropping-particle":"","family":"Goddard","given":"Michael E.","non-dropping-particle":"","parse-names":false,"suffix":""},{"dropping-particle":"","family":"Yang","given":"Jian","non-dropping-particle":"","parse-names":false,"suffix":""},{"dropping-particle":"","family":"Visscher","given":"Peter M.","non-dropping-particle":"","parse-names":false,"suffix":""}],"container-title":"Nature Communications 2019 10:1","id":"ITEM-5","issue":"1","issued":{"date-parts":[["2019","11","8"]]},"page":"1-11","publisher":"Nature Publishing Group","title":"Improved polygenic prediction by Bayesian multiple regression on summary statistics","type":"article-journal","volume":"10"},"uris":["http://www.mendeley.com/documents/?uuid=5f4540c7-7c0a-3ec6-9dac-444301606ace"]},{"id":"ITEM-6","itemData":{"DOI":"10.2139/SSRN.3808292","abstract":"Risk prediction models provide empirical recommendations that ultimately aim to deliver optimal patient outcomes. Genetic information, in the form of a polygenic risk score (PRS), may be included in these models to significantly increase their accuracy. Several analyses of PRS accuracy have been completed, nearly all focus on only a few diseases and report limited statistics. This narrow approach has limited our ability to assess as a whole whether PRSs can provide actionable disease predictions. This investigation aims to address this uncertainty by comprehensively analyzing 23 diseases within the UK Biobank. Our results show that including the PRS to a base model containing age, sex and the top ten genetic principal components significantly improves prediction accuracy, as measured by ROC curves, in a majority 21 of 23 diseases and reclassifies on average 68% of the individuals in the top 5% risk group. For heart failure, breast cancer, prostate cancer and gout, decision curve analyses using the 5% risk threshold determined that including the PRS in the base model would correctly identity at least 60 more individuals who develop the disease for every 1000 individuals screened, without making any incorrect predictions. Analyses that included disease-specific risk factors, such as Body-Mass Index, and consider time of disease onset found similar PRS benefits. The improved prediction accuracy was translated to 10 instances in which medications/supplements and 94 instances in which lifestyle modifications lead to significantly greater reduction in disease risk for individuals in the top PRS quintile compared to the bottom PRS quintile. Finally we provide guidance for tailored, future PRS generation by comprehensively ranking methods that generate PRS weights and identifying genome wide association study characteristics that influence PRS predictions. The unification of significantly enhanced disease predictions, novel risk mitigation opportunities and improved methodological clarity indicate that PRSs carry far greater clinical impact than previously known.","author":[{"dropping-particle":"","family":"Kulm","given":"Scott","non-dropping-particle":"","parse-names":false,"suffix":""},{"dropping-particle":"","family":"Marderstein","given":"Andrew","non-dropping-particle":"","parse-names":false,"suffix":""},{"dropping-particle":"","family":"Mezey","given":"Jason","non-dropping-particle":"","parse-names":false,"suffix":""},{"dropping-particle":"","family":"Elemento","given":"Olivier","non-dropping-particle":"","parse-names":false,"suffix":""}],"container-title":"SSRN Electronic Journal","id":"ITEM-6","issued":{"date-parts":[["2021","3","23"]]},"publisher":"Elsevier BV","title":"A Systematic Framework for Assessing the Clinical Impact of Polygenic Risk Scores","type":"article-journal"},"uris":["http://www.mendeley.com/documents/?uuid=c87c12d3-e2d6-3228-a27d-7a0acd3d5090"]}],"mendeley":{"formattedCitation":"&lt;sup&gt;1–6&lt;/sup&gt;","plainTextFormattedCitation":"1–6","previouslyFormattedCitation":"&lt;sup&gt;1–6&lt;/sup&gt;"},"properties":{"noteIndex":0},"schema":"https://github.com/citation-style-language/schema/raw/master/csl-citation.json"}</w:instrText>
      </w:r>
      <w:r>
        <w:rPr>
          <w:lang w:val="en-US"/>
        </w:rPr>
        <w:fldChar w:fldCharType="separate"/>
      </w:r>
      <w:r w:rsidR="00B04084" w:rsidRPr="00B04084">
        <w:rPr>
          <w:noProof/>
          <w:vertAlign w:val="superscript"/>
          <w:lang w:val="en-US"/>
        </w:rPr>
        <w:t>1–6</w:t>
      </w:r>
      <w:r>
        <w:rPr>
          <w:lang w:val="en-US"/>
        </w:rPr>
        <w:fldChar w:fldCharType="end"/>
      </w:r>
      <w:r>
        <w:rPr>
          <w:lang w:val="en-US"/>
        </w:rPr>
        <w:t xml:space="preserve">. While different methods appear to have mixing effectiveness, it is clear that GWAS summary statistic files can greatly benefit the predictive power of PGS </w:t>
      </w:r>
      <w:r>
        <w:rPr>
          <w:lang w:val="en-US"/>
        </w:rPr>
        <w:fldChar w:fldCharType="begin" w:fldLock="1"/>
      </w:r>
      <w:r w:rsidR="00393E8E">
        <w:rPr>
          <w:lang w:val="en-US"/>
        </w:rPr>
        <w:instrText>ADDIN CSL_CITATION {"citationItems":[{"id":"ITEM-1","itemData":{"DOI":"10.1371/JOURNAL.PGEN.1003348","ISSN":"1553-7404","abstract":"Polygenic scores have recently been used to summarise genetic effects among an ensemble of markers that do not individually achieve significance in a large-scale association study. Markers are selected using an initial training sample and used to construct a score in an independent replication sample by forming the weighted sum of associated alleles within each subject. Association between a trait and this composite score implies that a genetic signal is present among the selected markers, and the score can then be used for prediction of individual trait values. This approach has been used to obtain evidence of a genetic effect when no single markers are significant, to establish a common genetic basis for related disorders, and to construct risk prediction models. In some cases, however, the desired association or prediction has not been achieved. Here, the power and predictive accuracy of a polygenic score are derived from a quantitative genetics model as a function of the sizes of the two samples, explained genetic variance, selection thresholds for including a marker in the score, and methods for weighting effect sizes in the score. Expressions are derived for quantitative and discrete traits, the latter allowing for case/control sampling. A novel approach to estimating the variance explained by a marker panel is also proposed. It is shown that published studies with significant association of polygenic scores have been well powered, whereas those with negative results can be explained by low sample size. It is also shown that useful levels of prediction may only be approached when predictors are estimated from very large samples, up to an order of magnitude greater than currently available. Therefore, polygenic scores currently have more utility for association testing than predicting complex traits, but prediction will become more feasible as sample sizes continue to grow.","author":[{"dropping-particle":"","family":"Dudbridge","given":"Frank","non-dropping-particle":"","parse-names":false,"suffix":""}],"container-title":"PLOS Genetics","id":"ITEM-1","issue":"3","issued":{"date-parts":[["2013"]]},"page":"e1003348","publisher":"Public Library of Science","title":"Power and Predictive Accuracy of Polygenic Risk Scores","type":"article-journal","volume":"9"},"uris":["http://www.mendeley.com/documents/?uuid=24b46639-5cc6-3b46-93f1-e2f145f709c5"]}],"mendeley":{"formattedCitation":"&lt;sup&gt;10&lt;/sup&gt;","plainTextFormattedCitation":"10","previouslyFormattedCitation":"&lt;sup&gt;10&lt;/sup&gt;"},"properties":{"noteIndex":0},"schema":"https://github.com/citation-style-language/schema/raw/master/csl-citation.json"}</w:instrText>
      </w:r>
      <w:r>
        <w:rPr>
          <w:lang w:val="en-US"/>
        </w:rPr>
        <w:fldChar w:fldCharType="separate"/>
      </w:r>
      <w:r w:rsidR="00B04084" w:rsidRPr="00B04084">
        <w:rPr>
          <w:noProof/>
          <w:vertAlign w:val="superscript"/>
          <w:lang w:val="en-US"/>
        </w:rPr>
        <w:t>10</w:t>
      </w:r>
      <w:r>
        <w:rPr>
          <w:lang w:val="en-US"/>
        </w:rPr>
        <w:fldChar w:fldCharType="end"/>
      </w:r>
      <w:r>
        <w:rPr>
          <w:lang w:val="en-US"/>
        </w:rPr>
        <w:t>. In accordance, we show that GWAS files computed on a much larger cohort (the UKB) result in an AUROC of 0.68 rather than 0.65 for T2D in Lifelines and higher than reported anywhere else</w:t>
      </w:r>
      <w:r w:rsidR="00BB01AE">
        <w:rPr>
          <w:lang w:val="en-US"/>
        </w:rPr>
        <w:t xml:space="preserve"> (supplementary table </w:t>
      </w:r>
      <w:r w:rsidR="00683167">
        <w:rPr>
          <w:lang w:val="en-US"/>
        </w:rPr>
        <w:t>//</w:t>
      </w:r>
      <w:r w:rsidR="00BB01AE">
        <w:rPr>
          <w:lang w:val="en-US"/>
        </w:rPr>
        <w:t>)</w:t>
      </w:r>
      <w:r>
        <w:rPr>
          <w:lang w:val="en-US"/>
        </w:rPr>
        <w:t xml:space="preserve">. This translates into a risk increase of the top decile against the rest of the population of </w:t>
      </w:r>
      <w:r w:rsidR="00D2625C">
        <w:rPr>
          <w:lang w:val="en-US"/>
        </w:rPr>
        <w:t>3.4-fold</w:t>
      </w:r>
      <w:r>
        <w:rPr>
          <w:lang w:val="en-US"/>
        </w:rPr>
        <w:t xml:space="preserve"> (Table 2) compared to </w:t>
      </w:r>
      <w:r w:rsidR="00D2625C">
        <w:rPr>
          <w:lang w:val="en-US"/>
        </w:rPr>
        <w:t>3-fold</w:t>
      </w:r>
      <w:r>
        <w:rPr>
          <w:lang w:val="en-US"/>
        </w:rPr>
        <w:t xml:space="preserve">. This is significantly higher than earlier reports that only identify the top decile at a 2.5 fold increased risk, albeit in a different cohort </w:t>
      </w:r>
      <w:r>
        <w:rPr>
          <w:lang w:val="en-US"/>
        </w:rPr>
        <w:fldChar w:fldCharType="begin" w:fldLock="1"/>
      </w:r>
      <w:r w:rsidR="00393E8E">
        <w:rPr>
          <w:lang w:val="en-US"/>
        </w:rPr>
        <w:instrText>ADDIN CSL_CITATION {"citationItems":[{"id":"ITEM-1","itemData":{"DOI":"10.1038/s41588-018-0183-z","ISSN":"15461718","PMID":"30104762","abstract":"A key public health need is to identify individuals at high risk for a given disease to enable enhanced screening or preventive therapies. Because most common diseases have a genetic component, one important approach is to stratify individuals based on inherited DNA variation 1 . Proposed clinical applications have largely focused on finding carriers of rare monogenic mutations at several-fold increased risk. Although most disease risk is polygenic in nature 2–5 , it has not yet been possible to use polygenic predictors to identify individuals at risk comparable to monogenic mutations. Here, we develop and validate genome-wide polygenic scores for five common diseases. The approach identifies 8.0, 6.1, 3.5, 3.2, and 1.5% of the population at greater than threefold increased risk for coronary artery disease, atrial fibrillation, type 2 diabetes, inflammatory bowel disease, and breast cancer, respectively. For coronary artery disease, this prevalence is 20-fold higher than the carrier frequency of rare monogenic mutations conferring comparable risk 6 . We propose that it is time to contemplate the inclusion of polygenic risk prediction in clinical care, and discuss relevant issues.","author":[{"dropping-particle":"V.","family":"Khera","given":"Amit","non-dropping-particle":"","parse-names":false,"suffix":""},{"dropping-particle":"","family":"Chaffin","given":"Mark","non-dropping-particle":"","parse-names":false,"suffix":""},{"dropping-particle":"","family":"Aragam","given":"Krishna G.","non-dropping-particle":"","parse-names":false,"suffix":""},{"dropping-particle":"","family":"Haas","given":"Mary E.","non-dropping-particle":"","parse-names":false,"suffix":""},{"dropping-particle":"","family":"Roselli","given":"Carolina","non-dropping-particle":"","parse-names":false,"suffix":""},{"dropping-particle":"","family":"Choi","given":"Seung Hoan","non-dropping-particle":"","parse-names":false,"suffix":""},{"dropping-particle":"","family":"Natarajan","given":"Pradeep","non-dropping-particle":"","parse-names":false,"suffix":""},{"dropping-particle":"","family":"Lander","given":"Eric S.","non-dropping-particle":"","parse-names":false,"suffix":""},{"dropping-particle":"","family":"Lubitz","given":"Steven A.","non-dropping-particle":"","parse-names":false,"suffix":""},{"dropping-particle":"","family":"Ellinor","given":"Patrick T.","non-dropping-particle":"","parse-names":false,"suffix":""},{"dropping-particle":"","family":"Kathiresan","given":"Sekar","non-dropping-particle":"","parse-names":false,"suffix":""}],"container-title":"Nature Genetics","id":"ITEM-1","issue":"9","issued":{"date-parts":[["2018","9","1"]]},"page":"1219-1224","publisher":"Nature Publishing Group","title":"Genome-wide polygenic scores for common diseases identify individuals with risk equivalent to monogenic mutations","type":"article","volume":"50"},"uris":["http://www.mendeley.com/documents/?uuid=fc055422-a9b3-3c8c-ab42-285120dbd9fc"]},{"id":"ITEM-2","itemData":{"DOI":"10.1101/727057","abstract":"Background Polygenic risk scores (PRS) have shown promise in predicting susceptibility to common diseases. However, the extent to which PRS and clinical risk factors act jointly and identify high-risk individuals for early onset of disease is unknown.\n\nMethods We used large-scale biobank data (the FinnGen study; n=135,300), with up to 46 years of prospective follow-up, and the FINRISK study with standardized clinical risk factor measurements to build genome-wide PRSs with &gt;6M variants for coronary heart disease (CHD), type 2 diabetes (T2D), atrial fibrillation (AF), and breast and prostate cancer. We evaluated their associations with first disease events, age at disease onset, and impact together with routinely used clinical risk scores for predicting future disease.\n\nResults Compared to the 20-80th percentiles, a PRS in the top 2.5% translated into hazard ratios (HRs) for incident disease ranging from 2.03 to 4.28 (p-values 1.96×10−59 to &lt;1.00×10−100) and the bottom 2.5% into HRs ranging from 0.20 to 0.61. The estimated difference in age at disease onset between top and bottom 2.5% of PRSs was 6 to 13 years. Among early-onset cases, 21.3-32.9% had a PRS in the highest decile and in CHD and AF.\n\nConclusions The properties of PRS were similar in all five diseases. PRS identified a considerable proportion early-onset cases, and for all ages the performance of PRS was comparable to established clinical risk scores. These findings warrant further clinical studies on application of polygenic risk information for stratified screening or for guiding lifestyle and preventive medical interventions.","author":[{"dropping-particle":"","family":"Mars","given":"Nina J.","non-dropping-particle":"","parse-names":false,"suffix":""},{"dropping-particle":"","family":"Koskela","given":"Jukka T.","non-dropping-particle":"","parse-names":false,"suffix":""},{"dropping-particle":"","family":"Ripatti","given":"Pietari","non-dropping-particle":"","parse-names":false,"suffix":""},{"dropping-particle":"","family":"Kiiskinen","given":"Tuomo T.J.","non-dropping-particle":"","parse-names":false,"suffix":""},{"dropping-particle":"","family":"Havulinna","given":"Aki S.","non-dropping-particle":"","parse-names":false,"suffix":""},{"dropping-particle":"V.","family":"Lindbohm","given":"Joni","non-dropping-particle":"","parse-names":false,"suffix":""},{"dropping-particle":"","family":"Ahola-Olli","given":"Ari","non-dropping-particle":"","parse-names":false,"suffix":""},{"dropping-particle":"","family":"Kurki","given":"Mitja","non-dropping-particle":"","parse-names":false,"suffix":""},{"dropping-particle":"","family":"Karjalainen","given":"Juha","non-dropping-particle":"","parse-names":false,"suffix":""},{"dropping-particle":"","family":"Palta","given":"Priit","non-dropping-particle":"","parse-names":false,"suffix":""},{"dropping-particle":"","family":"FinnGen","given":"","non-dropping-particle":"","parse-names":false,"suffix":""},{"dropping-particle":"","family":"Neale","given":"Benjamin M.","non-dropping-particle":"","parse-names":false,"suffix":""},{"dropping-particle":"","family":"Daly","given":"Mark","non-dropping-particle":"","parse-names":false,"suffix":""},{"dropping-particle":"","family":"Salomaa","given":"Veikko","non-dropping-particle":"","parse-names":false,"suffix":""},{"dropping-particle":"","family":"Palotie","given":"Aarno","non-dropping-particle":"","parse-names":false,"suffix":""},{"dropping-particle":"","family":"Widén","given":"Elisabeth","non-dropping-particle":"","parse-names":false,"suffix":""},{"dropping-particle":"","family":"Ripatti","given":"Samuli","non-dropping-particle":"","parse-names":false,"suffix":""}],"container-title":"bioRxiv","id":"ITEM-2","issued":{"date-parts":[["2019","8","6"]]},"page":"727057","publisher":"Cold Spring Harbor Laboratory","title":"Polygenic and clinical risk scores and their impact on age at onset of cardiometabolic diseases and common cancers","type":"article-journal"},"uris":["http://www.mendeley.com/documents/?uuid=1197b6da-30d9-3ef5-84f7-5ef501cae00f"]}],"mendeley":{"formattedCitation":"&lt;sup&gt;8,9&lt;/sup&gt;","plainTextFormattedCitation":"8,9","previouslyFormattedCitation":"&lt;sup&gt;8,9&lt;/sup&gt;"},"properties":{"noteIndex":0},"schema":"https://github.com/citation-style-language/schema/raw/master/csl-citation.json"}</w:instrText>
      </w:r>
      <w:r>
        <w:rPr>
          <w:lang w:val="en-US"/>
        </w:rPr>
        <w:fldChar w:fldCharType="separate"/>
      </w:r>
      <w:r w:rsidR="00B04084" w:rsidRPr="00B04084">
        <w:rPr>
          <w:noProof/>
          <w:vertAlign w:val="superscript"/>
          <w:lang w:val="en-US"/>
        </w:rPr>
        <w:t>8,9</w:t>
      </w:r>
      <w:r>
        <w:rPr>
          <w:lang w:val="en-US"/>
        </w:rPr>
        <w:fldChar w:fldCharType="end"/>
      </w:r>
      <w:r>
        <w:rPr>
          <w:lang w:val="en-US"/>
        </w:rPr>
        <w:t>. Therefore, we encourage any future efforts to create large consortia combining large datasets, to obtain allow for even better GWAS, ultimately leading to, among others, better PGS predictions.</w:t>
      </w:r>
    </w:p>
    <w:p w14:paraId="672B2F8A" w14:textId="3CCA8BA9" w:rsidR="009C68B6" w:rsidRDefault="009C68B6" w:rsidP="009C68B6">
      <w:pPr>
        <w:rPr>
          <w:lang w:val="en-US"/>
        </w:rPr>
      </w:pPr>
      <w:r w:rsidRPr="0CFB28C1">
        <w:rPr>
          <w:lang w:val="en-US"/>
        </w:rPr>
        <w:t xml:space="preserve">Additionally, </w:t>
      </w:r>
      <w:r>
        <w:rPr>
          <w:lang w:val="en-US"/>
        </w:rPr>
        <w:t>running this same analysis on the UK Biobank,</w:t>
      </w:r>
      <w:r w:rsidRPr="0CFB28C1">
        <w:rPr>
          <w:lang w:val="en-US"/>
        </w:rPr>
        <w:t xml:space="preserve"> allow</w:t>
      </w:r>
      <w:r>
        <w:rPr>
          <w:lang w:val="en-US"/>
        </w:rPr>
        <w:t>ed</w:t>
      </w:r>
      <w:r w:rsidRPr="0CFB28C1">
        <w:rPr>
          <w:lang w:val="en-US"/>
        </w:rPr>
        <w:t xml:space="preserve"> us to investigate the magnitude to which overfitting</w:t>
      </w:r>
      <w:r w:rsidR="00BB01AE">
        <w:rPr>
          <w:lang w:val="en-US"/>
        </w:rPr>
        <w:t xml:space="preserve"> </w:t>
      </w:r>
      <w:r w:rsidRPr="0CFB28C1">
        <w:rPr>
          <w:lang w:val="en-US"/>
        </w:rPr>
        <w:t xml:space="preserve">forms a problem when calculating a PGS score using a GWAS summary statistic file derived from the respective cohort. </w:t>
      </w:r>
      <w:r>
        <w:rPr>
          <w:lang w:val="en-US"/>
        </w:rPr>
        <w:t>We find that at a more stringent GWAS p-value significance threshold of 10</w:t>
      </w:r>
      <w:r>
        <w:rPr>
          <w:vertAlign w:val="superscript"/>
          <w:lang w:val="en-US"/>
        </w:rPr>
        <w:t>-6</w:t>
      </w:r>
      <w:r>
        <w:rPr>
          <w:lang w:val="en-US"/>
        </w:rPr>
        <w:t xml:space="preserve"> for inclusion of variants in the PGS calculation, the observed predictive power in the two cohorts is similar. However, at a less stringent p-value cutoff for inclusion of GWAS variants to calculate PGS, the effects of circular bias become clear</w:t>
      </w:r>
      <w:r w:rsidR="00C5095A">
        <w:rPr>
          <w:lang w:val="en-US"/>
        </w:rPr>
        <w:t xml:space="preserve"> with exceedingly high artificial AUROCs of 0.73 for T2D and </w:t>
      </w:r>
      <w:r w:rsidR="002A712D">
        <w:rPr>
          <w:lang w:val="en-US"/>
        </w:rPr>
        <w:t>0.75 for CAD based on PGS alone (0.77 and 0.85 when age and sex are also included as covariates)</w:t>
      </w:r>
      <w:r w:rsidR="009E254D">
        <w:rPr>
          <w:lang w:val="en-US"/>
        </w:rPr>
        <w:t>, while only being 0.68 and 0.63 in Lifelines</w:t>
      </w:r>
      <w:r>
        <w:rPr>
          <w:lang w:val="en-US"/>
        </w:rPr>
        <w:t>.</w:t>
      </w:r>
      <w:r w:rsidR="002606A3">
        <w:rPr>
          <w:lang w:val="en-US"/>
        </w:rPr>
        <w:t xml:space="preserve"> </w:t>
      </w:r>
      <w:r w:rsidR="00C44046">
        <w:rPr>
          <w:lang w:val="en-US"/>
        </w:rPr>
        <w:t>These large AUROC differences are not observed when PGS are calcul</w:t>
      </w:r>
      <w:r w:rsidR="002606A3">
        <w:rPr>
          <w:lang w:val="en-US"/>
        </w:rPr>
        <w:t>ated based on summary statistic files based on a GWAS external to both the UKB and Lifelines, similar AUCs were found in both cohorts.</w:t>
      </w:r>
    </w:p>
    <w:p w14:paraId="4AF5D437" w14:textId="6F5DEB5F" w:rsidR="007F0F6C" w:rsidRPr="007F0F6C" w:rsidRDefault="007F0F6C" w:rsidP="007F0F6C">
      <w:pPr>
        <w:rPr>
          <w:lang w:val="en-US"/>
        </w:rPr>
      </w:pPr>
      <w:r>
        <w:rPr>
          <w:lang w:val="en-US"/>
        </w:rPr>
        <w:t>The models were first trained and tested for the prediction of prevalence. When calculating the coefficients for prediction components for the prevalence, we corrected the data for the following variables: genetic sex,</w:t>
      </w:r>
      <w:r w:rsidRPr="00604A45">
        <w:rPr>
          <w:lang w:val="en-US"/>
        </w:rPr>
        <w:t xml:space="preserve"> </w:t>
      </w:r>
      <w:r>
        <w:rPr>
          <w:lang w:val="en-US"/>
        </w:rPr>
        <w:t>weight, physical activity and smoking status, parental disease status, age PC</w:t>
      </w:r>
      <w:r>
        <w:rPr>
          <w:vertAlign w:val="subscript"/>
          <w:lang w:val="en-US"/>
        </w:rPr>
        <w:t>1,2,3,4</w:t>
      </w:r>
      <w:r>
        <w:rPr>
          <w:lang w:val="en-US"/>
        </w:rPr>
        <w:t xml:space="preserve"> and genotyping measurement batch. When testing, the same covariates were included, provided they were not already included as a predictor in the model under question.</w:t>
      </w:r>
      <w:r w:rsidR="002C2A7B" w:rsidRPr="002C2A7B">
        <w:rPr>
          <w:lang w:val="en-US"/>
        </w:rPr>
        <w:t xml:space="preserve"> </w:t>
      </w:r>
      <w:r w:rsidR="002C2A7B">
        <w:rPr>
          <w:lang w:val="en-US"/>
        </w:rPr>
        <w:t>AUROCs were calculated based on the test data using the disease annotation as listed below.</w:t>
      </w:r>
    </w:p>
    <w:p w14:paraId="12DDDA6E" w14:textId="72D1FFF5" w:rsidR="007F0F6C" w:rsidRDefault="007F0F6C" w:rsidP="007F0F6C">
      <w:pPr>
        <w:rPr>
          <w:lang w:val="en-US"/>
        </w:rPr>
      </w:pPr>
      <w:r>
        <w:rPr>
          <w:lang w:val="en-US"/>
        </w:rPr>
        <w:t xml:space="preserve">The following models were </w:t>
      </w:r>
      <w:r w:rsidR="007920A2">
        <w:rPr>
          <w:lang w:val="en-US"/>
        </w:rPr>
        <w:t>used:</w:t>
      </w:r>
      <w:r>
        <w:rPr>
          <w:lang w:val="en-US"/>
        </w:rPr>
        <w:t xml:space="preserve"> </w:t>
      </w:r>
    </w:p>
    <w:p w14:paraId="64116388" w14:textId="77777777" w:rsidR="007F0F6C" w:rsidRDefault="007F0F6C" w:rsidP="007F0F6C">
      <w:pPr>
        <w:rPr>
          <w:lang w:val="en-US"/>
        </w:rPr>
      </w:pPr>
      <w:r>
        <w:rPr>
          <w:lang w:val="en-US"/>
        </w:rPr>
        <w:br w:type="page"/>
      </w:r>
    </w:p>
    <w:p w14:paraId="2EAD52C0" w14:textId="77777777" w:rsidR="007F0F6C" w:rsidRPr="00431644" w:rsidRDefault="007F0F6C" w:rsidP="007F0F6C">
      <w:pPr>
        <w:rPr>
          <w:lang w:val="en-US"/>
        </w:rPr>
      </w:pPr>
      <w:r>
        <w:rPr>
          <w:lang w:val="en-US"/>
        </w:rPr>
        <w:lastRenderedPageBreak/>
        <w:t xml:space="preserve">Model </w:t>
      </w:r>
      <m:oMath>
        <m:r>
          <w:rPr>
            <w:rFonts w:ascii="Cambria Math" w:hAnsi="Cambria Math"/>
            <w:lang w:val="en-US"/>
          </w:rPr>
          <m:t>Outcome ~ PGS</m:t>
        </m:r>
      </m:oMath>
    </w:p>
    <w:p w14:paraId="4A4C6877" w14:textId="655E1302" w:rsidR="007F0F6C" w:rsidRDefault="009527F8" w:rsidP="007F0F6C">
      <w:pPr>
        <w:rPr>
          <w:lang w:val="en-US"/>
        </w:rPr>
      </w:pPr>
      <m:oMathPara>
        <m:oMath>
          <m:r>
            <w:rPr>
              <w:rFonts w:ascii="Cambria Math" w:hAnsi="Cambria Math" w:cstheme="minorHAnsi"/>
              <w:lang w:val="en-US"/>
            </w:rPr>
            <m:t>logit(</m:t>
          </m:r>
          <m:sSub>
            <m:sSubPr>
              <m:ctrlPr>
                <w:rPr>
                  <w:rFonts w:ascii="Cambria Math" w:hAnsi="Cambria Math" w:cstheme="minorHAnsi"/>
                  <w:i/>
                  <w:lang w:val="en-US"/>
                </w:rPr>
              </m:ctrlPr>
            </m:sSubPr>
            <m:e>
              <m:r>
                <w:rPr>
                  <w:rFonts w:ascii="Cambria Math" w:hAnsi="Cambria Math" w:cstheme="minorHAnsi"/>
                  <w:lang w:val="en-US"/>
                </w:rPr>
                <m:t>p</m:t>
              </m:r>
            </m:e>
            <m:sub>
              <m:r>
                <w:rPr>
                  <w:rFonts w:ascii="Cambria Math" w:hAnsi="Cambria Math" w:cstheme="minorHAnsi"/>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0</m:t>
              </m:r>
            </m:sub>
          </m:sSub>
          <m:r>
            <m:rPr>
              <m:sty m:val="p"/>
            </m:rP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pgs</m:t>
              </m:r>
            </m:sub>
          </m:sSub>
          <m:r>
            <w:rPr>
              <w:rFonts w:ascii="Cambria Math" w:hAnsi="Cambria Math" w:cstheme="minorHAnsi"/>
              <w:lang w:val="en-US"/>
            </w:rPr>
            <m:t>PG</m:t>
          </m:r>
          <w:bookmarkStart w:id="0" w:name="_Hlk94169544"/>
          <m:sSub>
            <m:sSubPr>
              <m:ctrlPr>
                <w:rPr>
                  <w:rFonts w:ascii="Cambria Math" w:hAnsi="Cambria Math" w:cstheme="minorHAnsi"/>
                  <w:i/>
                  <w:lang w:val="en-US"/>
                </w:rPr>
              </m:ctrlPr>
            </m:sSubPr>
            <m:e>
              <m:r>
                <w:rPr>
                  <w:rFonts w:ascii="Cambria Math" w:hAnsi="Cambria Math" w:cstheme="minorHAnsi"/>
                  <w:lang w:val="en-US"/>
                </w:rPr>
                <m:t>S</m:t>
              </m:r>
            </m:e>
            <m:sub>
              <m:r>
                <w:rPr>
                  <w:rFonts w:ascii="Cambria Math" w:hAnsi="Cambria Math" w:cstheme="minorHAnsi"/>
                  <w:lang w:val="en-US"/>
                </w:rPr>
                <m:t>i</m:t>
              </m:r>
            </m:sub>
          </m:sSub>
          <m:r>
            <w:rPr>
              <w:rFonts w:ascii="Cambria Math" w:hAnsi="Cambria Math" w:cstheme="minorHAnsi"/>
              <w:lang w:val="en-US"/>
            </w:rPr>
            <m:t>+</m:t>
          </m:r>
          <m:nary>
            <m:naryPr>
              <m:chr m:val="∑"/>
              <m:limLoc m:val="undOvr"/>
              <m:ctrlPr>
                <w:rPr>
                  <w:rFonts w:ascii="Cambria Math" w:hAnsi="Cambria Math"/>
                  <w:i/>
                  <w:lang w:val="en-US"/>
                </w:rPr>
              </m:ctrlPr>
            </m:naryPr>
            <m:sub>
              <m:r>
                <w:rPr>
                  <w:rFonts w:ascii="Cambria Math" w:hAnsi="Cambria Math"/>
                  <w:lang w:val="en-US"/>
                </w:rPr>
                <m:t>c</m:t>
              </m:r>
              <m:r>
                <w:rPr>
                  <w:rFonts w:ascii="Cambria Math" w:hAnsi="Cambria Math"/>
                  <w:vertAlign w:val="subscript"/>
                  <w:lang w:val="en-US"/>
                </w:rPr>
                <m:t>ovariate</m:t>
              </m:r>
              <m:r>
                <w:rPr>
                  <w:rFonts w:ascii="Cambria Math" w:hAnsi="Cambria Math"/>
                  <w:lang w:val="en-US"/>
                </w:rPr>
                <m:t>=1</m:t>
              </m:r>
            </m:sub>
            <m:sup>
              <m:r>
                <w:rPr>
                  <w:rFonts w:ascii="Cambria Math" w:hAnsi="Cambria Math"/>
                  <w:lang w:val="en-US"/>
                </w:rPr>
                <m:t>n</m:t>
              </m:r>
            </m:sup>
            <m:e>
              <m:sSub>
                <m:sSubPr>
                  <m:ctrlPr>
                    <w:rPr>
                      <w:rFonts w:ascii="Cambria Math" w:hAnsi="Cambria Math"/>
                      <w:i/>
                      <w:vertAlign w:val="subscript"/>
                      <w:lang w:val="en-US"/>
                    </w:rPr>
                  </m:ctrlPr>
                </m:sSubPr>
                <m:e>
                  <m:r>
                    <m:rPr>
                      <m:sty m:val="p"/>
                    </m:rPr>
                    <w:rPr>
                      <w:rFonts w:ascii="Cambria Math" w:hAnsi="Cambria Math" w:cstheme="minorHAnsi"/>
                      <w:lang w:val="en-US"/>
                    </w:rPr>
                    <m:t>β</m:t>
                  </m:r>
                  <m:ctrlPr>
                    <w:rPr>
                      <w:rFonts w:ascii="Cambria Math" w:hAnsi="Cambria Math" w:cstheme="minorHAnsi"/>
                      <w:lang w:val="en-US"/>
                    </w:rPr>
                  </m:ctrlPr>
                </m:e>
                <m:sub>
                  <m:r>
                    <w:rPr>
                      <w:rFonts w:ascii="Cambria Math" w:hAnsi="Cambria Math"/>
                      <w:vertAlign w:val="subscript"/>
                      <w:lang w:val="en-US"/>
                    </w:rPr>
                    <m:t>covariate</m:t>
                  </m:r>
                </m:sub>
              </m:sSub>
              <m:r>
                <w:rPr>
                  <w:rFonts w:ascii="Cambria Math" w:hAnsi="Cambria Math"/>
                  <w:vertAlign w:val="subscript"/>
                  <w:lang w:val="en-US"/>
                </w:rPr>
                <m:t>Covariat</m:t>
              </m:r>
              <m:sSub>
                <m:sSubPr>
                  <m:ctrlPr>
                    <w:rPr>
                      <w:rFonts w:ascii="Cambria Math" w:hAnsi="Cambria Math"/>
                      <w:i/>
                      <w:vertAlign w:val="subscript"/>
                      <w:lang w:val="en-US"/>
                    </w:rPr>
                  </m:ctrlPr>
                </m:sSubPr>
                <m:e>
                  <m:r>
                    <w:rPr>
                      <w:rFonts w:ascii="Cambria Math" w:hAnsi="Cambria Math"/>
                      <w:vertAlign w:val="subscript"/>
                      <w:lang w:val="en-US"/>
                    </w:rPr>
                    <m:t>e</m:t>
                  </m:r>
                </m:e>
                <m:sub>
                  <m:r>
                    <w:rPr>
                      <w:rFonts w:ascii="Cambria Math" w:hAnsi="Cambria Math"/>
                      <w:vertAlign w:val="subscript"/>
                      <w:lang w:val="en-US"/>
                    </w:rPr>
                    <m:t>i</m:t>
                  </m:r>
                </m:sub>
              </m:sSub>
            </m:e>
          </m:nary>
        </m:oMath>
      </m:oMathPara>
      <w:bookmarkEnd w:id="0"/>
    </w:p>
    <w:p w14:paraId="70507977" w14:textId="5482F4AC" w:rsidR="007F0F6C" w:rsidRDefault="007F0F6C" w:rsidP="007F0F6C">
      <w:pPr>
        <w:rPr>
          <w:lang w:val="en-US"/>
        </w:rPr>
      </w:pPr>
    </w:p>
    <w:p w14:paraId="5A50BB12" w14:textId="77777777" w:rsidR="007F0F6C" w:rsidRPr="00431644" w:rsidRDefault="007F0F6C" w:rsidP="007F0F6C">
      <w:pPr>
        <w:rPr>
          <w:lang w:val="en-US"/>
        </w:rPr>
      </w:pPr>
      <w:r>
        <w:rPr>
          <w:lang w:val="en-US"/>
        </w:rPr>
        <w:t xml:space="preserve">Model </w:t>
      </w:r>
      <m:oMath>
        <m:r>
          <w:rPr>
            <w:rFonts w:ascii="Cambria Math" w:hAnsi="Cambria Math"/>
            <w:lang w:val="en-US"/>
          </w:rPr>
          <m:t>Outcome ~ PGS</m:t>
        </m:r>
        <m:r>
          <w:rPr>
            <w:rFonts w:ascii="Cambria Math" w:eastAsiaTheme="minorEastAsia" w:hAnsi="Cambria Math"/>
            <w:lang w:val="en-US"/>
          </w:rPr>
          <m:t>+Age+Sex</m:t>
        </m:r>
      </m:oMath>
    </w:p>
    <w:p w14:paraId="4A2B652E" w14:textId="40839B23" w:rsidR="007F0F6C" w:rsidRPr="00983EAD" w:rsidRDefault="009527F8" w:rsidP="007F0F6C">
      <w:pPr>
        <w:rPr>
          <w:rFonts w:eastAsiaTheme="minorEastAsia"/>
          <w:lang w:val="en-US"/>
        </w:rPr>
      </w:pPr>
      <m:oMathPara>
        <m:oMath>
          <m:r>
            <w:rPr>
              <w:rFonts w:ascii="Cambria Math" w:hAnsi="Cambria Math" w:cstheme="minorHAnsi"/>
              <w:lang w:val="en-US"/>
            </w:rPr>
            <m:t>logit(</m:t>
          </m:r>
          <m:sSub>
            <m:sSubPr>
              <m:ctrlPr>
                <w:rPr>
                  <w:rFonts w:ascii="Cambria Math" w:hAnsi="Cambria Math" w:cstheme="minorHAnsi"/>
                  <w:i/>
                  <w:lang w:val="en-US"/>
                </w:rPr>
              </m:ctrlPr>
            </m:sSubPr>
            <m:e>
              <m:r>
                <w:rPr>
                  <w:rFonts w:ascii="Cambria Math" w:hAnsi="Cambria Math" w:cstheme="minorHAnsi"/>
                  <w:lang w:val="en-US"/>
                </w:rPr>
                <m:t>p</m:t>
              </m:r>
            </m:e>
            <m:sub>
              <m:r>
                <w:rPr>
                  <w:rFonts w:ascii="Cambria Math" w:hAnsi="Cambria Math" w:cstheme="minorHAnsi"/>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0</m:t>
              </m:r>
            </m:sub>
          </m:sSub>
          <m:r>
            <m:rPr>
              <m:sty m:val="p"/>
            </m:rP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pgs</m:t>
              </m:r>
            </m:sub>
          </m:sSub>
          <m:r>
            <w:rPr>
              <w:rFonts w:ascii="Cambria Math" w:hAnsi="Cambria Math" w:cstheme="minorHAnsi"/>
              <w:lang w:val="en-US"/>
            </w:rPr>
            <m:t>PG</m:t>
          </m:r>
          <m:sSub>
            <m:sSubPr>
              <m:ctrlPr>
                <w:rPr>
                  <w:rFonts w:ascii="Cambria Math" w:hAnsi="Cambria Math" w:cstheme="minorHAnsi"/>
                  <w:i/>
                  <w:lang w:val="en-US"/>
                </w:rPr>
              </m:ctrlPr>
            </m:sSubPr>
            <m:e>
              <m:r>
                <w:rPr>
                  <w:rFonts w:ascii="Cambria Math" w:hAnsi="Cambria Math" w:cstheme="minorHAnsi"/>
                  <w:lang w:val="en-US"/>
                </w:rPr>
                <m:t>S</m:t>
              </m:r>
            </m:e>
            <m:sub>
              <m:r>
                <w:rPr>
                  <w:rFonts w:ascii="Cambria Math" w:hAnsi="Cambria Math" w:cstheme="minorHAnsi"/>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age</m:t>
              </m:r>
            </m:sub>
          </m:sSub>
          <m:r>
            <w:rPr>
              <w:rFonts w:ascii="Cambria Math" w:hAnsi="Cambria Math" w:cstheme="minorHAnsi"/>
              <w:lang w:val="en-US"/>
            </w:rPr>
            <m:t>Ag</m:t>
          </m:r>
          <m:sSub>
            <m:sSubPr>
              <m:ctrlPr>
                <w:rPr>
                  <w:rFonts w:ascii="Cambria Math" w:hAnsi="Cambria Math"/>
                  <w:lang w:val="en-US"/>
                </w:rPr>
              </m:ctrlPr>
            </m:sSubPr>
            <m:e>
              <m:r>
                <w:rPr>
                  <w:rFonts w:ascii="Cambria Math" w:hAnsi="Cambria Math" w:cstheme="minorHAnsi"/>
                  <w:lang w:val="en-US"/>
                </w:rPr>
                <m:t>e</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sex</m:t>
              </m:r>
            </m:sub>
          </m:sSub>
          <m:r>
            <w:rPr>
              <w:rFonts w:ascii="Cambria Math" w:hAnsi="Cambria Math" w:cstheme="minorHAnsi"/>
              <w:lang w:val="en-US"/>
            </w:rPr>
            <m:t>Se</m:t>
          </m:r>
          <m:sSub>
            <m:sSubPr>
              <m:ctrlPr>
                <w:rPr>
                  <w:rFonts w:ascii="Cambria Math" w:hAnsi="Cambria Math"/>
                  <w:lang w:val="en-US"/>
                </w:rPr>
              </m:ctrlPr>
            </m:sSubPr>
            <m:e>
              <m:r>
                <w:rPr>
                  <w:rFonts w:ascii="Cambria Math" w:hAnsi="Cambria Math" w:cstheme="minorHAnsi"/>
                  <w:lang w:val="en-US"/>
                </w:rPr>
                <m:t>x</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nary>
            <m:naryPr>
              <m:chr m:val="∑"/>
              <m:limLoc m:val="undOvr"/>
              <m:ctrlPr>
                <w:rPr>
                  <w:rFonts w:ascii="Cambria Math" w:hAnsi="Cambria Math"/>
                  <w:i/>
                  <w:lang w:val="en-US"/>
                </w:rPr>
              </m:ctrlPr>
            </m:naryPr>
            <m:sub>
              <m:r>
                <w:rPr>
                  <w:rFonts w:ascii="Cambria Math" w:hAnsi="Cambria Math"/>
                  <w:lang w:val="en-US"/>
                </w:rPr>
                <m:t>c</m:t>
              </m:r>
              <m:r>
                <w:rPr>
                  <w:rFonts w:ascii="Cambria Math" w:hAnsi="Cambria Math"/>
                  <w:vertAlign w:val="subscript"/>
                  <w:lang w:val="en-US"/>
                </w:rPr>
                <m:t>ovariate</m:t>
              </m:r>
              <m:r>
                <w:rPr>
                  <w:rFonts w:ascii="Cambria Math" w:hAnsi="Cambria Math"/>
                  <w:lang w:val="en-US"/>
                </w:rPr>
                <m:t>=1</m:t>
              </m:r>
            </m:sub>
            <m:sup>
              <m:r>
                <w:rPr>
                  <w:rFonts w:ascii="Cambria Math" w:hAnsi="Cambria Math"/>
                  <w:lang w:val="en-US"/>
                </w:rPr>
                <m:t>n</m:t>
              </m:r>
            </m:sup>
            <m:e>
              <m:sSub>
                <m:sSubPr>
                  <m:ctrlPr>
                    <w:rPr>
                      <w:rFonts w:ascii="Cambria Math" w:hAnsi="Cambria Math"/>
                      <w:i/>
                      <w:vertAlign w:val="subscript"/>
                      <w:lang w:val="en-US"/>
                    </w:rPr>
                  </m:ctrlPr>
                </m:sSubPr>
                <m:e>
                  <m:r>
                    <m:rPr>
                      <m:sty m:val="p"/>
                    </m:rPr>
                    <w:rPr>
                      <w:rFonts w:ascii="Cambria Math" w:hAnsi="Cambria Math" w:cstheme="minorHAnsi"/>
                      <w:lang w:val="en-US"/>
                    </w:rPr>
                    <m:t>β</m:t>
                  </m:r>
                  <m:ctrlPr>
                    <w:rPr>
                      <w:rFonts w:ascii="Cambria Math" w:hAnsi="Cambria Math" w:cstheme="minorHAnsi"/>
                      <w:lang w:val="en-US"/>
                    </w:rPr>
                  </m:ctrlPr>
                </m:e>
                <m:sub>
                  <m:r>
                    <w:rPr>
                      <w:rFonts w:ascii="Cambria Math" w:hAnsi="Cambria Math"/>
                      <w:vertAlign w:val="subscript"/>
                      <w:lang w:val="en-US"/>
                    </w:rPr>
                    <m:t>covariate</m:t>
                  </m:r>
                </m:sub>
              </m:sSub>
              <m:r>
                <w:rPr>
                  <w:rFonts w:ascii="Cambria Math" w:hAnsi="Cambria Math"/>
                  <w:vertAlign w:val="subscript"/>
                  <w:lang w:val="en-US"/>
                </w:rPr>
                <m:t>Covariat</m:t>
              </m:r>
              <m:sSub>
                <m:sSubPr>
                  <m:ctrlPr>
                    <w:rPr>
                      <w:rFonts w:ascii="Cambria Math" w:hAnsi="Cambria Math"/>
                      <w:lang w:val="en-US"/>
                    </w:rPr>
                  </m:ctrlPr>
                </m:sSubPr>
                <m:e>
                  <m:r>
                    <w:rPr>
                      <w:rFonts w:ascii="Cambria Math" w:hAnsi="Cambria Math"/>
                      <w:vertAlign w:val="subscript"/>
                      <w:lang w:val="en-US"/>
                    </w:rPr>
                    <m:t>e</m:t>
                  </m:r>
                  <m:ctrlPr>
                    <w:rPr>
                      <w:rFonts w:ascii="Cambria Math" w:hAnsi="Cambria Math"/>
                      <w:i/>
                      <w:vertAlign w:val="subscript"/>
                      <w:lang w:val="en-US"/>
                    </w:rPr>
                  </m:ctrlPr>
                </m:e>
                <m:sub>
                  <m:r>
                    <m:rPr>
                      <m:sty m:val="p"/>
                    </m:rPr>
                    <w:rPr>
                      <w:rFonts w:ascii="Cambria Math" w:hAnsi="Cambria Math"/>
                      <w:lang w:val="en-US"/>
                    </w:rPr>
                    <m:t>i</m:t>
                  </m:r>
                </m:sub>
              </m:sSub>
            </m:e>
          </m:nary>
        </m:oMath>
      </m:oMathPara>
    </w:p>
    <w:p w14:paraId="3F5C1EC2" w14:textId="77777777" w:rsidR="00983EAD" w:rsidRDefault="00983EAD" w:rsidP="007F0F6C">
      <w:pPr>
        <w:rPr>
          <w:lang w:val="en-US"/>
        </w:rPr>
      </w:pPr>
    </w:p>
    <w:p w14:paraId="7DD581FB" w14:textId="77777777" w:rsidR="007F0F6C" w:rsidRPr="00431644" w:rsidRDefault="007F0F6C" w:rsidP="007F0F6C">
      <w:pPr>
        <w:rPr>
          <w:lang w:val="en-US"/>
        </w:rPr>
      </w:pPr>
      <w:r>
        <w:rPr>
          <w:lang w:val="en-US"/>
        </w:rPr>
        <w:t xml:space="preserve">Model </w:t>
      </w:r>
      <m:oMath>
        <m:r>
          <w:rPr>
            <w:rFonts w:ascii="Cambria Math" w:hAnsi="Cambria Math"/>
            <w:lang w:val="en-US"/>
          </w:rPr>
          <m:t>Outcome ~ BMI</m:t>
        </m:r>
      </m:oMath>
    </w:p>
    <w:p w14:paraId="02E86616" w14:textId="18BEADEC" w:rsidR="007F0F6C" w:rsidRDefault="009527F8" w:rsidP="007F0F6C">
      <w:pPr>
        <w:rPr>
          <w:lang w:val="en-US"/>
        </w:rPr>
      </w:pPr>
      <m:oMathPara>
        <m:oMath>
          <m:r>
            <w:rPr>
              <w:rFonts w:ascii="Cambria Math" w:hAnsi="Cambria Math" w:cstheme="minorHAnsi"/>
              <w:lang w:val="en-US"/>
            </w:rPr>
            <m:t>logit(</m:t>
          </m:r>
          <m:sSub>
            <m:sSubPr>
              <m:ctrlPr>
                <w:rPr>
                  <w:rFonts w:ascii="Cambria Math" w:hAnsi="Cambria Math" w:cstheme="minorHAnsi"/>
                  <w:i/>
                  <w:lang w:val="en-US"/>
                </w:rPr>
              </m:ctrlPr>
            </m:sSubPr>
            <m:e>
              <m:r>
                <w:rPr>
                  <w:rFonts w:ascii="Cambria Math" w:hAnsi="Cambria Math" w:cstheme="minorHAnsi"/>
                  <w:lang w:val="en-US"/>
                </w:rPr>
                <m:t>p</m:t>
              </m:r>
            </m:e>
            <m:sub>
              <m:r>
                <w:rPr>
                  <w:rFonts w:ascii="Cambria Math" w:hAnsi="Cambria Math" w:cstheme="minorHAnsi"/>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0</m:t>
              </m:r>
            </m:sub>
          </m:sSub>
          <m:r>
            <m:rPr>
              <m:sty m:val="p"/>
            </m:rP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bmi</m:t>
              </m:r>
            </m:sub>
          </m:sSub>
          <m:r>
            <w:rPr>
              <w:rFonts w:ascii="Cambria Math" w:hAnsi="Cambria Math" w:cstheme="minorHAnsi"/>
              <w:lang w:val="en-US"/>
            </w:rPr>
            <m:t>BM</m:t>
          </m:r>
          <m:sSub>
            <m:sSubPr>
              <m:ctrlPr>
                <w:rPr>
                  <w:rFonts w:ascii="Cambria Math" w:hAnsi="Cambria Math"/>
                  <w:lang w:val="en-US"/>
                </w:rPr>
              </m:ctrlPr>
            </m:sSubPr>
            <m:e>
              <m:r>
                <w:rPr>
                  <w:rFonts w:ascii="Cambria Math" w:hAnsi="Cambria Math" w:cstheme="minorHAnsi"/>
                  <w:lang w:val="en-US"/>
                </w:rPr>
                <m:t>I</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nary>
            <m:naryPr>
              <m:chr m:val="∑"/>
              <m:limLoc m:val="undOvr"/>
              <m:ctrlPr>
                <w:rPr>
                  <w:rFonts w:ascii="Cambria Math" w:hAnsi="Cambria Math"/>
                  <w:i/>
                  <w:lang w:val="en-US"/>
                </w:rPr>
              </m:ctrlPr>
            </m:naryPr>
            <m:sub>
              <m:r>
                <w:rPr>
                  <w:rFonts w:ascii="Cambria Math" w:hAnsi="Cambria Math"/>
                  <w:lang w:val="en-US"/>
                </w:rPr>
                <m:t>c</m:t>
              </m:r>
              <m:r>
                <w:rPr>
                  <w:rFonts w:ascii="Cambria Math" w:hAnsi="Cambria Math"/>
                  <w:vertAlign w:val="subscript"/>
                  <w:lang w:val="en-US"/>
                </w:rPr>
                <m:t>ovariate</m:t>
              </m:r>
              <m:r>
                <w:rPr>
                  <w:rFonts w:ascii="Cambria Math" w:hAnsi="Cambria Math"/>
                  <w:lang w:val="en-US"/>
                </w:rPr>
                <m:t>=1</m:t>
              </m:r>
            </m:sub>
            <m:sup>
              <m:r>
                <w:rPr>
                  <w:rFonts w:ascii="Cambria Math" w:hAnsi="Cambria Math"/>
                  <w:lang w:val="en-US"/>
                </w:rPr>
                <m:t>n</m:t>
              </m:r>
            </m:sup>
            <m:e>
              <m:sSub>
                <m:sSubPr>
                  <m:ctrlPr>
                    <w:rPr>
                      <w:rFonts w:ascii="Cambria Math" w:hAnsi="Cambria Math"/>
                      <w:i/>
                      <w:vertAlign w:val="subscript"/>
                      <w:lang w:val="en-US"/>
                    </w:rPr>
                  </m:ctrlPr>
                </m:sSubPr>
                <m:e>
                  <m:r>
                    <m:rPr>
                      <m:sty m:val="p"/>
                    </m:rPr>
                    <w:rPr>
                      <w:rFonts w:ascii="Cambria Math" w:hAnsi="Cambria Math" w:cstheme="minorHAnsi"/>
                      <w:lang w:val="en-US"/>
                    </w:rPr>
                    <m:t>β</m:t>
                  </m:r>
                  <m:ctrlPr>
                    <w:rPr>
                      <w:rFonts w:ascii="Cambria Math" w:hAnsi="Cambria Math" w:cstheme="minorHAnsi"/>
                      <w:lang w:val="en-US"/>
                    </w:rPr>
                  </m:ctrlPr>
                </m:e>
                <m:sub>
                  <m:r>
                    <w:rPr>
                      <w:rFonts w:ascii="Cambria Math" w:hAnsi="Cambria Math"/>
                      <w:vertAlign w:val="subscript"/>
                      <w:lang w:val="en-US"/>
                    </w:rPr>
                    <m:t>covariate</m:t>
                  </m:r>
                </m:sub>
              </m:sSub>
              <m:r>
                <w:rPr>
                  <w:rFonts w:ascii="Cambria Math" w:hAnsi="Cambria Math"/>
                  <w:vertAlign w:val="subscript"/>
                  <w:lang w:val="en-US"/>
                </w:rPr>
                <m:t>Covariat</m:t>
              </m:r>
              <m:sSub>
                <m:sSubPr>
                  <m:ctrlPr>
                    <w:rPr>
                      <w:rFonts w:ascii="Cambria Math" w:hAnsi="Cambria Math"/>
                      <w:lang w:val="en-US"/>
                    </w:rPr>
                  </m:ctrlPr>
                </m:sSubPr>
                <m:e>
                  <m:r>
                    <w:rPr>
                      <w:rFonts w:ascii="Cambria Math" w:hAnsi="Cambria Math"/>
                      <w:vertAlign w:val="subscript"/>
                      <w:lang w:val="en-US"/>
                    </w:rPr>
                    <m:t>e</m:t>
                  </m:r>
                  <m:ctrlPr>
                    <w:rPr>
                      <w:rFonts w:ascii="Cambria Math" w:hAnsi="Cambria Math"/>
                      <w:i/>
                      <w:vertAlign w:val="subscript"/>
                      <w:lang w:val="en-US"/>
                    </w:rPr>
                  </m:ctrlPr>
                </m:e>
                <m:sub>
                  <m:r>
                    <m:rPr>
                      <m:sty m:val="p"/>
                    </m:rPr>
                    <w:rPr>
                      <w:rFonts w:ascii="Cambria Math" w:hAnsi="Cambria Math"/>
                      <w:lang w:val="en-US"/>
                    </w:rPr>
                    <m:t>i</m:t>
                  </m:r>
                </m:sub>
              </m:sSub>
            </m:e>
          </m:nary>
        </m:oMath>
      </m:oMathPara>
    </w:p>
    <w:p w14:paraId="28A0FCB0" w14:textId="77777777" w:rsidR="007F0F6C" w:rsidRDefault="007F0F6C" w:rsidP="007F0F6C">
      <w:pPr>
        <w:rPr>
          <w:lang w:val="en-US"/>
        </w:rPr>
      </w:pPr>
    </w:p>
    <w:p w14:paraId="430AA33D" w14:textId="77777777" w:rsidR="007F0F6C" w:rsidRPr="00431644" w:rsidRDefault="007F0F6C" w:rsidP="007F0F6C">
      <w:pPr>
        <w:rPr>
          <w:lang w:val="en-US"/>
        </w:rPr>
      </w:pPr>
      <w:r>
        <w:rPr>
          <w:lang w:val="en-US"/>
        </w:rPr>
        <w:t xml:space="preserve">Model </w:t>
      </w:r>
      <m:oMath>
        <m:r>
          <w:rPr>
            <w:rFonts w:ascii="Cambria Math" w:hAnsi="Cambria Math"/>
            <w:lang w:val="en-US"/>
          </w:rPr>
          <m:t>Outcome ~ BMI+Smoker</m:t>
        </m:r>
      </m:oMath>
    </w:p>
    <w:p w14:paraId="0A252797" w14:textId="0B0A88C4" w:rsidR="007F0F6C" w:rsidRDefault="009527F8" w:rsidP="007F0F6C">
      <w:pPr>
        <w:rPr>
          <w:lang w:val="en-US"/>
        </w:rPr>
      </w:pPr>
      <m:oMathPara>
        <m:oMath>
          <m:r>
            <w:rPr>
              <w:rFonts w:ascii="Cambria Math" w:hAnsi="Cambria Math" w:cstheme="minorHAnsi"/>
              <w:lang w:val="en-US"/>
            </w:rPr>
            <m:t>logit(</m:t>
          </m:r>
          <m:sSub>
            <m:sSubPr>
              <m:ctrlPr>
                <w:rPr>
                  <w:rFonts w:ascii="Cambria Math" w:hAnsi="Cambria Math" w:cstheme="minorHAnsi"/>
                  <w:i/>
                  <w:lang w:val="en-US"/>
                </w:rPr>
              </m:ctrlPr>
            </m:sSubPr>
            <m:e>
              <m:r>
                <w:rPr>
                  <w:rFonts w:ascii="Cambria Math" w:hAnsi="Cambria Math" w:cstheme="minorHAnsi"/>
                  <w:lang w:val="en-US"/>
                </w:rPr>
                <m:t>p</m:t>
              </m:r>
            </m:e>
            <m:sub>
              <m:r>
                <w:rPr>
                  <w:rFonts w:ascii="Cambria Math" w:hAnsi="Cambria Math" w:cstheme="minorHAnsi"/>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0</m:t>
              </m:r>
            </m:sub>
          </m:sSub>
          <m:r>
            <m:rPr>
              <m:sty m:val="p"/>
            </m:rP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bmi</m:t>
              </m:r>
            </m:sub>
          </m:sSub>
          <m:r>
            <w:rPr>
              <w:rFonts w:ascii="Cambria Math" w:hAnsi="Cambria Math" w:cstheme="minorHAnsi"/>
              <w:lang w:val="en-US"/>
            </w:rPr>
            <m:t>BM</m:t>
          </m:r>
          <m:sSub>
            <m:sSubPr>
              <m:ctrlPr>
                <w:rPr>
                  <w:rFonts w:ascii="Cambria Math" w:hAnsi="Cambria Math"/>
                  <w:lang w:val="en-US"/>
                </w:rPr>
              </m:ctrlPr>
            </m:sSubPr>
            <m:e>
              <m:r>
                <w:rPr>
                  <w:rFonts w:ascii="Cambria Math" w:hAnsi="Cambria Math" w:cstheme="minorHAnsi"/>
                  <w:lang w:val="en-US"/>
                </w:rPr>
                <m:t>I</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smokerPast</m:t>
              </m:r>
            </m:sub>
          </m:sSub>
          <m:r>
            <w:rPr>
              <w:rFonts w:ascii="Cambria Math" w:hAnsi="Cambria Math" w:cstheme="minorHAnsi"/>
              <w:lang w:val="en-US"/>
            </w:rPr>
            <m:t>SmokerPas</m:t>
          </m:r>
          <m:sSub>
            <m:sSubPr>
              <m:ctrlPr>
                <w:rPr>
                  <w:rFonts w:ascii="Cambria Math" w:hAnsi="Cambria Math"/>
                  <w:lang w:val="en-US"/>
                </w:rPr>
              </m:ctrlPr>
            </m:sSubPr>
            <m:e>
              <m:r>
                <w:rPr>
                  <w:rFonts w:ascii="Cambria Math" w:hAnsi="Cambria Math" w:cstheme="minorHAnsi"/>
                  <w:lang w:val="en-US"/>
                </w:rPr>
                <m:t>t</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smokerCurrent</m:t>
              </m:r>
            </m:sub>
          </m:sSub>
          <m:r>
            <w:rPr>
              <w:rFonts w:ascii="Cambria Math" w:hAnsi="Cambria Math" w:cstheme="minorHAnsi"/>
              <w:lang w:val="en-US"/>
            </w:rPr>
            <m:t>SmokerCurren</m:t>
          </m:r>
          <m:sSub>
            <m:sSubPr>
              <m:ctrlPr>
                <w:rPr>
                  <w:rFonts w:ascii="Cambria Math" w:hAnsi="Cambria Math"/>
                  <w:lang w:val="en-US"/>
                </w:rPr>
              </m:ctrlPr>
            </m:sSubPr>
            <m:e>
              <m:r>
                <w:rPr>
                  <w:rFonts w:ascii="Cambria Math" w:hAnsi="Cambria Math" w:cstheme="minorHAnsi"/>
                  <w:lang w:val="en-US"/>
                </w:rPr>
                <m:t>t</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lang w:val="en-US"/>
                </w:rPr>
              </m:ctrlPr>
            </m:sSubPr>
            <m:e>
              <m:nary>
                <m:naryPr>
                  <m:chr m:val="∑"/>
                  <m:limLoc m:val="undOvr"/>
                  <m:ctrlPr>
                    <w:rPr>
                      <w:rFonts w:ascii="Cambria Math" w:hAnsi="Cambria Math"/>
                      <w:i/>
                      <w:lang w:val="en-US"/>
                    </w:rPr>
                  </m:ctrlPr>
                </m:naryPr>
                <m:sub>
                  <m:r>
                    <w:rPr>
                      <w:rFonts w:ascii="Cambria Math" w:hAnsi="Cambria Math"/>
                      <w:lang w:val="en-US"/>
                    </w:rPr>
                    <m:t>c</m:t>
                  </m:r>
                  <m:r>
                    <w:rPr>
                      <w:rFonts w:ascii="Cambria Math" w:hAnsi="Cambria Math"/>
                      <w:vertAlign w:val="subscript"/>
                      <w:lang w:val="en-US"/>
                    </w:rPr>
                    <m:t>ovariate</m:t>
                  </m:r>
                  <m:r>
                    <w:rPr>
                      <w:rFonts w:ascii="Cambria Math" w:hAnsi="Cambria Math"/>
                      <w:lang w:val="en-US"/>
                    </w:rPr>
                    <m:t>=1</m:t>
                  </m:r>
                </m:sub>
                <m:sup>
                  <m:r>
                    <w:rPr>
                      <w:rFonts w:ascii="Cambria Math" w:hAnsi="Cambria Math"/>
                      <w:lang w:val="en-US"/>
                    </w:rPr>
                    <m:t>n</m:t>
                  </m:r>
                </m:sup>
                <m:e>
                  <m:sSub>
                    <m:sSubPr>
                      <m:ctrlPr>
                        <w:rPr>
                          <w:rFonts w:ascii="Cambria Math" w:hAnsi="Cambria Math"/>
                          <w:i/>
                          <w:vertAlign w:val="subscript"/>
                          <w:lang w:val="en-US"/>
                        </w:rPr>
                      </m:ctrlPr>
                    </m:sSubPr>
                    <m:e>
                      <m:r>
                        <m:rPr>
                          <m:sty m:val="p"/>
                        </m:rPr>
                        <w:rPr>
                          <w:rFonts w:ascii="Cambria Math" w:hAnsi="Cambria Math" w:cstheme="minorHAnsi"/>
                          <w:lang w:val="en-US"/>
                        </w:rPr>
                        <m:t>β</m:t>
                      </m:r>
                      <m:ctrlPr>
                        <w:rPr>
                          <w:rFonts w:ascii="Cambria Math" w:hAnsi="Cambria Math" w:cstheme="minorHAnsi"/>
                          <w:lang w:val="en-US"/>
                        </w:rPr>
                      </m:ctrlPr>
                    </m:e>
                    <m:sub>
                      <m:r>
                        <w:rPr>
                          <w:rFonts w:ascii="Cambria Math" w:hAnsi="Cambria Math"/>
                          <w:vertAlign w:val="subscript"/>
                          <w:lang w:val="en-US"/>
                        </w:rPr>
                        <m:t>covariate</m:t>
                      </m:r>
                    </m:sub>
                  </m:sSub>
                  <m:r>
                    <w:rPr>
                      <w:rFonts w:ascii="Cambria Math" w:hAnsi="Cambria Math"/>
                      <w:vertAlign w:val="subscript"/>
                      <w:lang w:val="en-US"/>
                    </w:rPr>
                    <m:t>Covariate</m:t>
                  </m:r>
                </m:e>
              </m:nary>
              <m:ctrlPr>
                <w:rPr>
                  <w:rFonts w:ascii="Cambria Math" w:hAnsi="Cambria Math" w:cstheme="minorHAnsi"/>
                  <w:i/>
                  <w:lang w:val="en-US"/>
                </w:rPr>
              </m:ctrlPr>
            </m:e>
            <m:sub>
              <m:r>
                <m:rPr>
                  <m:sty m:val="p"/>
                </m:rPr>
                <w:rPr>
                  <w:rFonts w:ascii="Cambria Math" w:hAnsi="Cambria Math"/>
                  <w:lang w:val="en-US"/>
                </w:rPr>
                <m:t>i</m:t>
              </m:r>
            </m:sub>
          </m:sSub>
        </m:oMath>
      </m:oMathPara>
    </w:p>
    <w:p w14:paraId="4E6C89D2" w14:textId="77777777" w:rsidR="007F0F6C" w:rsidRDefault="007F0F6C" w:rsidP="007F0F6C">
      <w:pPr>
        <w:rPr>
          <w:lang w:val="en-US"/>
        </w:rPr>
      </w:pPr>
    </w:p>
    <w:p w14:paraId="34F01F72" w14:textId="77777777" w:rsidR="007F0F6C" w:rsidRPr="00431644" w:rsidRDefault="007F0F6C" w:rsidP="007F0F6C">
      <w:pPr>
        <w:rPr>
          <w:lang w:val="en-US"/>
        </w:rPr>
      </w:pPr>
      <w:r>
        <w:rPr>
          <w:lang w:val="en-US"/>
        </w:rPr>
        <w:t xml:space="preserve">Model </w:t>
      </w:r>
      <m:oMath>
        <m:r>
          <w:rPr>
            <w:rFonts w:ascii="Cambria Math" w:hAnsi="Cambria Math"/>
            <w:lang w:val="en-US"/>
          </w:rPr>
          <m:t>Outcome ~ BMI+Smoker+PA</m:t>
        </m:r>
      </m:oMath>
    </w:p>
    <w:p w14:paraId="5E90FCA5" w14:textId="477DCB59" w:rsidR="007F0F6C" w:rsidRDefault="009527F8" w:rsidP="007F0F6C">
      <w:pPr>
        <w:rPr>
          <w:lang w:val="en-US"/>
        </w:rPr>
      </w:pPr>
      <m:oMathPara>
        <m:oMath>
          <m:r>
            <w:rPr>
              <w:rFonts w:ascii="Cambria Math" w:hAnsi="Cambria Math" w:cstheme="minorHAnsi"/>
              <w:lang w:val="en-US"/>
            </w:rPr>
            <m:t>logit(</m:t>
          </m:r>
          <m:sSub>
            <m:sSubPr>
              <m:ctrlPr>
                <w:rPr>
                  <w:rFonts w:ascii="Cambria Math" w:hAnsi="Cambria Math" w:cstheme="minorHAnsi"/>
                  <w:i/>
                  <w:lang w:val="en-US"/>
                </w:rPr>
              </m:ctrlPr>
            </m:sSubPr>
            <m:e>
              <m:r>
                <w:rPr>
                  <w:rFonts w:ascii="Cambria Math" w:hAnsi="Cambria Math" w:cstheme="minorHAnsi"/>
                  <w:lang w:val="en-US"/>
                </w:rPr>
                <m:t>p</m:t>
              </m:r>
            </m:e>
            <m:sub>
              <m:r>
                <w:rPr>
                  <w:rFonts w:ascii="Cambria Math" w:hAnsi="Cambria Math" w:cstheme="minorHAnsi"/>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0</m:t>
              </m:r>
            </m:sub>
          </m:sSub>
          <m:r>
            <m:rPr>
              <m:sty m:val="p"/>
            </m:rP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bmi</m:t>
              </m:r>
            </m:sub>
          </m:sSub>
          <m:r>
            <w:rPr>
              <w:rFonts w:ascii="Cambria Math" w:hAnsi="Cambria Math" w:cstheme="minorHAnsi"/>
              <w:lang w:val="en-US"/>
            </w:rPr>
            <m:t>BM</m:t>
          </m:r>
          <m:sSub>
            <m:sSubPr>
              <m:ctrlPr>
                <w:rPr>
                  <w:rFonts w:ascii="Cambria Math" w:hAnsi="Cambria Math"/>
                  <w:lang w:val="en-US"/>
                </w:rPr>
              </m:ctrlPr>
            </m:sSubPr>
            <m:e>
              <m:r>
                <w:rPr>
                  <w:rFonts w:ascii="Cambria Math" w:hAnsi="Cambria Math" w:cstheme="minorHAnsi"/>
                  <w:lang w:val="en-US"/>
                </w:rPr>
                <m:t>I</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smokerPast</m:t>
              </m:r>
            </m:sub>
          </m:sSub>
          <m:r>
            <w:rPr>
              <w:rFonts w:ascii="Cambria Math" w:hAnsi="Cambria Math" w:cstheme="minorHAnsi"/>
              <w:lang w:val="en-US"/>
            </w:rPr>
            <m:t>SmokerPas</m:t>
          </m:r>
          <m:sSub>
            <m:sSubPr>
              <m:ctrlPr>
                <w:rPr>
                  <w:rFonts w:ascii="Cambria Math" w:hAnsi="Cambria Math"/>
                  <w:lang w:val="en-US"/>
                </w:rPr>
              </m:ctrlPr>
            </m:sSubPr>
            <m:e>
              <m:r>
                <w:rPr>
                  <w:rFonts w:ascii="Cambria Math" w:hAnsi="Cambria Math" w:cstheme="minorHAnsi"/>
                  <w:lang w:val="en-US"/>
                </w:rPr>
                <m:t>t</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smokerCurrent</m:t>
              </m:r>
            </m:sub>
          </m:sSub>
          <m:r>
            <w:rPr>
              <w:rFonts w:ascii="Cambria Math" w:hAnsi="Cambria Math" w:cstheme="minorHAnsi"/>
              <w:lang w:val="en-US"/>
            </w:rPr>
            <m:t>SmokerCurren</m:t>
          </m:r>
          <m:sSub>
            <m:sSubPr>
              <m:ctrlPr>
                <w:rPr>
                  <w:rFonts w:ascii="Cambria Math" w:hAnsi="Cambria Math"/>
                  <w:lang w:val="en-US"/>
                </w:rPr>
              </m:ctrlPr>
            </m:sSubPr>
            <m:e>
              <m:r>
                <w:rPr>
                  <w:rFonts w:ascii="Cambria Math" w:hAnsi="Cambria Math" w:cstheme="minorHAnsi"/>
                  <w:lang w:val="en-US"/>
                </w:rPr>
                <m:t>t</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physicalActivityModerate</m:t>
              </m:r>
            </m:sub>
          </m:sSub>
          <m:r>
            <w:rPr>
              <w:rFonts w:ascii="Cambria Math" w:hAnsi="Cambria Math" w:cstheme="minorHAnsi"/>
              <w:lang w:val="en-US"/>
            </w:rPr>
            <m:t>PhysicalActivityModerat</m:t>
          </m:r>
          <m:sSub>
            <m:sSubPr>
              <m:ctrlPr>
                <w:rPr>
                  <w:rFonts w:ascii="Cambria Math" w:hAnsi="Cambria Math"/>
                  <w:lang w:val="en-US"/>
                </w:rPr>
              </m:ctrlPr>
            </m:sSubPr>
            <m:e>
              <m:r>
                <w:rPr>
                  <w:rFonts w:ascii="Cambria Math" w:hAnsi="Cambria Math" w:cstheme="minorHAnsi"/>
                  <w:lang w:val="en-US"/>
                </w:rPr>
                <m:t>e</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physicalActivityVigorous</m:t>
              </m:r>
            </m:sub>
          </m:sSub>
          <m:r>
            <w:rPr>
              <w:rFonts w:ascii="Cambria Math" w:hAnsi="Cambria Math" w:cstheme="minorHAnsi"/>
              <w:lang w:val="en-US"/>
            </w:rPr>
            <m:t>PhysicalActivityVigorou</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nary>
            <m:naryPr>
              <m:chr m:val="∑"/>
              <m:limLoc m:val="undOvr"/>
              <m:ctrlPr>
                <w:rPr>
                  <w:rFonts w:ascii="Cambria Math" w:hAnsi="Cambria Math"/>
                  <w:i/>
                  <w:lang w:val="en-US"/>
                </w:rPr>
              </m:ctrlPr>
            </m:naryPr>
            <m:sub>
              <m:r>
                <w:rPr>
                  <w:rFonts w:ascii="Cambria Math" w:hAnsi="Cambria Math"/>
                  <w:lang w:val="en-US"/>
                </w:rPr>
                <m:t>c</m:t>
              </m:r>
              <m:r>
                <w:rPr>
                  <w:rFonts w:ascii="Cambria Math" w:hAnsi="Cambria Math"/>
                  <w:vertAlign w:val="subscript"/>
                  <w:lang w:val="en-US"/>
                </w:rPr>
                <m:t>ovariate</m:t>
              </m:r>
              <m:r>
                <w:rPr>
                  <w:rFonts w:ascii="Cambria Math" w:hAnsi="Cambria Math"/>
                  <w:lang w:val="en-US"/>
                </w:rPr>
                <m:t>=1</m:t>
              </m:r>
            </m:sub>
            <m:sup>
              <m:r>
                <w:rPr>
                  <w:rFonts w:ascii="Cambria Math" w:hAnsi="Cambria Math"/>
                  <w:lang w:val="en-US"/>
                </w:rPr>
                <m:t>n</m:t>
              </m:r>
            </m:sup>
            <m:e>
              <m:sSub>
                <m:sSubPr>
                  <m:ctrlPr>
                    <w:rPr>
                      <w:rFonts w:ascii="Cambria Math" w:hAnsi="Cambria Math"/>
                      <w:i/>
                      <w:vertAlign w:val="subscript"/>
                      <w:lang w:val="en-US"/>
                    </w:rPr>
                  </m:ctrlPr>
                </m:sSubPr>
                <m:e>
                  <m:r>
                    <m:rPr>
                      <m:sty m:val="p"/>
                    </m:rPr>
                    <w:rPr>
                      <w:rFonts w:ascii="Cambria Math" w:hAnsi="Cambria Math" w:cstheme="minorHAnsi"/>
                      <w:lang w:val="en-US"/>
                    </w:rPr>
                    <m:t>β</m:t>
                  </m:r>
                  <m:ctrlPr>
                    <w:rPr>
                      <w:rFonts w:ascii="Cambria Math" w:hAnsi="Cambria Math" w:cstheme="minorHAnsi"/>
                      <w:lang w:val="en-US"/>
                    </w:rPr>
                  </m:ctrlPr>
                </m:e>
                <m:sub>
                  <m:r>
                    <w:rPr>
                      <w:rFonts w:ascii="Cambria Math" w:hAnsi="Cambria Math"/>
                      <w:vertAlign w:val="subscript"/>
                      <w:lang w:val="en-US"/>
                    </w:rPr>
                    <m:t>covariate</m:t>
                  </m:r>
                </m:sub>
              </m:sSub>
              <m:r>
                <w:rPr>
                  <w:rFonts w:ascii="Cambria Math" w:hAnsi="Cambria Math"/>
                  <w:vertAlign w:val="subscript"/>
                  <w:lang w:val="en-US"/>
                </w:rPr>
                <m:t>Covariat</m:t>
              </m:r>
              <m:sSub>
                <m:sSubPr>
                  <m:ctrlPr>
                    <w:rPr>
                      <w:rFonts w:ascii="Cambria Math" w:hAnsi="Cambria Math"/>
                      <w:lang w:val="en-US"/>
                    </w:rPr>
                  </m:ctrlPr>
                </m:sSubPr>
                <m:e>
                  <m:r>
                    <w:rPr>
                      <w:rFonts w:ascii="Cambria Math" w:hAnsi="Cambria Math"/>
                      <w:vertAlign w:val="subscript"/>
                      <w:lang w:val="en-US"/>
                    </w:rPr>
                    <m:t>e</m:t>
                  </m:r>
                  <m:ctrlPr>
                    <w:rPr>
                      <w:rFonts w:ascii="Cambria Math" w:hAnsi="Cambria Math"/>
                      <w:i/>
                      <w:vertAlign w:val="subscript"/>
                      <w:lang w:val="en-US"/>
                    </w:rPr>
                  </m:ctrlPr>
                </m:e>
                <m:sub>
                  <m:r>
                    <m:rPr>
                      <m:sty m:val="p"/>
                    </m:rPr>
                    <w:rPr>
                      <w:rFonts w:ascii="Cambria Math" w:hAnsi="Cambria Math"/>
                      <w:lang w:val="en-US"/>
                    </w:rPr>
                    <m:t>i</m:t>
                  </m:r>
                </m:sub>
              </m:sSub>
            </m:e>
          </m:nary>
        </m:oMath>
      </m:oMathPara>
    </w:p>
    <w:p w14:paraId="7B393DC0" w14:textId="77777777" w:rsidR="007F0F6C" w:rsidRPr="00431644" w:rsidRDefault="007F0F6C" w:rsidP="007F0F6C">
      <w:pPr>
        <w:rPr>
          <w:lang w:val="en-US"/>
        </w:rPr>
      </w:pPr>
      <w:r>
        <w:rPr>
          <w:lang w:val="en-US"/>
        </w:rPr>
        <w:t xml:space="preserve">Model </w:t>
      </w:r>
      <m:oMath>
        <m:r>
          <w:rPr>
            <w:rFonts w:ascii="Cambria Math" w:hAnsi="Cambria Math"/>
            <w:lang w:val="en-US"/>
          </w:rPr>
          <m:t>Outcome ~ BMI+Smoker+PA+Sex</m:t>
        </m:r>
      </m:oMath>
    </w:p>
    <w:p w14:paraId="5E02D999" w14:textId="78BDDA51" w:rsidR="007F0F6C" w:rsidRDefault="009527F8" w:rsidP="007F0F6C">
      <w:pPr>
        <w:rPr>
          <w:lang w:val="en-US"/>
        </w:rPr>
      </w:pPr>
      <m:oMathPara>
        <m:oMath>
          <m:r>
            <w:rPr>
              <w:rFonts w:ascii="Cambria Math" w:hAnsi="Cambria Math" w:cstheme="minorHAnsi"/>
              <w:lang w:val="en-US"/>
            </w:rPr>
            <m:t>logit(</m:t>
          </m:r>
          <m:sSub>
            <m:sSubPr>
              <m:ctrlPr>
                <w:rPr>
                  <w:rFonts w:ascii="Cambria Math" w:hAnsi="Cambria Math" w:cstheme="minorHAnsi"/>
                  <w:i/>
                  <w:lang w:val="en-US"/>
                </w:rPr>
              </m:ctrlPr>
            </m:sSubPr>
            <m:e>
              <m:r>
                <w:rPr>
                  <w:rFonts w:ascii="Cambria Math" w:hAnsi="Cambria Math" w:cstheme="minorHAnsi"/>
                  <w:lang w:val="en-US"/>
                </w:rPr>
                <m:t>p</m:t>
              </m:r>
            </m:e>
            <m:sub>
              <m:r>
                <w:rPr>
                  <w:rFonts w:ascii="Cambria Math" w:hAnsi="Cambria Math" w:cstheme="minorHAnsi"/>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0</m:t>
              </m:r>
            </m:sub>
          </m:sSub>
          <m:r>
            <m:rPr>
              <m:sty m:val="p"/>
            </m:rP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bmi</m:t>
              </m:r>
            </m:sub>
          </m:sSub>
          <m:r>
            <w:rPr>
              <w:rFonts w:ascii="Cambria Math" w:hAnsi="Cambria Math" w:cstheme="minorHAnsi"/>
              <w:lang w:val="en-US"/>
            </w:rPr>
            <m:t>BM</m:t>
          </m:r>
          <m:sSub>
            <m:sSubPr>
              <m:ctrlPr>
                <w:rPr>
                  <w:rFonts w:ascii="Cambria Math" w:hAnsi="Cambria Math"/>
                  <w:lang w:val="en-US"/>
                </w:rPr>
              </m:ctrlPr>
            </m:sSubPr>
            <m:e>
              <m:r>
                <w:rPr>
                  <w:rFonts w:ascii="Cambria Math" w:hAnsi="Cambria Math" w:cstheme="minorHAnsi"/>
                  <w:lang w:val="en-US"/>
                </w:rPr>
                <m:t>I</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smokerPast</m:t>
              </m:r>
            </m:sub>
          </m:sSub>
          <m:r>
            <w:rPr>
              <w:rFonts w:ascii="Cambria Math" w:hAnsi="Cambria Math" w:cstheme="minorHAnsi"/>
              <w:lang w:val="en-US"/>
            </w:rPr>
            <m:t>SmokerPas</m:t>
          </m:r>
          <m:sSub>
            <m:sSubPr>
              <m:ctrlPr>
                <w:rPr>
                  <w:rFonts w:ascii="Cambria Math" w:hAnsi="Cambria Math"/>
                  <w:lang w:val="en-US"/>
                </w:rPr>
              </m:ctrlPr>
            </m:sSubPr>
            <m:e>
              <m:r>
                <w:rPr>
                  <w:rFonts w:ascii="Cambria Math" w:hAnsi="Cambria Math" w:cstheme="minorHAnsi"/>
                  <w:lang w:val="en-US"/>
                </w:rPr>
                <m:t>t</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smokerCurrent</m:t>
              </m:r>
            </m:sub>
          </m:sSub>
          <m:r>
            <w:rPr>
              <w:rFonts w:ascii="Cambria Math" w:hAnsi="Cambria Math" w:cstheme="minorHAnsi"/>
              <w:lang w:val="en-US"/>
            </w:rPr>
            <m:t>SmokerCurren</m:t>
          </m:r>
          <m:sSub>
            <m:sSubPr>
              <m:ctrlPr>
                <w:rPr>
                  <w:rFonts w:ascii="Cambria Math" w:hAnsi="Cambria Math"/>
                  <w:lang w:val="en-US"/>
                </w:rPr>
              </m:ctrlPr>
            </m:sSubPr>
            <m:e>
              <m:r>
                <w:rPr>
                  <w:rFonts w:ascii="Cambria Math" w:hAnsi="Cambria Math" w:cstheme="minorHAnsi"/>
                  <w:lang w:val="en-US"/>
                </w:rPr>
                <m:t>t</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physicalActivityModerate</m:t>
              </m:r>
            </m:sub>
          </m:sSub>
          <m:r>
            <w:rPr>
              <w:rFonts w:ascii="Cambria Math" w:hAnsi="Cambria Math" w:cstheme="minorHAnsi"/>
              <w:lang w:val="en-US"/>
            </w:rPr>
            <m:t>PhysicalActivityModerat</m:t>
          </m:r>
          <m:sSub>
            <m:sSubPr>
              <m:ctrlPr>
                <w:rPr>
                  <w:rFonts w:ascii="Cambria Math" w:hAnsi="Cambria Math"/>
                  <w:lang w:val="en-US"/>
                </w:rPr>
              </m:ctrlPr>
            </m:sSubPr>
            <m:e>
              <m:r>
                <w:rPr>
                  <w:rFonts w:ascii="Cambria Math" w:hAnsi="Cambria Math" w:cstheme="minorHAnsi"/>
                  <w:lang w:val="en-US"/>
                </w:rPr>
                <m:t>e</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physicalActivityVigorous</m:t>
              </m:r>
            </m:sub>
          </m:sSub>
          <m:r>
            <w:rPr>
              <w:rFonts w:ascii="Cambria Math" w:hAnsi="Cambria Math" w:cstheme="minorHAnsi"/>
              <w:lang w:val="en-US"/>
            </w:rPr>
            <m:t>PhysicalActivityVigorou</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sex</m:t>
              </m:r>
            </m:sub>
          </m:sSub>
          <m:r>
            <w:rPr>
              <w:rFonts w:ascii="Cambria Math" w:hAnsi="Cambria Math" w:cstheme="minorHAnsi"/>
              <w:lang w:val="en-US"/>
            </w:rPr>
            <m:t>Se</m:t>
          </m:r>
          <m:sSub>
            <m:sSubPr>
              <m:ctrlPr>
                <w:rPr>
                  <w:rFonts w:ascii="Cambria Math" w:hAnsi="Cambria Math"/>
                  <w:lang w:val="en-US"/>
                </w:rPr>
              </m:ctrlPr>
            </m:sSubPr>
            <m:e>
              <m:r>
                <w:rPr>
                  <w:rFonts w:ascii="Cambria Math" w:hAnsi="Cambria Math" w:cstheme="minorHAnsi"/>
                  <w:lang w:val="en-US"/>
                </w:rPr>
                <m:t>x</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nary>
            <m:naryPr>
              <m:chr m:val="∑"/>
              <m:limLoc m:val="undOvr"/>
              <m:ctrlPr>
                <w:rPr>
                  <w:rFonts w:ascii="Cambria Math" w:hAnsi="Cambria Math"/>
                  <w:i/>
                  <w:lang w:val="en-US"/>
                </w:rPr>
              </m:ctrlPr>
            </m:naryPr>
            <m:sub>
              <m:r>
                <w:rPr>
                  <w:rFonts w:ascii="Cambria Math" w:hAnsi="Cambria Math"/>
                  <w:lang w:val="en-US"/>
                </w:rPr>
                <m:t>c</m:t>
              </m:r>
              <m:r>
                <w:rPr>
                  <w:rFonts w:ascii="Cambria Math" w:hAnsi="Cambria Math"/>
                  <w:vertAlign w:val="subscript"/>
                  <w:lang w:val="en-US"/>
                </w:rPr>
                <m:t>ovariate</m:t>
              </m:r>
              <m:r>
                <w:rPr>
                  <w:rFonts w:ascii="Cambria Math" w:hAnsi="Cambria Math"/>
                  <w:lang w:val="en-US"/>
                </w:rPr>
                <m:t>=1</m:t>
              </m:r>
            </m:sub>
            <m:sup>
              <m:r>
                <w:rPr>
                  <w:rFonts w:ascii="Cambria Math" w:hAnsi="Cambria Math"/>
                  <w:lang w:val="en-US"/>
                </w:rPr>
                <m:t>n</m:t>
              </m:r>
            </m:sup>
            <m:e>
              <m:sSub>
                <m:sSubPr>
                  <m:ctrlPr>
                    <w:rPr>
                      <w:rFonts w:ascii="Cambria Math" w:hAnsi="Cambria Math"/>
                      <w:i/>
                      <w:vertAlign w:val="subscript"/>
                      <w:lang w:val="en-US"/>
                    </w:rPr>
                  </m:ctrlPr>
                </m:sSubPr>
                <m:e>
                  <m:r>
                    <m:rPr>
                      <m:sty m:val="p"/>
                    </m:rPr>
                    <w:rPr>
                      <w:rFonts w:ascii="Cambria Math" w:hAnsi="Cambria Math" w:cstheme="minorHAnsi"/>
                      <w:lang w:val="en-US"/>
                    </w:rPr>
                    <m:t>β</m:t>
                  </m:r>
                  <m:ctrlPr>
                    <w:rPr>
                      <w:rFonts w:ascii="Cambria Math" w:hAnsi="Cambria Math" w:cstheme="minorHAnsi"/>
                      <w:lang w:val="en-US"/>
                    </w:rPr>
                  </m:ctrlPr>
                </m:e>
                <m:sub>
                  <m:r>
                    <w:rPr>
                      <w:rFonts w:ascii="Cambria Math" w:hAnsi="Cambria Math"/>
                      <w:vertAlign w:val="subscript"/>
                      <w:lang w:val="en-US"/>
                    </w:rPr>
                    <m:t>covariate</m:t>
                  </m:r>
                </m:sub>
              </m:sSub>
              <m:r>
                <w:rPr>
                  <w:rFonts w:ascii="Cambria Math" w:hAnsi="Cambria Math"/>
                  <w:vertAlign w:val="subscript"/>
                  <w:lang w:val="en-US"/>
                </w:rPr>
                <m:t>Covariat</m:t>
              </m:r>
              <m:sSub>
                <m:sSubPr>
                  <m:ctrlPr>
                    <w:rPr>
                      <w:rFonts w:ascii="Cambria Math" w:hAnsi="Cambria Math"/>
                      <w:lang w:val="en-US"/>
                    </w:rPr>
                  </m:ctrlPr>
                </m:sSubPr>
                <m:e>
                  <m:r>
                    <w:rPr>
                      <w:rFonts w:ascii="Cambria Math" w:hAnsi="Cambria Math"/>
                      <w:vertAlign w:val="subscript"/>
                      <w:lang w:val="en-US"/>
                    </w:rPr>
                    <m:t>e</m:t>
                  </m:r>
                  <m:ctrlPr>
                    <w:rPr>
                      <w:rFonts w:ascii="Cambria Math" w:hAnsi="Cambria Math"/>
                      <w:i/>
                      <w:vertAlign w:val="subscript"/>
                      <w:lang w:val="en-US"/>
                    </w:rPr>
                  </m:ctrlPr>
                </m:e>
                <m:sub>
                  <m:r>
                    <m:rPr>
                      <m:sty m:val="p"/>
                    </m:rPr>
                    <w:rPr>
                      <w:rFonts w:ascii="Cambria Math" w:hAnsi="Cambria Math"/>
                      <w:lang w:val="en-US"/>
                    </w:rPr>
                    <m:t>i</m:t>
                  </m:r>
                </m:sub>
              </m:sSub>
            </m:e>
          </m:nary>
        </m:oMath>
      </m:oMathPara>
    </w:p>
    <w:p w14:paraId="2E629D52" w14:textId="77777777" w:rsidR="007F0F6C" w:rsidRDefault="007F0F6C" w:rsidP="007F0F6C">
      <w:pPr>
        <w:rPr>
          <w:lang w:val="en-US"/>
        </w:rPr>
      </w:pPr>
    </w:p>
    <w:p w14:paraId="0B503616" w14:textId="77777777" w:rsidR="009527F8" w:rsidRDefault="009527F8" w:rsidP="007F0F6C">
      <w:pPr>
        <w:rPr>
          <w:lang w:val="en-US"/>
        </w:rPr>
      </w:pPr>
    </w:p>
    <w:p w14:paraId="35B77E36" w14:textId="77777777" w:rsidR="009527F8" w:rsidRDefault="009527F8" w:rsidP="007F0F6C">
      <w:pPr>
        <w:rPr>
          <w:lang w:val="en-US"/>
        </w:rPr>
      </w:pPr>
    </w:p>
    <w:p w14:paraId="34A354A9" w14:textId="77777777" w:rsidR="009527F8" w:rsidRDefault="009527F8" w:rsidP="007F0F6C">
      <w:pPr>
        <w:rPr>
          <w:lang w:val="en-US"/>
        </w:rPr>
      </w:pPr>
    </w:p>
    <w:p w14:paraId="183A2B5B" w14:textId="5B71B7C1" w:rsidR="007F0F6C" w:rsidRPr="00431644" w:rsidRDefault="007F0F6C" w:rsidP="007F0F6C">
      <w:pPr>
        <w:rPr>
          <w:lang w:val="en-US"/>
        </w:rPr>
      </w:pPr>
      <w:r>
        <w:rPr>
          <w:lang w:val="en-US"/>
        </w:rPr>
        <w:lastRenderedPageBreak/>
        <w:t xml:space="preserve">Model </w:t>
      </w:r>
      <m:oMath>
        <m:r>
          <w:rPr>
            <w:rFonts w:ascii="Cambria Math" w:hAnsi="Cambria Math"/>
            <w:lang w:val="en-US"/>
          </w:rPr>
          <m:t>Outcome ~ BMI+Smoker+PA+Sex+Parent</m:t>
        </m:r>
      </m:oMath>
    </w:p>
    <w:p w14:paraId="6CE66C24" w14:textId="44B0D5D4" w:rsidR="007F0F6C" w:rsidRDefault="00FB6295" w:rsidP="007F0F6C">
      <w:pPr>
        <w:rPr>
          <w:lang w:val="en-US"/>
        </w:rPr>
      </w:pPr>
      <m:oMathPara>
        <m:oMath>
          <m:r>
            <w:rPr>
              <w:rFonts w:ascii="Cambria Math" w:hAnsi="Cambria Math" w:cstheme="minorHAnsi"/>
              <w:lang w:val="en-US"/>
            </w:rPr>
            <m:t>logit(</m:t>
          </m:r>
          <m:sSub>
            <m:sSubPr>
              <m:ctrlPr>
                <w:rPr>
                  <w:rFonts w:ascii="Cambria Math" w:hAnsi="Cambria Math" w:cstheme="minorHAnsi"/>
                  <w:i/>
                  <w:lang w:val="en-US"/>
                </w:rPr>
              </m:ctrlPr>
            </m:sSubPr>
            <m:e>
              <m:r>
                <w:rPr>
                  <w:rFonts w:ascii="Cambria Math" w:hAnsi="Cambria Math" w:cstheme="minorHAnsi"/>
                  <w:lang w:val="en-US"/>
                </w:rPr>
                <m:t>p</m:t>
              </m:r>
            </m:e>
            <m:sub>
              <m:r>
                <w:rPr>
                  <w:rFonts w:ascii="Cambria Math" w:hAnsi="Cambria Math" w:cstheme="minorHAnsi"/>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0</m:t>
              </m:r>
            </m:sub>
          </m:sSub>
          <m:r>
            <m:rPr>
              <m:sty m:val="p"/>
            </m:rP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bmi</m:t>
              </m:r>
            </m:sub>
          </m:sSub>
          <m:r>
            <w:rPr>
              <w:rFonts w:ascii="Cambria Math" w:hAnsi="Cambria Math" w:cstheme="minorHAnsi"/>
              <w:lang w:val="en-US"/>
            </w:rPr>
            <m:t>BM</m:t>
          </m:r>
          <m:sSub>
            <m:sSubPr>
              <m:ctrlPr>
                <w:rPr>
                  <w:rFonts w:ascii="Cambria Math" w:hAnsi="Cambria Math"/>
                  <w:lang w:val="en-US"/>
                </w:rPr>
              </m:ctrlPr>
            </m:sSubPr>
            <m:e>
              <m:r>
                <w:rPr>
                  <w:rFonts w:ascii="Cambria Math" w:hAnsi="Cambria Math" w:cstheme="minorHAnsi"/>
                  <w:lang w:val="en-US"/>
                </w:rPr>
                <m:t>I</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smokerPast</m:t>
              </m:r>
            </m:sub>
          </m:sSub>
          <m:r>
            <w:rPr>
              <w:rFonts w:ascii="Cambria Math" w:hAnsi="Cambria Math" w:cstheme="minorHAnsi"/>
              <w:lang w:val="en-US"/>
            </w:rPr>
            <m:t>SmokerPas</m:t>
          </m:r>
          <m:sSub>
            <m:sSubPr>
              <m:ctrlPr>
                <w:rPr>
                  <w:rFonts w:ascii="Cambria Math" w:hAnsi="Cambria Math"/>
                  <w:lang w:val="en-US"/>
                </w:rPr>
              </m:ctrlPr>
            </m:sSubPr>
            <m:e>
              <m:r>
                <w:rPr>
                  <w:rFonts w:ascii="Cambria Math" w:hAnsi="Cambria Math" w:cstheme="minorHAnsi"/>
                  <w:lang w:val="en-US"/>
                </w:rPr>
                <m:t>t</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smokerCurrent</m:t>
              </m:r>
            </m:sub>
          </m:sSub>
          <m:r>
            <w:rPr>
              <w:rFonts w:ascii="Cambria Math" w:hAnsi="Cambria Math" w:cstheme="minorHAnsi"/>
              <w:lang w:val="en-US"/>
            </w:rPr>
            <m:t>SmokerCurren</m:t>
          </m:r>
          <m:sSub>
            <m:sSubPr>
              <m:ctrlPr>
                <w:rPr>
                  <w:rFonts w:ascii="Cambria Math" w:hAnsi="Cambria Math"/>
                  <w:lang w:val="en-US"/>
                </w:rPr>
              </m:ctrlPr>
            </m:sSubPr>
            <m:e>
              <m:r>
                <w:rPr>
                  <w:rFonts w:ascii="Cambria Math" w:hAnsi="Cambria Math" w:cstheme="minorHAnsi"/>
                  <w:lang w:val="en-US"/>
                </w:rPr>
                <m:t>t</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physicalActivityModerate</m:t>
              </m:r>
            </m:sub>
          </m:sSub>
          <m:r>
            <w:rPr>
              <w:rFonts w:ascii="Cambria Math" w:hAnsi="Cambria Math" w:cstheme="minorHAnsi"/>
              <w:lang w:val="en-US"/>
            </w:rPr>
            <m:t>PhysicalActivityModerat</m:t>
          </m:r>
          <m:sSub>
            <m:sSubPr>
              <m:ctrlPr>
                <w:rPr>
                  <w:rFonts w:ascii="Cambria Math" w:hAnsi="Cambria Math"/>
                  <w:lang w:val="en-US"/>
                </w:rPr>
              </m:ctrlPr>
            </m:sSubPr>
            <m:e>
              <m:r>
                <w:rPr>
                  <w:rFonts w:ascii="Cambria Math" w:hAnsi="Cambria Math" w:cstheme="minorHAnsi"/>
                  <w:lang w:val="en-US"/>
                </w:rPr>
                <m:t>e</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physicalActivityVigorous</m:t>
              </m:r>
            </m:sub>
          </m:sSub>
          <m:r>
            <w:rPr>
              <w:rFonts w:ascii="Cambria Math" w:hAnsi="Cambria Math" w:cstheme="minorHAnsi"/>
              <w:lang w:val="en-US"/>
            </w:rPr>
            <m:t>PhysicalActivityVigorou</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sex</m:t>
              </m:r>
            </m:sub>
          </m:sSub>
          <m:r>
            <w:rPr>
              <w:rFonts w:ascii="Cambria Math" w:hAnsi="Cambria Math" w:cstheme="minorHAnsi"/>
              <w:lang w:val="en-US"/>
            </w:rPr>
            <m:t>Se</m:t>
          </m:r>
          <m:sSub>
            <m:sSubPr>
              <m:ctrlPr>
                <w:rPr>
                  <w:rFonts w:ascii="Cambria Math" w:hAnsi="Cambria Math"/>
                  <w:lang w:val="en-US"/>
                </w:rPr>
              </m:ctrlPr>
            </m:sSubPr>
            <m:e>
              <m:r>
                <w:rPr>
                  <w:rFonts w:ascii="Cambria Math" w:hAnsi="Cambria Math" w:cstheme="minorHAnsi"/>
                  <w:lang w:val="en-US"/>
                </w:rPr>
                <m:t>x</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fatherDiseaseStatus</m:t>
              </m:r>
            </m:sub>
          </m:sSub>
          <m:r>
            <w:rPr>
              <w:rFonts w:ascii="Cambria Math" w:hAnsi="Cambria Math" w:cstheme="minorHAnsi"/>
              <w:lang w:val="en-US"/>
            </w:rPr>
            <m:t>FatherDiseaseStatu</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motherDiseaseStatus</m:t>
              </m:r>
            </m:sub>
          </m:sSub>
          <m:r>
            <w:rPr>
              <w:rFonts w:ascii="Cambria Math" w:hAnsi="Cambria Math" w:cstheme="minorHAnsi"/>
              <w:lang w:val="en-US"/>
            </w:rPr>
            <m:t>MotherDiseaseStatu</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nary>
            <m:naryPr>
              <m:chr m:val="∑"/>
              <m:limLoc m:val="undOvr"/>
              <m:ctrlPr>
                <w:rPr>
                  <w:rFonts w:ascii="Cambria Math" w:hAnsi="Cambria Math"/>
                  <w:i/>
                  <w:lang w:val="en-US"/>
                </w:rPr>
              </m:ctrlPr>
            </m:naryPr>
            <m:sub>
              <m:r>
                <w:rPr>
                  <w:rFonts w:ascii="Cambria Math" w:hAnsi="Cambria Math"/>
                  <w:lang w:val="en-US"/>
                </w:rPr>
                <m:t>c</m:t>
              </m:r>
              <m:r>
                <w:rPr>
                  <w:rFonts w:ascii="Cambria Math" w:hAnsi="Cambria Math"/>
                  <w:vertAlign w:val="subscript"/>
                  <w:lang w:val="en-US"/>
                </w:rPr>
                <m:t>ovariate</m:t>
              </m:r>
              <m:r>
                <w:rPr>
                  <w:rFonts w:ascii="Cambria Math" w:hAnsi="Cambria Math"/>
                  <w:lang w:val="en-US"/>
                </w:rPr>
                <m:t>=1</m:t>
              </m:r>
            </m:sub>
            <m:sup>
              <m:r>
                <w:rPr>
                  <w:rFonts w:ascii="Cambria Math" w:hAnsi="Cambria Math"/>
                  <w:lang w:val="en-US"/>
                </w:rPr>
                <m:t>n</m:t>
              </m:r>
            </m:sup>
            <m:e>
              <m:sSub>
                <m:sSubPr>
                  <m:ctrlPr>
                    <w:rPr>
                      <w:rFonts w:ascii="Cambria Math" w:hAnsi="Cambria Math"/>
                      <w:i/>
                      <w:vertAlign w:val="subscript"/>
                      <w:lang w:val="en-US"/>
                    </w:rPr>
                  </m:ctrlPr>
                </m:sSubPr>
                <m:e>
                  <m:r>
                    <m:rPr>
                      <m:sty m:val="p"/>
                    </m:rPr>
                    <w:rPr>
                      <w:rFonts w:ascii="Cambria Math" w:hAnsi="Cambria Math" w:cstheme="minorHAnsi"/>
                      <w:lang w:val="en-US"/>
                    </w:rPr>
                    <m:t>β</m:t>
                  </m:r>
                  <m:ctrlPr>
                    <w:rPr>
                      <w:rFonts w:ascii="Cambria Math" w:hAnsi="Cambria Math" w:cstheme="minorHAnsi"/>
                      <w:lang w:val="en-US"/>
                    </w:rPr>
                  </m:ctrlPr>
                </m:e>
                <m:sub>
                  <m:r>
                    <w:rPr>
                      <w:rFonts w:ascii="Cambria Math" w:hAnsi="Cambria Math"/>
                      <w:vertAlign w:val="subscript"/>
                      <w:lang w:val="en-US"/>
                    </w:rPr>
                    <m:t>covariate</m:t>
                  </m:r>
                </m:sub>
              </m:sSub>
              <m:r>
                <w:rPr>
                  <w:rFonts w:ascii="Cambria Math" w:hAnsi="Cambria Math"/>
                  <w:vertAlign w:val="subscript"/>
                  <w:lang w:val="en-US"/>
                </w:rPr>
                <m:t>Covariat</m:t>
              </m:r>
              <m:sSub>
                <m:sSubPr>
                  <m:ctrlPr>
                    <w:rPr>
                      <w:rFonts w:ascii="Cambria Math" w:hAnsi="Cambria Math"/>
                      <w:lang w:val="en-US"/>
                    </w:rPr>
                  </m:ctrlPr>
                </m:sSubPr>
                <m:e>
                  <m:r>
                    <w:rPr>
                      <w:rFonts w:ascii="Cambria Math" w:hAnsi="Cambria Math"/>
                      <w:vertAlign w:val="subscript"/>
                      <w:lang w:val="en-US"/>
                    </w:rPr>
                    <m:t>e</m:t>
                  </m:r>
                  <m:ctrlPr>
                    <w:rPr>
                      <w:rFonts w:ascii="Cambria Math" w:hAnsi="Cambria Math"/>
                      <w:i/>
                      <w:vertAlign w:val="subscript"/>
                      <w:lang w:val="en-US"/>
                    </w:rPr>
                  </m:ctrlPr>
                </m:e>
                <m:sub>
                  <m:r>
                    <m:rPr>
                      <m:sty m:val="p"/>
                    </m:rPr>
                    <w:rPr>
                      <w:rFonts w:ascii="Cambria Math" w:hAnsi="Cambria Math"/>
                      <w:lang w:val="en-US"/>
                    </w:rPr>
                    <m:t>i</m:t>
                  </m:r>
                </m:sub>
              </m:sSub>
            </m:e>
          </m:nary>
        </m:oMath>
      </m:oMathPara>
    </w:p>
    <w:p w14:paraId="5ECF8F4C" w14:textId="77777777" w:rsidR="007F0F6C" w:rsidRPr="00431644" w:rsidRDefault="007F0F6C" w:rsidP="007F0F6C">
      <w:pPr>
        <w:rPr>
          <w:lang w:val="en-US"/>
        </w:rPr>
      </w:pPr>
      <w:r>
        <w:rPr>
          <w:lang w:val="en-US"/>
        </w:rPr>
        <w:t xml:space="preserve">Model </w:t>
      </w:r>
      <m:oMath>
        <m:r>
          <w:rPr>
            <w:rFonts w:ascii="Cambria Math" w:hAnsi="Cambria Math"/>
            <w:lang w:val="en-US"/>
          </w:rPr>
          <m:t>Outcome ~ BMI+Smoker+PA+Sex+Parent+PGS</m:t>
        </m:r>
      </m:oMath>
    </w:p>
    <w:p w14:paraId="6BA3F084" w14:textId="2060EA5A" w:rsidR="007F0F6C" w:rsidRDefault="009527F8" w:rsidP="007F0F6C">
      <w:pPr>
        <w:rPr>
          <w:lang w:val="en-US"/>
        </w:rPr>
      </w:pPr>
      <m:oMathPara>
        <m:oMath>
          <m:r>
            <w:rPr>
              <w:rFonts w:ascii="Cambria Math" w:hAnsi="Cambria Math" w:cstheme="minorHAnsi"/>
              <w:lang w:val="en-US"/>
            </w:rPr>
            <m:t>logit(</m:t>
          </m:r>
          <m:sSub>
            <m:sSubPr>
              <m:ctrlPr>
                <w:rPr>
                  <w:rFonts w:ascii="Cambria Math" w:hAnsi="Cambria Math" w:cstheme="minorHAnsi"/>
                  <w:i/>
                  <w:lang w:val="en-US"/>
                </w:rPr>
              </m:ctrlPr>
            </m:sSubPr>
            <m:e>
              <m:r>
                <w:rPr>
                  <w:rFonts w:ascii="Cambria Math" w:hAnsi="Cambria Math" w:cstheme="minorHAnsi"/>
                  <w:lang w:val="en-US"/>
                </w:rPr>
                <m:t>p</m:t>
              </m:r>
            </m:e>
            <m:sub>
              <m:r>
                <w:rPr>
                  <w:rFonts w:ascii="Cambria Math" w:hAnsi="Cambria Math" w:cstheme="minorHAnsi"/>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0</m:t>
              </m:r>
            </m:sub>
          </m:sSub>
          <m:r>
            <m:rPr>
              <m:sty m:val="p"/>
            </m:rP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bmi</m:t>
              </m:r>
            </m:sub>
          </m:sSub>
          <m:r>
            <w:rPr>
              <w:rFonts w:ascii="Cambria Math" w:hAnsi="Cambria Math" w:cstheme="minorHAnsi"/>
              <w:lang w:val="en-US"/>
            </w:rPr>
            <m:t>BM</m:t>
          </m:r>
          <m:sSub>
            <m:sSubPr>
              <m:ctrlPr>
                <w:rPr>
                  <w:rFonts w:ascii="Cambria Math" w:hAnsi="Cambria Math"/>
                  <w:lang w:val="en-US"/>
                </w:rPr>
              </m:ctrlPr>
            </m:sSubPr>
            <m:e>
              <m:r>
                <w:rPr>
                  <w:rFonts w:ascii="Cambria Math" w:hAnsi="Cambria Math" w:cstheme="minorHAnsi"/>
                  <w:lang w:val="en-US"/>
                </w:rPr>
                <m:t>I</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smokerPast</m:t>
              </m:r>
            </m:sub>
          </m:sSub>
          <m:r>
            <w:rPr>
              <w:rFonts w:ascii="Cambria Math" w:hAnsi="Cambria Math" w:cstheme="minorHAnsi"/>
              <w:lang w:val="en-US"/>
            </w:rPr>
            <m:t>SmokerPas</m:t>
          </m:r>
          <m:sSub>
            <m:sSubPr>
              <m:ctrlPr>
                <w:rPr>
                  <w:rFonts w:ascii="Cambria Math" w:hAnsi="Cambria Math"/>
                  <w:lang w:val="en-US"/>
                </w:rPr>
              </m:ctrlPr>
            </m:sSubPr>
            <m:e>
              <m:r>
                <w:rPr>
                  <w:rFonts w:ascii="Cambria Math" w:hAnsi="Cambria Math" w:cstheme="minorHAnsi"/>
                  <w:lang w:val="en-US"/>
                </w:rPr>
                <m:t>t</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smokerCurrent</m:t>
              </m:r>
            </m:sub>
          </m:sSub>
          <m:r>
            <w:rPr>
              <w:rFonts w:ascii="Cambria Math" w:hAnsi="Cambria Math" w:cstheme="minorHAnsi"/>
              <w:lang w:val="en-US"/>
            </w:rPr>
            <m:t>SmokerCurren</m:t>
          </m:r>
          <m:sSub>
            <m:sSubPr>
              <m:ctrlPr>
                <w:rPr>
                  <w:rFonts w:ascii="Cambria Math" w:hAnsi="Cambria Math"/>
                  <w:lang w:val="en-US"/>
                </w:rPr>
              </m:ctrlPr>
            </m:sSubPr>
            <m:e>
              <m:r>
                <w:rPr>
                  <w:rFonts w:ascii="Cambria Math" w:hAnsi="Cambria Math" w:cstheme="minorHAnsi"/>
                  <w:lang w:val="en-US"/>
                </w:rPr>
                <m:t>t</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physicalActivityModerate</m:t>
              </m:r>
            </m:sub>
          </m:sSub>
          <m:r>
            <w:rPr>
              <w:rFonts w:ascii="Cambria Math" w:hAnsi="Cambria Math" w:cstheme="minorHAnsi"/>
              <w:lang w:val="en-US"/>
            </w:rPr>
            <m:t>PhysicalActivityModerat</m:t>
          </m:r>
          <m:sSub>
            <m:sSubPr>
              <m:ctrlPr>
                <w:rPr>
                  <w:rFonts w:ascii="Cambria Math" w:hAnsi="Cambria Math"/>
                  <w:lang w:val="en-US"/>
                </w:rPr>
              </m:ctrlPr>
            </m:sSubPr>
            <m:e>
              <m:r>
                <w:rPr>
                  <w:rFonts w:ascii="Cambria Math" w:hAnsi="Cambria Math" w:cstheme="minorHAnsi"/>
                  <w:lang w:val="en-US"/>
                </w:rPr>
                <m:t>e</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physicalActivityVigorous</m:t>
              </m:r>
            </m:sub>
          </m:sSub>
          <m:r>
            <w:rPr>
              <w:rFonts w:ascii="Cambria Math" w:hAnsi="Cambria Math" w:cstheme="minorHAnsi"/>
              <w:lang w:val="en-US"/>
            </w:rPr>
            <m:t>PhysicalActivityVigorou</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sex</m:t>
              </m:r>
            </m:sub>
          </m:sSub>
          <m:r>
            <w:rPr>
              <w:rFonts w:ascii="Cambria Math" w:hAnsi="Cambria Math" w:cstheme="minorHAnsi"/>
              <w:lang w:val="en-US"/>
            </w:rPr>
            <m:t>Se</m:t>
          </m:r>
          <m:sSub>
            <m:sSubPr>
              <m:ctrlPr>
                <w:rPr>
                  <w:rFonts w:ascii="Cambria Math" w:hAnsi="Cambria Math"/>
                  <w:lang w:val="en-US"/>
                </w:rPr>
              </m:ctrlPr>
            </m:sSubPr>
            <m:e>
              <m:r>
                <w:rPr>
                  <w:rFonts w:ascii="Cambria Math" w:hAnsi="Cambria Math" w:cstheme="minorHAnsi"/>
                  <w:lang w:val="en-US"/>
                </w:rPr>
                <m:t>x</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fatherDiseaseStatus</m:t>
              </m:r>
            </m:sub>
          </m:sSub>
          <m:r>
            <w:rPr>
              <w:rFonts w:ascii="Cambria Math" w:hAnsi="Cambria Math" w:cstheme="minorHAnsi"/>
              <w:lang w:val="en-US"/>
            </w:rPr>
            <m:t>FatherDiseaseStatu</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motherDiseaseStatus</m:t>
              </m:r>
            </m:sub>
          </m:sSub>
          <m:r>
            <w:rPr>
              <w:rFonts w:ascii="Cambria Math" w:hAnsi="Cambria Math" w:cstheme="minorHAnsi"/>
              <w:lang w:val="en-US"/>
            </w:rPr>
            <m:t>MotherDiseaseStatus</m:t>
          </m:r>
          <m:r>
            <m:rPr>
              <m:sty m:val="p"/>
            </m:rPr>
            <w:rPr>
              <w:rFonts w:ascii="Cambria Math" w:hAnsi="Cambria Math"/>
              <w:lang w:val="en-US"/>
            </w:rPr>
            <m:t>_i</m:t>
          </m:r>
          <m:r>
            <w:rPr>
              <w:rFonts w:ascii="Cambria Math" w:hAnsi="Cambria Math" w:cstheme="minorHAnsi"/>
              <w:lang w:val="en-US"/>
            </w:rPr>
            <m:t>+</m:t>
          </m:r>
          <m:nary>
            <m:naryPr>
              <m:chr m:val="∑"/>
              <m:limLoc m:val="undOvr"/>
              <m:ctrlPr>
                <w:rPr>
                  <w:rFonts w:ascii="Cambria Math" w:hAnsi="Cambria Math"/>
                  <w:i/>
                  <w:lang w:val="en-US"/>
                </w:rPr>
              </m:ctrlPr>
            </m:naryPr>
            <m:sub>
              <m:r>
                <w:rPr>
                  <w:rFonts w:ascii="Cambria Math" w:hAnsi="Cambria Math"/>
                  <w:lang w:val="en-US"/>
                </w:rPr>
                <m:t>c</m:t>
              </m:r>
              <m:r>
                <w:rPr>
                  <w:rFonts w:ascii="Cambria Math" w:hAnsi="Cambria Math"/>
                  <w:vertAlign w:val="subscript"/>
                  <w:lang w:val="en-US"/>
                </w:rPr>
                <m:t>ovariate</m:t>
              </m:r>
              <m:r>
                <w:rPr>
                  <w:rFonts w:ascii="Cambria Math" w:hAnsi="Cambria Math"/>
                  <w:lang w:val="en-US"/>
                </w:rPr>
                <m:t>=1</m:t>
              </m:r>
            </m:sub>
            <m:sup>
              <m:r>
                <w:rPr>
                  <w:rFonts w:ascii="Cambria Math" w:hAnsi="Cambria Math"/>
                  <w:lang w:val="en-US"/>
                </w:rPr>
                <m:t>n</m:t>
              </m:r>
            </m:sup>
            <m:e>
              <m:sSub>
                <m:sSubPr>
                  <m:ctrlPr>
                    <w:rPr>
                      <w:rFonts w:ascii="Cambria Math" w:hAnsi="Cambria Math"/>
                      <w:i/>
                      <w:vertAlign w:val="subscript"/>
                      <w:lang w:val="en-US"/>
                    </w:rPr>
                  </m:ctrlPr>
                </m:sSubPr>
                <m:e>
                  <m:r>
                    <m:rPr>
                      <m:sty m:val="p"/>
                    </m:rPr>
                    <w:rPr>
                      <w:rFonts w:ascii="Cambria Math" w:hAnsi="Cambria Math" w:cstheme="minorHAnsi"/>
                      <w:lang w:val="en-US"/>
                    </w:rPr>
                    <m:t>β</m:t>
                  </m:r>
                  <m:ctrlPr>
                    <w:rPr>
                      <w:rFonts w:ascii="Cambria Math" w:hAnsi="Cambria Math" w:cstheme="minorHAnsi"/>
                      <w:lang w:val="en-US"/>
                    </w:rPr>
                  </m:ctrlPr>
                </m:e>
                <m:sub>
                  <m:r>
                    <w:rPr>
                      <w:rFonts w:ascii="Cambria Math" w:hAnsi="Cambria Math"/>
                      <w:vertAlign w:val="subscript"/>
                      <w:lang w:val="en-US"/>
                    </w:rPr>
                    <m:t>covariate</m:t>
                  </m:r>
                </m:sub>
              </m:sSub>
              <m:r>
                <w:rPr>
                  <w:rFonts w:ascii="Cambria Math" w:hAnsi="Cambria Math"/>
                  <w:vertAlign w:val="subscript"/>
                  <w:lang w:val="en-US"/>
                </w:rPr>
                <m:t>Covariat</m:t>
              </m:r>
              <m:sSub>
                <m:sSubPr>
                  <m:ctrlPr>
                    <w:rPr>
                      <w:rFonts w:ascii="Cambria Math" w:hAnsi="Cambria Math"/>
                      <w:lang w:val="en-US"/>
                    </w:rPr>
                  </m:ctrlPr>
                </m:sSubPr>
                <m:e>
                  <m:r>
                    <w:rPr>
                      <w:rFonts w:ascii="Cambria Math" w:hAnsi="Cambria Math"/>
                      <w:vertAlign w:val="subscript"/>
                      <w:lang w:val="en-US"/>
                    </w:rPr>
                    <m:t>e</m:t>
                  </m:r>
                  <m:ctrlPr>
                    <w:rPr>
                      <w:rFonts w:ascii="Cambria Math" w:hAnsi="Cambria Math"/>
                      <w:i/>
                      <w:vertAlign w:val="subscript"/>
                      <w:lang w:val="en-US"/>
                    </w:rPr>
                  </m:ctrlPr>
                </m:e>
                <m:sub>
                  <m:r>
                    <m:rPr>
                      <m:sty m:val="p"/>
                    </m:rPr>
                    <w:rPr>
                      <w:rFonts w:ascii="Cambria Math" w:hAnsi="Cambria Math"/>
                      <w:lang w:val="en-US"/>
                    </w:rPr>
                    <m:t>i</m:t>
                  </m:r>
                </m:sub>
              </m:sSub>
            </m:e>
          </m:nary>
        </m:oMath>
      </m:oMathPara>
    </w:p>
    <w:p w14:paraId="0B4EDB3D" w14:textId="77777777" w:rsidR="007F0F6C" w:rsidRPr="00431644" w:rsidRDefault="007F0F6C" w:rsidP="007F0F6C">
      <w:pPr>
        <w:rPr>
          <w:lang w:val="en-US"/>
        </w:rPr>
      </w:pPr>
      <w:r>
        <w:rPr>
          <w:lang w:val="en-US"/>
        </w:rPr>
        <w:t xml:space="preserve">Model </w:t>
      </w:r>
      <m:oMath>
        <m:r>
          <w:rPr>
            <w:rFonts w:ascii="Cambria Math" w:hAnsi="Cambria Math"/>
            <w:lang w:val="en-US"/>
          </w:rPr>
          <m:t>Outcome ~ BMI+Smoker+PA+Sex+Parent+PGS+Age</m:t>
        </m:r>
      </m:oMath>
    </w:p>
    <w:p w14:paraId="6B3D5A32" w14:textId="1F52619E" w:rsidR="007F0F6C" w:rsidRDefault="009527F8" w:rsidP="007F0F6C">
      <w:pPr>
        <w:rPr>
          <w:lang w:val="en-US"/>
        </w:rPr>
      </w:pPr>
      <m:oMathPara>
        <m:oMath>
          <m:r>
            <w:rPr>
              <w:rFonts w:ascii="Cambria Math" w:hAnsi="Cambria Math" w:cstheme="minorHAnsi"/>
              <w:lang w:val="en-US"/>
            </w:rPr>
            <m:t>logit(</m:t>
          </m:r>
          <m:sSub>
            <m:sSubPr>
              <m:ctrlPr>
                <w:rPr>
                  <w:rFonts w:ascii="Cambria Math" w:hAnsi="Cambria Math" w:cstheme="minorHAnsi"/>
                  <w:i/>
                  <w:lang w:val="en-US"/>
                </w:rPr>
              </m:ctrlPr>
            </m:sSubPr>
            <m:e>
              <m:r>
                <w:rPr>
                  <w:rFonts w:ascii="Cambria Math" w:hAnsi="Cambria Math" w:cstheme="minorHAnsi"/>
                  <w:lang w:val="en-US"/>
                </w:rPr>
                <m:t>p</m:t>
              </m:r>
            </m:e>
            <m:sub>
              <m:r>
                <w:rPr>
                  <w:rFonts w:ascii="Cambria Math" w:hAnsi="Cambria Math" w:cstheme="minorHAnsi"/>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0</m:t>
              </m:r>
            </m:sub>
          </m:sSub>
          <m:r>
            <m:rPr>
              <m:sty m:val="p"/>
            </m:rP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bmi</m:t>
              </m:r>
            </m:sub>
          </m:sSub>
          <m:r>
            <w:rPr>
              <w:rFonts w:ascii="Cambria Math" w:hAnsi="Cambria Math" w:cstheme="minorHAnsi"/>
              <w:lang w:val="en-US"/>
            </w:rPr>
            <m:t>BM</m:t>
          </m:r>
          <m:sSub>
            <m:sSubPr>
              <m:ctrlPr>
                <w:rPr>
                  <w:rFonts w:ascii="Cambria Math" w:hAnsi="Cambria Math"/>
                  <w:lang w:val="en-US"/>
                </w:rPr>
              </m:ctrlPr>
            </m:sSubPr>
            <m:e>
              <m:r>
                <w:rPr>
                  <w:rFonts w:ascii="Cambria Math" w:hAnsi="Cambria Math" w:cstheme="minorHAnsi"/>
                  <w:lang w:val="en-US"/>
                </w:rPr>
                <m:t>I</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smokerPast</m:t>
              </m:r>
            </m:sub>
          </m:sSub>
          <m:r>
            <w:rPr>
              <w:rFonts w:ascii="Cambria Math" w:hAnsi="Cambria Math" w:cstheme="minorHAnsi"/>
              <w:lang w:val="en-US"/>
            </w:rPr>
            <m:t>SmokerPas</m:t>
          </m:r>
          <m:sSub>
            <m:sSubPr>
              <m:ctrlPr>
                <w:rPr>
                  <w:rFonts w:ascii="Cambria Math" w:hAnsi="Cambria Math"/>
                  <w:lang w:val="en-US"/>
                </w:rPr>
              </m:ctrlPr>
            </m:sSubPr>
            <m:e>
              <m:r>
                <w:rPr>
                  <w:rFonts w:ascii="Cambria Math" w:hAnsi="Cambria Math" w:cstheme="minorHAnsi"/>
                  <w:lang w:val="en-US"/>
                </w:rPr>
                <m:t>t</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smokerCurrent</m:t>
              </m:r>
            </m:sub>
          </m:sSub>
          <m:r>
            <w:rPr>
              <w:rFonts w:ascii="Cambria Math" w:hAnsi="Cambria Math" w:cstheme="minorHAnsi"/>
              <w:lang w:val="en-US"/>
            </w:rPr>
            <m:t>SmokerCurren</m:t>
          </m:r>
          <m:sSub>
            <m:sSubPr>
              <m:ctrlPr>
                <w:rPr>
                  <w:rFonts w:ascii="Cambria Math" w:hAnsi="Cambria Math"/>
                  <w:lang w:val="en-US"/>
                </w:rPr>
              </m:ctrlPr>
            </m:sSubPr>
            <m:e>
              <m:r>
                <w:rPr>
                  <w:rFonts w:ascii="Cambria Math" w:hAnsi="Cambria Math" w:cstheme="minorHAnsi"/>
                  <w:lang w:val="en-US"/>
                </w:rPr>
                <m:t>t</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physicalActivityModerate</m:t>
              </m:r>
            </m:sub>
          </m:sSub>
          <m:r>
            <w:rPr>
              <w:rFonts w:ascii="Cambria Math" w:hAnsi="Cambria Math" w:cstheme="minorHAnsi"/>
              <w:lang w:val="en-US"/>
            </w:rPr>
            <m:t>PhysicalActivityModerat</m:t>
          </m:r>
          <m:sSub>
            <m:sSubPr>
              <m:ctrlPr>
                <w:rPr>
                  <w:rFonts w:ascii="Cambria Math" w:hAnsi="Cambria Math"/>
                  <w:lang w:val="en-US"/>
                </w:rPr>
              </m:ctrlPr>
            </m:sSubPr>
            <m:e>
              <m:r>
                <w:rPr>
                  <w:rFonts w:ascii="Cambria Math" w:hAnsi="Cambria Math" w:cstheme="minorHAnsi"/>
                  <w:lang w:val="en-US"/>
                </w:rPr>
                <m:t>e</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physicalActivityVigorous</m:t>
              </m:r>
            </m:sub>
          </m:sSub>
          <m:r>
            <w:rPr>
              <w:rFonts w:ascii="Cambria Math" w:hAnsi="Cambria Math" w:cstheme="minorHAnsi"/>
              <w:lang w:val="en-US"/>
            </w:rPr>
            <m:t>PhysicalActivityVigorou</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sex</m:t>
              </m:r>
            </m:sub>
          </m:sSub>
          <m:r>
            <w:rPr>
              <w:rFonts w:ascii="Cambria Math" w:hAnsi="Cambria Math" w:cstheme="minorHAnsi"/>
              <w:lang w:val="en-US"/>
            </w:rPr>
            <m:t>Se</m:t>
          </m:r>
          <m:sSub>
            <m:sSubPr>
              <m:ctrlPr>
                <w:rPr>
                  <w:rFonts w:ascii="Cambria Math" w:hAnsi="Cambria Math"/>
                  <w:lang w:val="en-US"/>
                </w:rPr>
              </m:ctrlPr>
            </m:sSubPr>
            <m:e>
              <m:r>
                <w:rPr>
                  <w:rFonts w:ascii="Cambria Math" w:hAnsi="Cambria Math" w:cstheme="minorHAnsi"/>
                  <w:lang w:val="en-US"/>
                </w:rPr>
                <m:t>x</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fatherDiseaseStatus</m:t>
              </m:r>
            </m:sub>
          </m:sSub>
          <m:r>
            <w:rPr>
              <w:rFonts w:ascii="Cambria Math" w:hAnsi="Cambria Math" w:cstheme="minorHAnsi"/>
              <w:lang w:val="en-US"/>
            </w:rPr>
            <m:t>FatherDiseaseStatu</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motherDiseaseStatus</m:t>
              </m:r>
            </m:sub>
          </m:sSub>
          <m:r>
            <w:rPr>
              <w:rFonts w:ascii="Cambria Math" w:hAnsi="Cambria Math" w:cstheme="minorHAnsi"/>
              <w:lang w:val="en-US"/>
            </w:rPr>
            <m:t>MotherDiseaseStatu</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pgs</m:t>
              </m:r>
            </m:sub>
          </m:sSub>
          <m:r>
            <w:rPr>
              <w:rFonts w:ascii="Cambria Math" w:hAnsi="Cambria Math" w:cstheme="minorHAnsi"/>
              <w:lang w:val="en-US"/>
            </w:rPr>
            <m:t>PG</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age</m:t>
              </m:r>
            </m:sub>
          </m:sSub>
          <m:r>
            <w:rPr>
              <w:rFonts w:ascii="Cambria Math" w:hAnsi="Cambria Math" w:cstheme="minorHAnsi"/>
              <w:lang w:val="en-US"/>
            </w:rPr>
            <m:t>Ag</m:t>
          </m:r>
          <m:sSub>
            <m:sSubPr>
              <m:ctrlPr>
                <w:rPr>
                  <w:rFonts w:ascii="Cambria Math" w:hAnsi="Cambria Math"/>
                  <w:lang w:val="en-US"/>
                </w:rPr>
              </m:ctrlPr>
            </m:sSubPr>
            <m:e>
              <m:r>
                <w:rPr>
                  <w:rFonts w:ascii="Cambria Math" w:hAnsi="Cambria Math" w:cstheme="minorHAnsi"/>
                  <w:lang w:val="en-US"/>
                </w:rPr>
                <m:t>e</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nary>
            <m:naryPr>
              <m:chr m:val="∑"/>
              <m:limLoc m:val="undOvr"/>
              <m:ctrlPr>
                <w:rPr>
                  <w:rFonts w:ascii="Cambria Math" w:hAnsi="Cambria Math"/>
                  <w:i/>
                  <w:lang w:val="en-US"/>
                </w:rPr>
              </m:ctrlPr>
            </m:naryPr>
            <m:sub>
              <m:r>
                <w:rPr>
                  <w:rFonts w:ascii="Cambria Math" w:hAnsi="Cambria Math"/>
                  <w:lang w:val="en-US"/>
                </w:rPr>
                <m:t>c</m:t>
              </m:r>
              <m:r>
                <w:rPr>
                  <w:rFonts w:ascii="Cambria Math" w:hAnsi="Cambria Math"/>
                  <w:vertAlign w:val="subscript"/>
                  <w:lang w:val="en-US"/>
                </w:rPr>
                <m:t>ovariate</m:t>
              </m:r>
              <m:r>
                <w:rPr>
                  <w:rFonts w:ascii="Cambria Math" w:hAnsi="Cambria Math"/>
                  <w:lang w:val="en-US"/>
                </w:rPr>
                <m:t>=1</m:t>
              </m:r>
            </m:sub>
            <m:sup>
              <m:r>
                <w:rPr>
                  <w:rFonts w:ascii="Cambria Math" w:hAnsi="Cambria Math"/>
                  <w:lang w:val="en-US"/>
                </w:rPr>
                <m:t>n</m:t>
              </m:r>
            </m:sup>
            <m:e>
              <m:sSub>
                <m:sSubPr>
                  <m:ctrlPr>
                    <w:rPr>
                      <w:rFonts w:ascii="Cambria Math" w:hAnsi="Cambria Math"/>
                      <w:i/>
                      <w:vertAlign w:val="subscript"/>
                      <w:lang w:val="en-US"/>
                    </w:rPr>
                  </m:ctrlPr>
                </m:sSubPr>
                <m:e>
                  <m:r>
                    <m:rPr>
                      <m:sty m:val="p"/>
                    </m:rPr>
                    <w:rPr>
                      <w:rFonts w:ascii="Cambria Math" w:hAnsi="Cambria Math" w:cstheme="minorHAnsi"/>
                      <w:lang w:val="en-US"/>
                    </w:rPr>
                    <m:t>β</m:t>
                  </m:r>
                  <m:ctrlPr>
                    <w:rPr>
                      <w:rFonts w:ascii="Cambria Math" w:hAnsi="Cambria Math" w:cstheme="minorHAnsi"/>
                      <w:lang w:val="en-US"/>
                    </w:rPr>
                  </m:ctrlPr>
                </m:e>
                <m:sub>
                  <m:r>
                    <w:rPr>
                      <w:rFonts w:ascii="Cambria Math" w:hAnsi="Cambria Math"/>
                      <w:vertAlign w:val="subscript"/>
                      <w:lang w:val="en-US"/>
                    </w:rPr>
                    <m:t>covariate</m:t>
                  </m:r>
                </m:sub>
              </m:sSub>
              <m:r>
                <w:rPr>
                  <w:rFonts w:ascii="Cambria Math" w:hAnsi="Cambria Math"/>
                  <w:vertAlign w:val="subscript"/>
                  <w:lang w:val="en-US"/>
                </w:rPr>
                <m:t>Covariat</m:t>
              </m:r>
              <m:sSub>
                <m:sSubPr>
                  <m:ctrlPr>
                    <w:rPr>
                      <w:rFonts w:ascii="Cambria Math" w:hAnsi="Cambria Math"/>
                      <w:lang w:val="en-US"/>
                    </w:rPr>
                  </m:ctrlPr>
                </m:sSubPr>
                <m:e>
                  <m:r>
                    <w:rPr>
                      <w:rFonts w:ascii="Cambria Math" w:hAnsi="Cambria Math"/>
                      <w:vertAlign w:val="subscript"/>
                      <w:lang w:val="en-US"/>
                    </w:rPr>
                    <m:t>e</m:t>
                  </m:r>
                  <m:ctrlPr>
                    <w:rPr>
                      <w:rFonts w:ascii="Cambria Math" w:hAnsi="Cambria Math"/>
                      <w:i/>
                      <w:vertAlign w:val="subscript"/>
                      <w:lang w:val="en-US"/>
                    </w:rPr>
                  </m:ctrlPr>
                </m:e>
                <m:sub>
                  <m:r>
                    <m:rPr>
                      <m:sty m:val="p"/>
                    </m:rPr>
                    <w:rPr>
                      <w:rFonts w:ascii="Cambria Math" w:hAnsi="Cambria Math"/>
                      <w:lang w:val="en-US"/>
                    </w:rPr>
                    <m:t>i</m:t>
                  </m:r>
                </m:sub>
              </m:sSub>
            </m:e>
          </m:nary>
        </m:oMath>
      </m:oMathPara>
    </w:p>
    <w:p w14:paraId="1E462EA7" w14:textId="50DEF207" w:rsidR="004C7BC0" w:rsidRDefault="004C7BC0" w:rsidP="007F0F6C">
      <w:pPr>
        <w:rPr>
          <w:lang w:val="en-US"/>
        </w:rPr>
      </w:pPr>
      <w:bookmarkStart w:id="1" w:name="_Hlk93505889"/>
    </w:p>
    <w:p w14:paraId="13F7CCDD" w14:textId="2D36497A" w:rsidR="00C319CA" w:rsidRDefault="00C319CA" w:rsidP="007F0F6C">
      <w:pPr>
        <w:rPr>
          <w:lang w:val="en-US"/>
        </w:rPr>
      </w:pPr>
      <w:r>
        <w:rPr>
          <w:lang w:val="en-US"/>
        </w:rPr>
        <w:t>Full model:</w:t>
      </w:r>
    </w:p>
    <w:p w14:paraId="2BBA225B" w14:textId="2452F9CF" w:rsidR="007F0F6C" w:rsidRPr="00431644" w:rsidRDefault="007F0F6C" w:rsidP="007F0F6C">
      <w:pPr>
        <w:rPr>
          <w:lang w:val="en-US"/>
        </w:rPr>
      </w:pPr>
      <w:r>
        <w:rPr>
          <w:lang w:val="en-US"/>
        </w:rPr>
        <w:t xml:space="preserve">Model </w:t>
      </w:r>
      <m:oMath>
        <m:r>
          <w:rPr>
            <w:rFonts w:ascii="Cambria Math" w:hAnsi="Cambria Math"/>
            <w:lang w:val="en-US"/>
          </w:rPr>
          <m:t>Outcome ~ BMI+Smoker+PA+Sex+Parent+PGS+Age+PGS*BMI</m:t>
        </m:r>
      </m:oMath>
      <w:r>
        <w:rPr>
          <w:rFonts w:eastAsiaTheme="minorEastAsia"/>
          <w:lang w:val="en-US"/>
        </w:rPr>
        <w:t xml:space="preserve"> </w:t>
      </w:r>
    </w:p>
    <w:p w14:paraId="1C28A2C7" w14:textId="0BE78232" w:rsidR="00983EAD" w:rsidRDefault="009527F8" w:rsidP="00983EAD">
      <w:pPr>
        <w:rPr>
          <w:lang w:val="en-US"/>
        </w:rPr>
      </w:pPr>
      <m:oMathPara>
        <m:oMath>
          <m:r>
            <w:rPr>
              <w:rFonts w:ascii="Cambria Math" w:hAnsi="Cambria Math" w:cstheme="minorHAnsi"/>
              <w:lang w:val="en-US"/>
            </w:rPr>
            <m:t>logit(</m:t>
          </m:r>
          <m:sSub>
            <m:sSubPr>
              <m:ctrlPr>
                <w:rPr>
                  <w:rFonts w:ascii="Cambria Math" w:hAnsi="Cambria Math" w:cstheme="minorHAnsi"/>
                  <w:i/>
                  <w:lang w:val="en-US"/>
                </w:rPr>
              </m:ctrlPr>
            </m:sSubPr>
            <m:e>
              <m:r>
                <w:rPr>
                  <w:rFonts w:ascii="Cambria Math" w:hAnsi="Cambria Math" w:cstheme="minorHAnsi"/>
                  <w:lang w:val="en-US"/>
                </w:rPr>
                <m:t>p</m:t>
              </m:r>
            </m:e>
            <m:sub>
              <m:r>
                <w:rPr>
                  <w:rFonts w:ascii="Cambria Math" w:hAnsi="Cambria Math" w:cstheme="minorHAnsi"/>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0</m:t>
              </m:r>
            </m:sub>
          </m:sSub>
          <m:r>
            <m:rPr>
              <m:sty m:val="p"/>
            </m:rP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bmi</m:t>
              </m:r>
            </m:sub>
          </m:sSub>
          <m:r>
            <w:rPr>
              <w:rFonts w:ascii="Cambria Math" w:hAnsi="Cambria Math" w:cstheme="minorHAnsi"/>
              <w:lang w:val="en-US"/>
            </w:rPr>
            <m:t>BM</m:t>
          </m:r>
          <m:sSub>
            <m:sSubPr>
              <m:ctrlPr>
                <w:rPr>
                  <w:rFonts w:ascii="Cambria Math" w:hAnsi="Cambria Math"/>
                  <w:lang w:val="en-US"/>
                </w:rPr>
              </m:ctrlPr>
            </m:sSubPr>
            <m:e>
              <m:r>
                <w:rPr>
                  <w:rFonts w:ascii="Cambria Math" w:hAnsi="Cambria Math" w:cstheme="minorHAnsi"/>
                  <w:lang w:val="en-US"/>
                </w:rPr>
                <m:t>I</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smokerPast</m:t>
              </m:r>
            </m:sub>
          </m:sSub>
          <m:r>
            <w:rPr>
              <w:rFonts w:ascii="Cambria Math" w:hAnsi="Cambria Math" w:cstheme="minorHAnsi"/>
              <w:lang w:val="en-US"/>
            </w:rPr>
            <m:t>SmokerPas</m:t>
          </m:r>
          <m:sSub>
            <m:sSubPr>
              <m:ctrlPr>
                <w:rPr>
                  <w:rFonts w:ascii="Cambria Math" w:hAnsi="Cambria Math"/>
                  <w:lang w:val="en-US"/>
                </w:rPr>
              </m:ctrlPr>
            </m:sSubPr>
            <m:e>
              <m:r>
                <w:rPr>
                  <w:rFonts w:ascii="Cambria Math" w:hAnsi="Cambria Math" w:cstheme="minorHAnsi"/>
                  <w:lang w:val="en-US"/>
                </w:rPr>
                <m:t>t</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smokerCurrent</m:t>
              </m:r>
            </m:sub>
          </m:sSub>
          <m:r>
            <w:rPr>
              <w:rFonts w:ascii="Cambria Math" w:hAnsi="Cambria Math" w:cstheme="minorHAnsi"/>
              <w:lang w:val="en-US"/>
            </w:rPr>
            <m:t>SmokerCurren</m:t>
          </m:r>
          <m:sSub>
            <m:sSubPr>
              <m:ctrlPr>
                <w:rPr>
                  <w:rFonts w:ascii="Cambria Math" w:hAnsi="Cambria Math"/>
                  <w:lang w:val="en-US"/>
                </w:rPr>
              </m:ctrlPr>
            </m:sSubPr>
            <m:e>
              <m:r>
                <w:rPr>
                  <w:rFonts w:ascii="Cambria Math" w:hAnsi="Cambria Math" w:cstheme="minorHAnsi"/>
                  <w:lang w:val="en-US"/>
                </w:rPr>
                <m:t>t</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physicalActivityModerate</m:t>
              </m:r>
            </m:sub>
          </m:sSub>
          <m:r>
            <w:rPr>
              <w:rFonts w:ascii="Cambria Math" w:hAnsi="Cambria Math" w:cstheme="minorHAnsi"/>
              <w:lang w:val="en-US"/>
            </w:rPr>
            <m:t>PhysicalActivityModerat</m:t>
          </m:r>
          <m:sSub>
            <m:sSubPr>
              <m:ctrlPr>
                <w:rPr>
                  <w:rFonts w:ascii="Cambria Math" w:hAnsi="Cambria Math"/>
                  <w:lang w:val="en-US"/>
                </w:rPr>
              </m:ctrlPr>
            </m:sSubPr>
            <m:e>
              <m:r>
                <w:rPr>
                  <w:rFonts w:ascii="Cambria Math" w:hAnsi="Cambria Math" w:cstheme="minorHAnsi"/>
                  <w:lang w:val="en-US"/>
                </w:rPr>
                <m:t>e</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physicalActivityVigorous</m:t>
              </m:r>
            </m:sub>
          </m:sSub>
          <m:r>
            <w:rPr>
              <w:rFonts w:ascii="Cambria Math" w:hAnsi="Cambria Math" w:cstheme="minorHAnsi"/>
              <w:lang w:val="en-US"/>
            </w:rPr>
            <m:t>PhysicalActivityVigorou</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sex</m:t>
              </m:r>
            </m:sub>
          </m:sSub>
          <m:r>
            <w:rPr>
              <w:rFonts w:ascii="Cambria Math" w:hAnsi="Cambria Math" w:cstheme="minorHAnsi"/>
              <w:lang w:val="en-US"/>
            </w:rPr>
            <m:t>Se</m:t>
          </m:r>
          <m:sSub>
            <m:sSubPr>
              <m:ctrlPr>
                <w:rPr>
                  <w:rFonts w:ascii="Cambria Math" w:hAnsi="Cambria Math"/>
                  <w:lang w:val="en-US"/>
                </w:rPr>
              </m:ctrlPr>
            </m:sSubPr>
            <m:e>
              <m:r>
                <w:rPr>
                  <w:rFonts w:ascii="Cambria Math" w:hAnsi="Cambria Math" w:cstheme="minorHAnsi"/>
                  <w:lang w:val="en-US"/>
                </w:rPr>
                <m:t>x</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fatherDiseaseStatus</m:t>
              </m:r>
            </m:sub>
          </m:sSub>
          <m:r>
            <w:rPr>
              <w:rFonts w:ascii="Cambria Math" w:hAnsi="Cambria Math" w:cstheme="minorHAnsi"/>
              <w:lang w:val="en-US"/>
            </w:rPr>
            <m:t>FatherDiseaseStatu</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motherDiseaseStatus</m:t>
              </m:r>
            </m:sub>
          </m:sSub>
          <m:r>
            <w:rPr>
              <w:rFonts w:ascii="Cambria Math" w:hAnsi="Cambria Math" w:cstheme="minorHAnsi"/>
              <w:lang w:val="en-US"/>
            </w:rPr>
            <m:t>MotherDiseaseStatu</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pgs</m:t>
              </m:r>
            </m:sub>
          </m:sSub>
          <m:r>
            <w:rPr>
              <w:rFonts w:ascii="Cambria Math" w:hAnsi="Cambria Math" w:cstheme="minorHAnsi"/>
              <w:lang w:val="en-US"/>
            </w:rPr>
            <m:t>PG</m:t>
          </m:r>
          <m:sSub>
            <m:sSubPr>
              <m:ctrlPr>
                <w:rPr>
                  <w:rFonts w:ascii="Cambria Math" w:hAnsi="Cambria Math"/>
                  <w:lang w:val="en-US"/>
                </w:rPr>
              </m:ctrlPr>
            </m:sSubPr>
            <m:e>
              <m:r>
                <w:rPr>
                  <w:rFonts w:ascii="Cambria Math" w:hAnsi="Cambria Math" w:cstheme="minorHAnsi"/>
                  <w:lang w:val="en-US"/>
                </w:rPr>
                <m:t>S</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age</m:t>
              </m:r>
            </m:sub>
          </m:sSub>
          <m:r>
            <w:rPr>
              <w:rFonts w:ascii="Cambria Math" w:hAnsi="Cambria Math" w:cstheme="minorHAnsi"/>
              <w:lang w:val="en-US"/>
            </w:rPr>
            <m:t>Ag</m:t>
          </m:r>
          <m:sSub>
            <m:sSubPr>
              <m:ctrlPr>
                <w:rPr>
                  <w:rFonts w:ascii="Cambria Math" w:hAnsi="Cambria Math"/>
                  <w:lang w:val="en-US"/>
                </w:rPr>
              </m:ctrlPr>
            </m:sSubPr>
            <m:e>
              <m:r>
                <w:rPr>
                  <w:rFonts w:ascii="Cambria Math" w:hAnsi="Cambria Math" w:cstheme="minorHAnsi"/>
                  <w:lang w:val="en-US"/>
                </w:rPr>
                <m:t>e</m:t>
              </m:r>
              <m:ctrlPr>
                <w:rPr>
                  <w:rFonts w:ascii="Cambria Math" w:hAnsi="Cambria Math" w:cstheme="minorHAnsi"/>
                  <w:i/>
                  <w:lang w:val="en-US"/>
                </w:rPr>
              </m:ctrlPr>
            </m:e>
            <m:sub>
              <m:r>
                <m:rPr>
                  <m:sty m:val="p"/>
                </m:rPr>
                <w:rPr>
                  <w:rFonts w:ascii="Cambria Math" w:hAnsi="Cambria Math"/>
                  <w:lang w:val="en-US"/>
                </w:rPr>
                <m:t>i</m:t>
              </m:r>
            </m:sub>
          </m:sSub>
          <m:r>
            <w:rPr>
              <w:rFonts w:ascii="Cambria Math" w:hAnsi="Cambria Math" w:cstheme="minorHAnsi"/>
              <w:lang w:val="en-US"/>
            </w:rPr>
            <m:t>+</m:t>
          </m:r>
          <m:sSub>
            <m:sSubPr>
              <m:ctrlPr>
                <w:rPr>
                  <w:rFonts w:ascii="Cambria Math" w:hAnsi="Cambria Math" w:cstheme="minorHAnsi"/>
                  <w:lang w:val="en-US"/>
                </w:rPr>
              </m:ctrlPr>
            </m:sSubPr>
            <m:e>
              <m:r>
                <m:rPr>
                  <m:sty m:val="p"/>
                </m:rPr>
                <w:rPr>
                  <w:rFonts w:ascii="Cambria Math" w:hAnsi="Cambria Math" w:cstheme="minorHAnsi"/>
                  <w:lang w:val="en-US"/>
                </w:rPr>
                <m:t>β</m:t>
              </m:r>
            </m:e>
            <m:sub>
              <m:r>
                <w:rPr>
                  <w:rFonts w:ascii="Cambria Math" w:hAnsi="Cambria Math" w:cstheme="minorHAnsi"/>
                  <w:lang w:val="en-US"/>
                </w:rPr>
                <m:t>PgsBmi</m:t>
              </m:r>
            </m:sub>
          </m:sSub>
          <m:r>
            <w:rPr>
              <w:rFonts w:ascii="Cambria Math" w:hAnsi="Cambria Math"/>
              <w:lang w:val="en-US"/>
            </w:rPr>
            <m:t>PG</m:t>
          </m:r>
          <m:sSub>
            <m:sSubPr>
              <m:ctrlPr>
                <w:rPr>
                  <w:rFonts w:ascii="Cambria Math" w:hAnsi="Cambria Math"/>
                  <w:lang w:val="en-US"/>
                </w:rPr>
              </m:ctrlPr>
            </m:sSubPr>
            <m:e>
              <m:r>
                <w:rPr>
                  <w:rFonts w:ascii="Cambria Math" w:hAnsi="Cambria Math"/>
                  <w:lang w:val="en-US"/>
                </w:rPr>
                <m:t>S</m:t>
              </m:r>
              <m:ctrlPr>
                <w:rPr>
                  <w:rFonts w:ascii="Cambria Math" w:hAnsi="Cambria Math"/>
                  <w:i/>
                  <w:lang w:val="en-US"/>
                </w:rPr>
              </m:ctrlPr>
            </m:e>
            <m:sub>
              <m:r>
                <m:rPr>
                  <m:sty m:val="p"/>
                </m:rPr>
                <w:rPr>
                  <w:rFonts w:ascii="Cambria Math" w:hAnsi="Cambria Math"/>
                  <w:lang w:val="en-US"/>
                </w:rPr>
                <m:t>i</m:t>
              </m:r>
            </m:sub>
          </m:sSub>
          <m:r>
            <w:rPr>
              <w:rFonts w:ascii="Cambria Math" w:hAnsi="Cambria Math"/>
              <w:lang w:val="en-US"/>
            </w:rPr>
            <m:t>*BM</m:t>
          </m:r>
          <m:sSub>
            <m:sSubPr>
              <m:ctrlPr>
                <w:rPr>
                  <w:rFonts w:ascii="Cambria Math" w:hAnsi="Cambria Math"/>
                  <w:lang w:val="en-US"/>
                </w:rPr>
              </m:ctrlPr>
            </m:sSubPr>
            <m:e>
              <m:r>
                <w:rPr>
                  <w:rFonts w:ascii="Cambria Math" w:hAnsi="Cambria Math"/>
                  <w:lang w:val="en-US"/>
                </w:rPr>
                <m:t>I</m:t>
              </m:r>
              <m:ctrlPr>
                <w:rPr>
                  <w:rFonts w:ascii="Cambria Math" w:hAnsi="Cambria Math"/>
                  <w:i/>
                  <w:lang w:val="en-US"/>
                </w:rPr>
              </m:ctrlPr>
            </m:e>
            <m:sub>
              <m:r>
                <m:rPr>
                  <m:sty m:val="p"/>
                </m:rPr>
                <w:rPr>
                  <w:rFonts w:ascii="Cambria Math" w:hAnsi="Cambria Math"/>
                  <w:lang w:val="en-US"/>
                </w:rPr>
                <m:t>i</m:t>
              </m:r>
            </m:sub>
          </m:sSub>
          <m:r>
            <w:rPr>
              <w:rFonts w:ascii="Cambria Math" w:hAnsi="Cambria Math" w:cstheme="minorHAnsi"/>
              <w:lang w:val="en-US"/>
            </w:rPr>
            <m:t>+</m:t>
          </m:r>
          <m:nary>
            <m:naryPr>
              <m:chr m:val="∑"/>
              <m:limLoc m:val="undOvr"/>
              <m:ctrlPr>
                <w:rPr>
                  <w:rFonts w:ascii="Cambria Math" w:hAnsi="Cambria Math"/>
                  <w:i/>
                  <w:lang w:val="en-US"/>
                </w:rPr>
              </m:ctrlPr>
            </m:naryPr>
            <m:sub>
              <m:r>
                <w:rPr>
                  <w:rFonts w:ascii="Cambria Math" w:hAnsi="Cambria Math"/>
                  <w:lang w:val="en-US"/>
                </w:rPr>
                <m:t>pc=1</m:t>
              </m:r>
            </m:sub>
            <m:sup>
              <m:r>
                <w:rPr>
                  <w:rFonts w:ascii="Cambria Math" w:hAnsi="Cambria Math"/>
                  <w:lang w:val="en-US"/>
                </w:rPr>
                <m:t>4</m:t>
              </m:r>
            </m:sup>
            <m:e>
              <m:sSub>
                <m:sSubPr>
                  <m:ctrlPr>
                    <w:rPr>
                      <w:rFonts w:ascii="Cambria Math" w:hAnsi="Cambria Math"/>
                      <w:i/>
                      <w:vertAlign w:val="subscript"/>
                      <w:lang w:val="en-US"/>
                    </w:rPr>
                  </m:ctrlPr>
                </m:sSubPr>
                <m:e>
                  <m:r>
                    <m:rPr>
                      <m:sty m:val="p"/>
                    </m:rPr>
                    <w:rPr>
                      <w:rFonts w:ascii="Cambria Math" w:hAnsi="Cambria Math" w:cstheme="minorHAnsi"/>
                      <w:lang w:val="en-US"/>
                    </w:rPr>
                    <m:t>β</m:t>
                  </m:r>
                  <m:ctrlPr>
                    <w:rPr>
                      <w:rFonts w:ascii="Cambria Math" w:hAnsi="Cambria Math" w:cstheme="minorHAnsi"/>
                      <w:lang w:val="en-US"/>
                    </w:rPr>
                  </m:ctrlPr>
                </m:e>
                <m:sub>
                  <m:r>
                    <w:rPr>
                      <w:rFonts w:ascii="Cambria Math" w:hAnsi="Cambria Math"/>
                      <w:vertAlign w:val="subscript"/>
                      <w:lang w:val="en-US"/>
                    </w:rPr>
                    <m:t>pc</m:t>
                  </m:r>
                </m:sub>
              </m:sSub>
              <m:r>
                <w:rPr>
                  <w:rFonts w:ascii="Cambria Math" w:hAnsi="Cambria Math"/>
                  <w:lang w:val="en-US"/>
                </w:rPr>
                <m:t xml:space="preserve"> P</m:t>
              </m:r>
              <m:sSub>
                <m:sSubPr>
                  <m:ctrlPr>
                    <w:rPr>
                      <w:rFonts w:ascii="Cambria Math" w:hAnsi="Cambria Math"/>
                      <w:lang w:val="en-US"/>
                    </w:rPr>
                  </m:ctrlPr>
                </m:sSubPr>
                <m:e>
                  <m:r>
                    <w:rPr>
                      <w:rFonts w:ascii="Cambria Math" w:hAnsi="Cambria Math"/>
                      <w:lang w:val="en-US"/>
                    </w:rPr>
                    <m:t>C</m:t>
                  </m:r>
                  <m:ctrlPr>
                    <w:rPr>
                      <w:rFonts w:ascii="Cambria Math" w:hAnsi="Cambria Math"/>
                      <w:i/>
                      <w:lang w:val="en-US"/>
                    </w:rPr>
                  </m:ctrlPr>
                </m:e>
                <m:sub>
                  <m:r>
                    <m:rPr>
                      <m:sty m:val="p"/>
                    </m:rPr>
                    <w:rPr>
                      <w:rFonts w:ascii="Cambria Math" w:hAnsi="Cambria Math"/>
                      <w:lang w:val="en-US"/>
                    </w:rPr>
                    <m:t>i</m:t>
                  </m:r>
                </m:sub>
              </m:sSub>
            </m:e>
          </m:nary>
          <m:r>
            <w:rPr>
              <w:rFonts w:ascii="Cambria Math" w:hAnsi="Cambria Math"/>
              <w:lang w:val="en-US"/>
            </w:rPr>
            <m:t>+</m:t>
          </m:r>
          <m:nary>
            <m:naryPr>
              <m:chr m:val="∑"/>
              <m:limLoc m:val="undOvr"/>
              <m:ctrlPr>
                <w:rPr>
                  <w:rFonts w:ascii="Cambria Math" w:hAnsi="Cambria Math"/>
                  <w:i/>
                  <w:lang w:val="en-US"/>
                </w:rPr>
              </m:ctrlPr>
            </m:naryPr>
            <m:sub>
              <m:r>
                <w:rPr>
                  <w:rFonts w:ascii="Cambria Math" w:hAnsi="Cambria Math"/>
                  <w:lang w:val="en-US"/>
                </w:rPr>
                <m:t>batch=1</m:t>
              </m:r>
            </m:sub>
            <m:sup>
              <m:r>
                <w:rPr>
                  <w:rFonts w:ascii="Cambria Math" w:hAnsi="Cambria Math"/>
                  <w:lang w:val="en-US"/>
                </w:rPr>
                <m:t>95</m:t>
              </m:r>
            </m:sup>
            <m:e>
              <m:sSub>
                <m:sSubPr>
                  <m:ctrlPr>
                    <w:rPr>
                      <w:rFonts w:ascii="Cambria Math" w:hAnsi="Cambria Math"/>
                      <w:i/>
                      <w:vertAlign w:val="subscript"/>
                      <w:lang w:val="en-US"/>
                    </w:rPr>
                  </m:ctrlPr>
                </m:sSubPr>
                <m:e>
                  <m:r>
                    <m:rPr>
                      <m:sty m:val="p"/>
                    </m:rPr>
                    <w:rPr>
                      <w:rFonts w:ascii="Cambria Math" w:hAnsi="Cambria Math" w:cstheme="minorHAnsi"/>
                      <w:lang w:val="en-US"/>
                    </w:rPr>
                    <m:t>β</m:t>
                  </m:r>
                  <m:ctrlPr>
                    <w:rPr>
                      <w:rFonts w:ascii="Cambria Math" w:hAnsi="Cambria Math" w:cstheme="minorHAnsi"/>
                      <w:lang w:val="en-US"/>
                    </w:rPr>
                  </m:ctrlPr>
                </m:e>
                <m:sub>
                  <m:r>
                    <w:rPr>
                      <w:rFonts w:ascii="Cambria Math" w:hAnsi="Cambria Math" w:cstheme="minorHAnsi"/>
                      <w:lang w:val="en-US"/>
                    </w:rPr>
                    <m:t>batch</m:t>
                  </m:r>
                </m:sub>
              </m:sSub>
              <m:r>
                <w:rPr>
                  <w:rFonts w:ascii="Cambria Math" w:hAnsi="Cambria Math"/>
                  <w:lang w:val="en-US"/>
                </w:rPr>
                <m:t xml:space="preserve"> batc</m:t>
              </m:r>
              <m:sSub>
                <m:sSubPr>
                  <m:ctrlPr>
                    <w:rPr>
                      <w:rFonts w:ascii="Cambria Math" w:hAnsi="Cambria Math"/>
                      <w:lang w:val="en-US"/>
                    </w:rPr>
                  </m:ctrlPr>
                </m:sSubPr>
                <m:e>
                  <m:r>
                    <w:rPr>
                      <w:rFonts w:ascii="Cambria Math" w:hAnsi="Cambria Math"/>
                      <w:lang w:val="en-US"/>
                    </w:rPr>
                    <m:t>h</m:t>
                  </m:r>
                  <m:ctrlPr>
                    <w:rPr>
                      <w:rFonts w:ascii="Cambria Math" w:hAnsi="Cambria Math"/>
                      <w:i/>
                      <w:lang w:val="en-US"/>
                    </w:rPr>
                  </m:ctrlPr>
                </m:e>
                <m:sub>
                  <m:r>
                    <m:rPr>
                      <m:sty m:val="p"/>
                    </m:rPr>
                    <w:rPr>
                      <w:rFonts w:ascii="Cambria Math" w:hAnsi="Cambria Math"/>
                      <w:lang w:val="en-US"/>
                    </w:rPr>
                    <m:t>i</m:t>
                  </m:r>
                </m:sub>
              </m:sSub>
            </m:e>
          </m:nary>
        </m:oMath>
      </m:oMathPara>
    </w:p>
    <w:p w14:paraId="45291FBA" w14:textId="77777777" w:rsidR="00983EAD" w:rsidRDefault="00983EAD" w:rsidP="00983EAD">
      <w:pPr>
        <w:rPr>
          <w:lang w:val="en-US"/>
        </w:rPr>
      </w:pPr>
    </w:p>
    <w:bookmarkEnd w:id="1"/>
    <w:p w14:paraId="7F6C931F" w14:textId="77777777" w:rsidR="007F0F6C" w:rsidRDefault="007F0F6C" w:rsidP="007F0F6C">
      <w:pPr>
        <w:rPr>
          <w:lang w:val="en-US"/>
        </w:rPr>
      </w:pPr>
    </w:p>
    <w:p w14:paraId="3FDEA016" w14:textId="2E991E4C" w:rsidR="00776C60" w:rsidRPr="00776C60" w:rsidRDefault="007F0F6C" w:rsidP="007F0F6C">
      <w:pPr>
        <w:rPr>
          <w:lang w:val="en-US"/>
        </w:rPr>
      </w:pPr>
      <w:r>
        <w:rPr>
          <w:lang w:val="en-US"/>
        </w:rPr>
        <w:t xml:space="preserve">Where </w:t>
      </w:r>
      <w:r>
        <w:rPr>
          <w:rFonts w:cstheme="minorHAnsi"/>
          <w:lang w:val="en-US"/>
        </w:rPr>
        <w:t>β</w:t>
      </w:r>
      <w:r w:rsidRPr="00C46909">
        <w:rPr>
          <w:vertAlign w:val="subscript"/>
          <w:lang w:val="en-US"/>
        </w:rPr>
        <w:t>0</w:t>
      </w:r>
      <w:r>
        <w:rPr>
          <w:lang w:val="en-US"/>
        </w:rPr>
        <w:t xml:space="preserve"> is the intercept, and </w:t>
      </w:r>
      <w:r>
        <w:rPr>
          <w:rFonts w:cstheme="minorHAnsi"/>
          <w:lang w:val="en-US"/>
        </w:rPr>
        <w:t>β</w:t>
      </w:r>
      <w:r>
        <w:rPr>
          <w:vertAlign w:val="subscript"/>
          <w:lang w:val="en-US"/>
        </w:rPr>
        <w:t>pgs</w:t>
      </w:r>
      <w:r>
        <w:rPr>
          <w:lang w:val="en-US"/>
        </w:rPr>
        <w:t>,</w:t>
      </w:r>
      <w:r w:rsidRPr="00A54A66">
        <w:rPr>
          <w:rFonts w:cstheme="minorHAnsi"/>
          <w:lang w:val="en-US"/>
        </w:rPr>
        <w:t xml:space="preserve"> </w:t>
      </w:r>
      <w:r>
        <w:rPr>
          <w:rFonts w:cstheme="minorHAnsi"/>
          <w:lang w:val="en-US"/>
        </w:rPr>
        <w:t>β</w:t>
      </w:r>
      <w:r>
        <w:rPr>
          <w:vertAlign w:val="subscript"/>
          <w:lang w:val="en-US"/>
        </w:rPr>
        <w:t>sex</w:t>
      </w:r>
      <w:r>
        <w:rPr>
          <w:lang w:val="en-US"/>
        </w:rPr>
        <w:t>,</w:t>
      </w:r>
      <w:r w:rsidRPr="00A54A66">
        <w:rPr>
          <w:rFonts w:cstheme="minorHAnsi"/>
          <w:lang w:val="en-US"/>
        </w:rPr>
        <w:t xml:space="preserve"> </w:t>
      </w:r>
      <w:r>
        <w:rPr>
          <w:rFonts w:cstheme="minorHAnsi"/>
          <w:lang w:val="en-US"/>
        </w:rPr>
        <w:t>β</w:t>
      </w:r>
      <w:r>
        <w:rPr>
          <w:vertAlign w:val="subscript"/>
          <w:lang w:val="en-US"/>
        </w:rPr>
        <w:t>age</w:t>
      </w:r>
      <w:r>
        <w:rPr>
          <w:lang w:val="en-US"/>
        </w:rPr>
        <w:t xml:space="preserve">, </w:t>
      </w:r>
      <w:r>
        <w:rPr>
          <w:rFonts w:cstheme="minorHAnsi"/>
          <w:lang w:val="en-US"/>
        </w:rPr>
        <w:t>β</w:t>
      </w:r>
      <w:r>
        <w:rPr>
          <w:vertAlign w:val="subscript"/>
          <w:lang w:val="en-US"/>
        </w:rPr>
        <w:t>bmi</w:t>
      </w:r>
      <w:r>
        <w:rPr>
          <w:lang w:val="en-US"/>
        </w:rPr>
        <w:t>,</w:t>
      </w:r>
      <w:r w:rsidRPr="00250E04">
        <w:rPr>
          <w:rFonts w:cstheme="minorHAnsi"/>
          <w:lang w:val="en-US"/>
        </w:rPr>
        <w:t xml:space="preserve"> </w:t>
      </w:r>
      <w:r>
        <w:rPr>
          <w:rFonts w:cstheme="minorHAnsi"/>
          <w:lang w:val="en-US"/>
        </w:rPr>
        <w:t>β</w:t>
      </w:r>
      <w:r>
        <w:rPr>
          <w:vertAlign w:val="subscript"/>
          <w:lang w:val="en-US"/>
        </w:rPr>
        <w:t>smoker</w:t>
      </w:r>
      <w:r>
        <w:rPr>
          <w:lang w:val="en-US"/>
        </w:rPr>
        <w:t>,</w:t>
      </w:r>
      <w:r w:rsidRPr="00250E04">
        <w:rPr>
          <w:rFonts w:cstheme="minorHAnsi"/>
          <w:lang w:val="en-US"/>
        </w:rPr>
        <w:t xml:space="preserve"> </w:t>
      </w:r>
      <w:r>
        <w:rPr>
          <w:rFonts w:cstheme="minorHAnsi"/>
          <w:lang w:val="en-US"/>
        </w:rPr>
        <w:t>β</w:t>
      </w:r>
      <w:r>
        <w:rPr>
          <w:vertAlign w:val="subscript"/>
          <w:lang w:val="en-US"/>
        </w:rPr>
        <w:t>pa</w:t>
      </w:r>
      <w:r>
        <w:rPr>
          <w:lang w:val="en-US"/>
        </w:rPr>
        <w:t>,</w:t>
      </w:r>
      <w:r w:rsidRPr="00250E04">
        <w:rPr>
          <w:rFonts w:cstheme="minorHAnsi"/>
          <w:lang w:val="en-US"/>
        </w:rPr>
        <w:t xml:space="preserve"> </w:t>
      </w:r>
      <w:r>
        <w:rPr>
          <w:rFonts w:cstheme="minorHAnsi"/>
          <w:lang w:val="en-US"/>
        </w:rPr>
        <w:t>β</w:t>
      </w:r>
      <w:r>
        <w:rPr>
          <w:vertAlign w:val="subscript"/>
          <w:lang w:val="en-US"/>
        </w:rPr>
        <w:t>sex</w:t>
      </w:r>
      <w:r>
        <w:rPr>
          <w:lang w:val="en-US"/>
        </w:rPr>
        <w:t>,</w:t>
      </w:r>
      <w:r w:rsidRPr="00250E04">
        <w:rPr>
          <w:rFonts w:cstheme="minorHAnsi"/>
          <w:lang w:val="en-US"/>
        </w:rPr>
        <w:t xml:space="preserve"> </w:t>
      </w:r>
      <w:r>
        <w:rPr>
          <w:rFonts w:cstheme="minorHAnsi"/>
          <w:lang w:val="en-US"/>
        </w:rPr>
        <w:t>β</w:t>
      </w:r>
      <w:r>
        <w:rPr>
          <w:vertAlign w:val="subscript"/>
          <w:lang w:val="en-US"/>
        </w:rPr>
        <w:t>parent</w:t>
      </w:r>
      <w:r>
        <w:rPr>
          <w:lang w:val="en-US"/>
        </w:rPr>
        <w:t xml:space="preserve"> the regression coefficient for the respective variables and </w:t>
      </w:r>
      <w:r>
        <w:rPr>
          <w:rFonts w:cstheme="minorHAnsi"/>
          <w:lang w:val="en-US"/>
        </w:rPr>
        <w:t>β</w:t>
      </w:r>
      <w:r>
        <w:rPr>
          <w:vertAlign w:val="subscript"/>
          <w:lang w:val="en-US"/>
        </w:rPr>
        <w:t xml:space="preserve">PgsBmi </w:t>
      </w:r>
      <w:r>
        <w:rPr>
          <w:vertAlign w:val="superscript"/>
          <w:lang w:val="en-US"/>
        </w:rPr>
        <w:t xml:space="preserve"> </w:t>
      </w:r>
      <w:r>
        <w:rPr>
          <w:lang w:val="en-US"/>
        </w:rPr>
        <w:t xml:space="preserve">the regression coefficient for the multiplicative term. </w:t>
      </w:r>
      <w:r>
        <w:rPr>
          <w:rFonts w:cstheme="minorHAnsi"/>
          <w:lang w:val="en-US"/>
        </w:rPr>
        <w:t>β</w:t>
      </w:r>
      <w:r>
        <w:rPr>
          <w:vertAlign w:val="subscript"/>
          <w:lang w:val="en-US"/>
        </w:rPr>
        <w:t>pc</w:t>
      </w:r>
      <w:r>
        <w:rPr>
          <w:lang w:val="en-US"/>
        </w:rPr>
        <w:t xml:space="preserve"> is the regression coefficient for the respective PC and </w:t>
      </w:r>
      <w:r>
        <w:rPr>
          <w:rFonts w:cstheme="minorHAnsi"/>
          <w:lang w:val="en-US"/>
        </w:rPr>
        <w:t>β</w:t>
      </w:r>
      <w:r>
        <w:rPr>
          <w:vertAlign w:val="subscript"/>
          <w:lang w:val="en-US"/>
        </w:rPr>
        <w:t>batch</w:t>
      </w:r>
      <w:r>
        <w:rPr>
          <w:lang w:val="en-US"/>
        </w:rPr>
        <w:t xml:space="preserve"> the regression component for the respective </w:t>
      </w:r>
      <w:r>
        <w:rPr>
          <w:lang w:val="en-US"/>
        </w:rPr>
        <w:lastRenderedPageBreak/>
        <w:t xml:space="preserve">batch. </w:t>
      </w:r>
      <w:r w:rsidR="00776C60">
        <w:rPr>
          <w:rFonts w:cstheme="minorHAnsi"/>
          <w:lang w:val="en-US"/>
        </w:rPr>
        <w:t>β</w:t>
      </w:r>
      <w:r w:rsidR="00776C60">
        <w:rPr>
          <w:rFonts w:cstheme="minorHAnsi"/>
          <w:vertAlign w:val="subscript"/>
          <w:lang w:val="en-US"/>
        </w:rPr>
        <w:t>covariates</w:t>
      </w:r>
      <w:r w:rsidR="00776C60">
        <w:rPr>
          <w:rFonts w:cstheme="minorHAnsi"/>
          <w:lang w:val="en-US"/>
        </w:rPr>
        <w:t xml:space="preserve"> details the regression coefficients for the included respective covariate. In all cases, variables </w:t>
      </w:r>
      <w:r w:rsidR="00131735">
        <w:rPr>
          <w:rFonts w:cstheme="minorHAnsi"/>
          <w:lang w:val="en-US"/>
        </w:rPr>
        <w:t>not included as predictors are included as covariates</w:t>
      </w:r>
      <w:r w:rsidR="00776C60">
        <w:rPr>
          <w:rFonts w:cstheme="minorHAnsi"/>
          <w:lang w:val="en-US"/>
        </w:rPr>
        <w:t>.</w:t>
      </w:r>
    </w:p>
    <w:p w14:paraId="03550786" w14:textId="5AB04E72" w:rsidR="007F0F6C" w:rsidRDefault="007F0F6C" w:rsidP="007F0F6C">
      <w:pPr>
        <w:rPr>
          <w:lang w:val="en-US"/>
        </w:rPr>
      </w:pPr>
      <w:r w:rsidRPr="00197E68">
        <w:rPr>
          <w:i/>
          <w:iCs/>
          <w:lang w:val="en-US"/>
        </w:rPr>
        <w:t>O</w:t>
      </w:r>
      <w:r w:rsidRPr="00F77615">
        <w:rPr>
          <w:i/>
          <w:iCs/>
          <w:lang w:val="en-US"/>
        </w:rPr>
        <w:t>utcome</w:t>
      </w:r>
      <w:r>
        <w:rPr>
          <w:lang w:val="en-US"/>
        </w:rPr>
        <w:t xml:space="preserve"> is the diagnosis status for either T2D or CAD, described in more detail below (section "Disease annotation").</w:t>
      </w:r>
    </w:p>
    <w:p w14:paraId="6F73C465" w14:textId="1BC051CA" w:rsidR="007F0F6C" w:rsidRDefault="007F0F6C" w:rsidP="007F0F6C">
      <w:pPr>
        <w:pStyle w:val="Heading2"/>
        <w:rPr>
          <w:shd w:val="clear" w:color="auto" w:fill="FFFFFF"/>
          <w:lang w:val="en-US"/>
        </w:rPr>
      </w:pPr>
      <w:r>
        <w:rPr>
          <w:shd w:val="clear" w:color="auto" w:fill="FFFFFF"/>
          <w:lang w:val="en-US"/>
        </w:rPr>
        <w:t>Disease annotation</w:t>
      </w:r>
    </w:p>
    <w:p w14:paraId="781BFB98" w14:textId="77777777" w:rsidR="002C41E2" w:rsidRDefault="007F0F6C" w:rsidP="002C41E2">
      <w:pPr>
        <w:rPr>
          <w:lang w:val="en-US"/>
        </w:rPr>
      </w:pPr>
      <w:r>
        <w:rPr>
          <w:lang w:val="en-US"/>
        </w:rPr>
        <w:t>The models were built to predict either T2D or CAD. These annotations were defined depending on the biobank's available information as described below.</w:t>
      </w:r>
    </w:p>
    <w:p w14:paraId="749EEAF5" w14:textId="77777777" w:rsidR="002C41E2" w:rsidRDefault="007F0F6C" w:rsidP="002C41E2">
      <w:pPr>
        <w:rPr>
          <w:rFonts w:ascii="Calibri" w:hAnsi="Calibri" w:cs="Calibri"/>
          <w:b/>
          <w:bCs/>
          <w:lang w:val="en-US"/>
        </w:rPr>
      </w:pPr>
      <w:r w:rsidRPr="001A5FA0">
        <w:rPr>
          <w:rFonts w:ascii="Calibri" w:hAnsi="Calibri" w:cs="Calibri"/>
          <w:b/>
          <w:bCs/>
          <w:lang w:val="en-US"/>
        </w:rPr>
        <w:t>UKBiobank</w:t>
      </w:r>
    </w:p>
    <w:p w14:paraId="54717EF1" w14:textId="0DC64B1B" w:rsidR="007F0F6C" w:rsidRPr="002C41E2" w:rsidRDefault="007F0F6C" w:rsidP="002C41E2">
      <w:pPr>
        <w:rPr>
          <w:rFonts w:ascii="Calibri" w:hAnsi="Calibri" w:cs="Calibri"/>
          <w:b/>
          <w:bCs/>
          <w:lang w:val="en-US"/>
        </w:rPr>
      </w:pPr>
      <w:r w:rsidRPr="001A5FA0">
        <w:rPr>
          <w:rFonts w:ascii="Calibri" w:hAnsi="Calibri" w:cs="Calibri"/>
          <w:lang w:val="en-US"/>
        </w:rPr>
        <w:t xml:space="preserve">Disease annotations were based on self-report in an interview with a trained nurse (Data-Fields 20002 and 20004) or via ACE touchscreen questions (Data-Fields 2443 and 6150), hospital reports coded according to the International Classification of Disease version 9 (ICD-9, Data-Fields 41271, 41203 and 41205) and version 10 (ICD-10, UKB Data-Fields 41270, 41202, 41204), and reported operative procedures coded according to the Office of Population Censuses and Surveys Classification of Interventions and Procedures version 4 (OPCS-4, UKB Data-Field 41272, 41200). Supplemental Table </w:t>
      </w:r>
      <w:r w:rsidR="006617D7">
        <w:rPr>
          <w:rFonts w:ascii="Calibri" w:hAnsi="Calibri" w:cs="Calibri"/>
          <w:lang w:val="en-US"/>
        </w:rPr>
        <w:t>//</w:t>
      </w:r>
      <w:r w:rsidRPr="001A5FA0">
        <w:rPr>
          <w:rFonts w:ascii="Calibri" w:hAnsi="Calibri" w:cs="Calibri"/>
          <w:lang w:val="en-US"/>
        </w:rPr>
        <w:t xml:space="preserve"> lists all the Data-Fields used to calculate disease incidence and the Data-Fields of the associated ages or dates of diagnosis that were used to determine if participants developed the disease before or after their first UKB center visit.</w:t>
      </w:r>
    </w:p>
    <w:p w14:paraId="211FC0EA" w14:textId="77777777" w:rsidR="007F0F6C" w:rsidRPr="000E2B2A" w:rsidRDefault="007F0F6C" w:rsidP="007F0F6C">
      <w:pPr>
        <w:pStyle w:val="Heading3"/>
        <w:rPr>
          <w:rFonts w:ascii="Calibri" w:hAnsi="Calibri" w:cs="Calibri"/>
          <w:b/>
          <w:bCs/>
          <w:color w:val="000000" w:themeColor="text1"/>
          <w:sz w:val="22"/>
          <w:szCs w:val="22"/>
          <w:lang w:val="en-US"/>
        </w:rPr>
      </w:pPr>
    </w:p>
    <w:p w14:paraId="5A3890EC" w14:textId="67AF664B" w:rsidR="007F0F6C" w:rsidRPr="000E2B2A" w:rsidRDefault="007F0F6C" w:rsidP="007F0F6C">
      <w:pPr>
        <w:pStyle w:val="Heading3"/>
        <w:rPr>
          <w:rFonts w:ascii="Calibri" w:hAnsi="Calibri" w:cs="Calibri"/>
          <w:color w:val="000000" w:themeColor="text1"/>
          <w:sz w:val="22"/>
          <w:szCs w:val="22"/>
          <w:lang w:val="en-US"/>
        </w:rPr>
      </w:pPr>
      <w:r w:rsidRPr="000E2B2A">
        <w:rPr>
          <w:rFonts w:ascii="Calibri" w:hAnsi="Calibri" w:cs="Calibri"/>
          <w:color w:val="000000" w:themeColor="text1"/>
          <w:sz w:val="22"/>
          <w:szCs w:val="22"/>
          <w:lang w:val="en-US"/>
        </w:rPr>
        <w:t>For CAD, diagnosis was based on self-reported heart attack (Data-Fields 20</w:t>
      </w:r>
      <w:r w:rsidR="00377DE6" w:rsidRPr="000E2B2A">
        <w:rPr>
          <w:rFonts w:ascii="Calibri" w:hAnsi="Calibri" w:cs="Calibri"/>
          <w:color w:val="000000" w:themeColor="text1"/>
          <w:sz w:val="22"/>
          <w:szCs w:val="22"/>
          <w:lang w:val="en-US"/>
        </w:rPr>
        <w:t>,</w:t>
      </w:r>
      <w:r w:rsidRPr="000E2B2A">
        <w:rPr>
          <w:rFonts w:ascii="Calibri" w:hAnsi="Calibri" w:cs="Calibri"/>
          <w:color w:val="000000" w:themeColor="text1"/>
          <w:sz w:val="22"/>
          <w:szCs w:val="22"/>
          <w:lang w:val="en-US"/>
        </w:rPr>
        <w:t>002 Data-Field 6</w:t>
      </w:r>
      <w:r w:rsidR="00377DE6" w:rsidRPr="000E2B2A">
        <w:rPr>
          <w:rFonts w:ascii="Calibri" w:hAnsi="Calibri" w:cs="Calibri"/>
          <w:color w:val="000000" w:themeColor="text1"/>
          <w:sz w:val="22"/>
          <w:szCs w:val="22"/>
          <w:lang w:val="en-US"/>
        </w:rPr>
        <w:t>,</w:t>
      </w:r>
      <w:r w:rsidRPr="000E2B2A">
        <w:rPr>
          <w:rFonts w:ascii="Calibri" w:hAnsi="Calibri" w:cs="Calibri"/>
          <w:color w:val="000000" w:themeColor="text1"/>
          <w:sz w:val="22"/>
          <w:szCs w:val="22"/>
          <w:lang w:val="en-US"/>
        </w:rPr>
        <w:t xml:space="preserve">150), </w:t>
      </w:r>
      <w:r w:rsidR="00733DC1" w:rsidRPr="000E2B2A">
        <w:rPr>
          <w:rFonts w:ascii="Calibri" w:hAnsi="Calibri" w:cs="Calibri"/>
          <w:color w:val="000000" w:themeColor="text1"/>
          <w:sz w:val="22"/>
          <w:szCs w:val="22"/>
          <w:lang w:val="en-US"/>
        </w:rPr>
        <w:t>self-reported</w:t>
      </w:r>
      <w:r w:rsidRPr="000E2B2A">
        <w:rPr>
          <w:rFonts w:ascii="Calibri" w:hAnsi="Calibri" w:cs="Calibri"/>
          <w:color w:val="000000" w:themeColor="text1"/>
          <w:sz w:val="22"/>
          <w:szCs w:val="22"/>
          <w:lang w:val="en-US"/>
        </w:rPr>
        <w:t xml:space="preserve"> operation (PTCA, CABG or triple heart bypass, Data-Field 20</w:t>
      </w:r>
      <w:r w:rsidR="00377DE6" w:rsidRPr="000E2B2A">
        <w:rPr>
          <w:rFonts w:ascii="Calibri" w:hAnsi="Calibri" w:cs="Calibri"/>
          <w:color w:val="000000" w:themeColor="text1"/>
          <w:sz w:val="22"/>
          <w:szCs w:val="22"/>
          <w:lang w:val="en-US"/>
        </w:rPr>
        <w:t>,</w:t>
      </w:r>
      <w:r w:rsidRPr="000E2B2A">
        <w:rPr>
          <w:rFonts w:ascii="Calibri" w:hAnsi="Calibri" w:cs="Calibri"/>
          <w:color w:val="000000" w:themeColor="text1"/>
          <w:sz w:val="22"/>
          <w:szCs w:val="22"/>
          <w:lang w:val="en-US"/>
        </w:rPr>
        <w:t>004), hospital admission for myocardial infarction (ICD-9 codes 410.X, 411.0, 412.X and 429.79, Data-Fields 41</w:t>
      </w:r>
      <w:r w:rsidR="00377DE6" w:rsidRPr="000E2B2A">
        <w:rPr>
          <w:rFonts w:ascii="Calibri" w:hAnsi="Calibri" w:cs="Calibri"/>
          <w:color w:val="000000" w:themeColor="text1"/>
          <w:sz w:val="22"/>
          <w:szCs w:val="22"/>
          <w:lang w:val="en-US"/>
        </w:rPr>
        <w:t>,</w:t>
      </w:r>
      <w:r w:rsidRPr="000E2B2A">
        <w:rPr>
          <w:rFonts w:ascii="Calibri" w:hAnsi="Calibri" w:cs="Calibri"/>
          <w:color w:val="000000" w:themeColor="text1"/>
          <w:sz w:val="22"/>
          <w:szCs w:val="22"/>
          <w:lang w:val="en-US"/>
        </w:rPr>
        <w:t>271, 41</w:t>
      </w:r>
      <w:r w:rsidR="00377DE6" w:rsidRPr="000E2B2A">
        <w:rPr>
          <w:rFonts w:ascii="Calibri" w:hAnsi="Calibri" w:cs="Calibri"/>
          <w:color w:val="000000" w:themeColor="text1"/>
          <w:sz w:val="22"/>
          <w:szCs w:val="22"/>
          <w:lang w:val="en-US"/>
        </w:rPr>
        <w:t>,</w:t>
      </w:r>
      <w:r w:rsidRPr="000E2B2A">
        <w:rPr>
          <w:rFonts w:ascii="Calibri" w:hAnsi="Calibri" w:cs="Calibri"/>
          <w:color w:val="000000" w:themeColor="text1"/>
          <w:sz w:val="22"/>
          <w:szCs w:val="22"/>
          <w:lang w:val="en-US"/>
        </w:rPr>
        <w:t>203 and 41</w:t>
      </w:r>
      <w:r w:rsidR="00377DE6" w:rsidRPr="000E2B2A">
        <w:rPr>
          <w:rFonts w:ascii="Calibri" w:hAnsi="Calibri" w:cs="Calibri"/>
          <w:color w:val="000000" w:themeColor="text1"/>
          <w:sz w:val="22"/>
          <w:szCs w:val="22"/>
          <w:lang w:val="en-US"/>
        </w:rPr>
        <w:t>,</w:t>
      </w:r>
      <w:r w:rsidRPr="000E2B2A">
        <w:rPr>
          <w:rFonts w:ascii="Calibri" w:hAnsi="Calibri" w:cs="Calibri"/>
          <w:color w:val="000000" w:themeColor="text1"/>
          <w:sz w:val="22"/>
          <w:szCs w:val="22"/>
          <w:lang w:val="en-US"/>
        </w:rPr>
        <w:t>205), reported coronary artery bypass grafting (OPCS-4 codes K40.1–40.4, K41.1–41.4, or K45.1–45.5, Data-Fields 41272 and 41</w:t>
      </w:r>
      <w:r w:rsidR="00377DE6" w:rsidRPr="000E2B2A">
        <w:rPr>
          <w:rFonts w:ascii="Calibri" w:hAnsi="Calibri" w:cs="Calibri"/>
          <w:color w:val="000000" w:themeColor="text1"/>
          <w:sz w:val="22"/>
          <w:szCs w:val="22"/>
          <w:lang w:val="en-US"/>
        </w:rPr>
        <w:t>,</w:t>
      </w:r>
      <w:r w:rsidRPr="000E2B2A">
        <w:rPr>
          <w:rFonts w:ascii="Calibri" w:hAnsi="Calibri" w:cs="Calibri"/>
          <w:color w:val="000000" w:themeColor="text1"/>
          <w:sz w:val="22"/>
          <w:szCs w:val="22"/>
          <w:lang w:val="en-US"/>
        </w:rPr>
        <w:t>200) and reported coronary angioplasty (OPCS-4 codes K49.1–49.2, K49.8–49.9, K50.2, K75.1–75.4, and K75.8–75.9, Data-Fields 41</w:t>
      </w:r>
      <w:r w:rsidR="00377DE6" w:rsidRPr="000E2B2A">
        <w:rPr>
          <w:rFonts w:ascii="Calibri" w:hAnsi="Calibri" w:cs="Calibri"/>
          <w:color w:val="000000" w:themeColor="text1"/>
          <w:sz w:val="22"/>
          <w:szCs w:val="22"/>
          <w:lang w:val="en-US"/>
        </w:rPr>
        <w:t>,</w:t>
      </w:r>
      <w:r w:rsidRPr="000E2B2A">
        <w:rPr>
          <w:rFonts w:ascii="Calibri" w:hAnsi="Calibri" w:cs="Calibri"/>
          <w:color w:val="000000" w:themeColor="text1"/>
          <w:sz w:val="22"/>
          <w:szCs w:val="22"/>
          <w:lang w:val="en-US"/>
        </w:rPr>
        <w:t>272 and 41</w:t>
      </w:r>
      <w:r w:rsidR="00377DE6" w:rsidRPr="000E2B2A">
        <w:rPr>
          <w:rFonts w:ascii="Calibri" w:hAnsi="Calibri" w:cs="Calibri"/>
          <w:color w:val="000000" w:themeColor="text1"/>
          <w:sz w:val="22"/>
          <w:szCs w:val="22"/>
          <w:lang w:val="en-US"/>
        </w:rPr>
        <w:t>,</w:t>
      </w:r>
      <w:r w:rsidRPr="000E2B2A">
        <w:rPr>
          <w:rFonts w:ascii="Calibri" w:hAnsi="Calibri" w:cs="Calibri"/>
          <w:color w:val="000000" w:themeColor="text1"/>
          <w:sz w:val="22"/>
          <w:szCs w:val="22"/>
          <w:lang w:val="en-US"/>
        </w:rPr>
        <w:t>200).</w:t>
      </w:r>
    </w:p>
    <w:p w14:paraId="471C8540" w14:textId="77777777" w:rsidR="007F0F6C" w:rsidRPr="000E2B2A" w:rsidRDefault="007F0F6C" w:rsidP="007F0F6C">
      <w:pPr>
        <w:pStyle w:val="Heading3"/>
        <w:rPr>
          <w:rFonts w:ascii="Calibri" w:hAnsi="Calibri" w:cs="Calibri"/>
          <w:color w:val="000000" w:themeColor="text1"/>
          <w:sz w:val="22"/>
          <w:szCs w:val="22"/>
          <w:lang w:val="en-US"/>
        </w:rPr>
      </w:pPr>
    </w:p>
    <w:p w14:paraId="2C30C816" w14:textId="290D09AA" w:rsidR="007F0F6C" w:rsidRPr="000E2B2A" w:rsidRDefault="007F0F6C" w:rsidP="007F0F6C">
      <w:pPr>
        <w:pStyle w:val="Heading3"/>
        <w:rPr>
          <w:rFonts w:ascii="Calibri" w:hAnsi="Calibri" w:cs="Calibri"/>
          <w:color w:val="000000" w:themeColor="text1"/>
          <w:sz w:val="22"/>
          <w:szCs w:val="22"/>
          <w:lang w:val="en-US"/>
        </w:rPr>
      </w:pPr>
      <w:r w:rsidRPr="000E2B2A">
        <w:rPr>
          <w:rFonts w:ascii="Calibri" w:hAnsi="Calibri" w:cs="Calibri"/>
          <w:b/>
          <w:bCs/>
          <w:color w:val="000000" w:themeColor="text1"/>
          <w:sz w:val="22"/>
          <w:szCs w:val="22"/>
          <w:lang w:val="en-US"/>
        </w:rPr>
        <w:t>T2D</w:t>
      </w:r>
      <w:r w:rsidRPr="000E2B2A">
        <w:rPr>
          <w:rFonts w:ascii="Calibri" w:hAnsi="Calibri" w:cs="Calibri"/>
          <w:color w:val="000000" w:themeColor="text1"/>
          <w:sz w:val="22"/>
          <w:szCs w:val="22"/>
          <w:lang w:val="en-US"/>
        </w:rPr>
        <w:t xml:space="preserve"> diagnoses were based on self-reported answer whether a doctor had ever given the diagnosis diabetes (Data-Field 2</w:t>
      </w:r>
      <w:r w:rsidR="00377DE6" w:rsidRPr="000E2B2A">
        <w:rPr>
          <w:rFonts w:ascii="Calibri" w:hAnsi="Calibri" w:cs="Calibri"/>
          <w:color w:val="000000" w:themeColor="text1"/>
          <w:sz w:val="22"/>
          <w:szCs w:val="22"/>
          <w:lang w:val="en-US"/>
        </w:rPr>
        <w:t>,</w:t>
      </w:r>
      <w:r w:rsidRPr="000E2B2A">
        <w:rPr>
          <w:rFonts w:ascii="Calibri" w:hAnsi="Calibri" w:cs="Calibri"/>
          <w:color w:val="000000" w:themeColor="text1"/>
          <w:sz w:val="22"/>
          <w:szCs w:val="22"/>
          <w:lang w:val="en-US"/>
        </w:rPr>
        <w:t>443) and self-reported type 2 diabetes in an interview with a trained nurse (Data-Field 20</w:t>
      </w:r>
      <w:r w:rsidR="00377DE6" w:rsidRPr="000E2B2A">
        <w:rPr>
          <w:rFonts w:ascii="Calibri" w:hAnsi="Calibri" w:cs="Calibri"/>
          <w:color w:val="000000" w:themeColor="text1"/>
          <w:sz w:val="22"/>
          <w:szCs w:val="22"/>
          <w:lang w:val="en-US"/>
        </w:rPr>
        <w:t>,</w:t>
      </w:r>
      <w:r w:rsidRPr="000E2B2A">
        <w:rPr>
          <w:rFonts w:ascii="Calibri" w:hAnsi="Calibri" w:cs="Calibri"/>
          <w:color w:val="000000" w:themeColor="text1"/>
          <w:sz w:val="22"/>
          <w:szCs w:val="22"/>
          <w:lang w:val="en-US"/>
        </w:rPr>
        <w:t>002). Individuals with self-reported T1D were annotated as not having T2D.</w:t>
      </w:r>
    </w:p>
    <w:p w14:paraId="6678B3AE" w14:textId="77777777" w:rsidR="007F0F6C" w:rsidRPr="000E2B2A" w:rsidRDefault="007F0F6C" w:rsidP="007F0F6C">
      <w:pPr>
        <w:pStyle w:val="Heading3"/>
        <w:rPr>
          <w:rFonts w:ascii="Calibri" w:hAnsi="Calibri" w:cs="Calibri"/>
          <w:color w:val="000000" w:themeColor="text1"/>
          <w:sz w:val="22"/>
          <w:szCs w:val="22"/>
          <w:lang w:val="en-US"/>
        </w:rPr>
      </w:pPr>
    </w:p>
    <w:p w14:paraId="3F920330" w14:textId="77777777" w:rsidR="007F0F6C" w:rsidRPr="000E2B2A" w:rsidRDefault="007F0F6C" w:rsidP="007F0F6C">
      <w:pPr>
        <w:pStyle w:val="Heading3"/>
        <w:rPr>
          <w:rFonts w:ascii="Calibri" w:hAnsi="Calibri" w:cs="Calibri"/>
          <w:b/>
          <w:bCs/>
          <w:color w:val="000000" w:themeColor="text1"/>
          <w:sz w:val="22"/>
          <w:szCs w:val="22"/>
          <w:lang w:val="en-US"/>
        </w:rPr>
      </w:pPr>
      <w:r w:rsidRPr="000E2B2A">
        <w:rPr>
          <w:rFonts w:ascii="Calibri" w:hAnsi="Calibri" w:cs="Calibri"/>
          <w:b/>
          <w:bCs/>
          <w:color w:val="000000" w:themeColor="text1"/>
          <w:sz w:val="22"/>
          <w:szCs w:val="22"/>
          <w:lang w:val="en-US"/>
        </w:rPr>
        <w:t>Lifelines</w:t>
      </w:r>
    </w:p>
    <w:p w14:paraId="5F910E45" w14:textId="77777777" w:rsidR="007F0F6C" w:rsidRPr="000E2B2A" w:rsidRDefault="007F0F6C" w:rsidP="007F0F6C">
      <w:pPr>
        <w:pStyle w:val="Heading3"/>
        <w:rPr>
          <w:rFonts w:ascii="Calibri" w:hAnsi="Calibri" w:cs="Calibri"/>
          <w:color w:val="000000" w:themeColor="text1"/>
          <w:sz w:val="22"/>
          <w:szCs w:val="22"/>
          <w:lang w:val="en-US"/>
        </w:rPr>
      </w:pPr>
      <w:r w:rsidRPr="000E2B2A">
        <w:rPr>
          <w:rFonts w:ascii="Calibri" w:hAnsi="Calibri" w:cs="Calibri"/>
          <w:color w:val="000000" w:themeColor="text1"/>
          <w:sz w:val="22"/>
          <w:szCs w:val="22"/>
          <w:lang w:val="en-US"/>
        </w:rPr>
        <w:t>Disease annotations for Lifelines were based on questionnaires the participants filled in on paper. Questionnaire data from assessment 1A was used to determine if participants were diagnosed with the disease before the first measurement. All other assessment questionnaires (1B, 1C, 2A, 2B, 2C, 3A) were used to annotate if participants developed the disease after the first measurement.</w:t>
      </w:r>
    </w:p>
    <w:p w14:paraId="5ADD51FE" w14:textId="77777777" w:rsidR="007F0F6C" w:rsidRPr="000E2B2A" w:rsidRDefault="007F0F6C" w:rsidP="007F0F6C">
      <w:pPr>
        <w:pStyle w:val="Heading3"/>
        <w:rPr>
          <w:rFonts w:ascii="Calibri" w:hAnsi="Calibri" w:cs="Calibri"/>
          <w:color w:val="000000" w:themeColor="text1"/>
          <w:sz w:val="22"/>
          <w:szCs w:val="22"/>
          <w:lang w:val="en-US"/>
        </w:rPr>
      </w:pPr>
    </w:p>
    <w:p w14:paraId="779F70CF" w14:textId="77777777" w:rsidR="007F0F6C" w:rsidRPr="000E2B2A" w:rsidRDefault="007F0F6C" w:rsidP="007F0F6C">
      <w:pPr>
        <w:pStyle w:val="Heading3"/>
        <w:rPr>
          <w:rFonts w:ascii="Calibri" w:hAnsi="Calibri" w:cs="Calibri"/>
          <w:color w:val="000000" w:themeColor="text1"/>
          <w:sz w:val="22"/>
          <w:szCs w:val="22"/>
          <w:lang w:val="en-US"/>
        </w:rPr>
      </w:pPr>
      <w:r w:rsidRPr="000E2B2A">
        <w:rPr>
          <w:rFonts w:ascii="Calibri" w:hAnsi="Calibri" w:cs="Calibri"/>
          <w:color w:val="000000" w:themeColor="text1"/>
          <w:sz w:val="22"/>
          <w:szCs w:val="22"/>
          <w:lang w:val="en-US"/>
        </w:rPr>
        <w:t>CAD diagnosis was based on self-reported heart attack (code heartattack_presence_adu_q_1 for 1A and code infarction_followup_adu_q_1 for 1B, 1C, 2A and 3A) and self-reported angioplasty and/or bypass surgery (code angioplasty_bypass_adu_q_1 for 1A and 3A).</w:t>
      </w:r>
    </w:p>
    <w:p w14:paraId="3AB7B8D9" w14:textId="77777777" w:rsidR="007F0F6C" w:rsidRDefault="007F0F6C" w:rsidP="007F0F6C">
      <w:pPr>
        <w:rPr>
          <w:lang w:val="en-US"/>
        </w:rPr>
      </w:pPr>
    </w:p>
    <w:p w14:paraId="353B3C37" w14:textId="77777777" w:rsidR="007F0F6C" w:rsidRPr="00C57D40" w:rsidRDefault="007F0F6C" w:rsidP="007F0F6C">
      <w:pPr>
        <w:rPr>
          <w:lang w:val="en-US"/>
        </w:rPr>
      </w:pPr>
      <w:r w:rsidRPr="00C57D40">
        <w:rPr>
          <w:lang w:val="en-US"/>
        </w:rPr>
        <w:t>T2D diagnosis was based on self-reported type 2 diabetes (codes diabetes_type_adu_q_1 and diabetes_type_adu_q_2 for 1A and code t2d_followup_adu_q_1 for 2A and 3A)</w:t>
      </w:r>
    </w:p>
    <w:p w14:paraId="294AB7C9" w14:textId="77777777" w:rsidR="007F0F6C" w:rsidRDefault="007F0F6C" w:rsidP="00667981">
      <w:pPr>
        <w:pStyle w:val="Heading2"/>
        <w:rPr>
          <w:lang w:val="en-US"/>
        </w:rPr>
      </w:pPr>
    </w:p>
    <w:p w14:paraId="072DCFD6" w14:textId="3AA36446" w:rsidR="00667981" w:rsidRDefault="00667981" w:rsidP="00667981">
      <w:pPr>
        <w:pStyle w:val="Heading2"/>
        <w:rPr>
          <w:lang w:val="en-US"/>
        </w:rPr>
      </w:pPr>
      <w:r>
        <w:rPr>
          <w:lang w:val="en-US"/>
        </w:rPr>
        <w:t xml:space="preserve">Additional risk factors </w:t>
      </w:r>
      <w:r w:rsidR="001110BB">
        <w:rPr>
          <w:lang w:val="en-US"/>
        </w:rPr>
        <w:t>improve</w:t>
      </w:r>
      <w:r>
        <w:rPr>
          <w:lang w:val="en-US"/>
        </w:rPr>
        <w:t xml:space="preserve"> </w:t>
      </w:r>
      <w:r w:rsidR="001110BB">
        <w:rPr>
          <w:lang w:val="en-US"/>
        </w:rPr>
        <w:t>PGS models that i</w:t>
      </w:r>
      <w:r>
        <w:rPr>
          <w:lang w:val="en-US"/>
        </w:rPr>
        <w:t>dentif</w:t>
      </w:r>
      <w:r w:rsidR="001110BB">
        <w:rPr>
          <w:lang w:val="en-US"/>
        </w:rPr>
        <w:t>y</w:t>
      </w:r>
      <w:r>
        <w:rPr>
          <w:lang w:val="en-US"/>
        </w:rPr>
        <w:t xml:space="preserve"> groups with high disease prevalence</w:t>
      </w:r>
    </w:p>
    <w:p w14:paraId="038AFC31" w14:textId="4B58D893" w:rsidR="00667981" w:rsidRDefault="00667981" w:rsidP="00667981">
      <w:pPr>
        <w:rPr>
          <w:lang w:val="en-US"/>
        </w:rPr>
      </w:pPr>
      <w:r>
        <w:rPr>
          <w:lang w:val="en-US"/>
        </w:rPr>
        <w:t>In addition to the models we have built to predict incidence, we have built a model that predict prevalence. These models include the same known risk factors, including only those that can be acquired through questionnaire data.</w:t>
      </w:r>
      <w:r w:rsidRPr="00E366E1">
        <w:rPr>
          <w:lang w:val="en-US"/>
        </w:rPr>
        <w:t xml:space="preserve"> </w:t>
      </w:r>
      <w:r>
        <w:rPr>
          <w:lang w:val="en-US"/>
        </w:rPr>
        <w:t xml:space="preserve">We </w:t>
      </w:r>
      <w:r w:rsidRPr="001E4D41">
        <w:rPr>
          <w:lang w:val="en-US"/>
        </w:rPr>
        <w:t>observe</w:t>
      </w:r>
      <w:r>
        <w:rPr>
          <w:lang w:val="en-US"/>
        </w:rPr>
        <w:t>d</w:t>
      </w:r>
      <w:r w:rsidRPr="001E4D41">
        <w:rPr>
          <w:lang w:val="en-US"/>
        </w:rPr>
        <w:t xml:space="preserve"> that the </w:t>
      </w:r>
      <w:r>
        <w:rPr>
          <w:lang w:val="en-US"/>
        </w:rPr>
        <w:t>prevalence odds ratios</w:t>
      </w:r>
      <w:r w:rsidRPr="001E4D41">
        <w:rPr>
          <w:lang w:val="en-US"/>
        </w:rPr>
        <w:t xml:space="preserve"> </w:t>
      </w:r>
      <w:r>
        <w:rPr>
          <w:lang w:val="en-US"/>
        </w:rPr>
        <w:t>for</w:t>
      </w:r>
      <w:r w:rsidRPr="001E4D41">
        <w:rPr>
          <w:lang w:val="en-US"/>
        </w:rPr>
        <w:t xml:space="preserve"> T2D for individuals in the highest decile based </w:t>
      </w:r>
      <w:r>
        <w:rPr>
          <w:lang w:val="en-US"/>
        </w:rPr>
        <w:t xml:space="preserve">on PGS is 3.4 (95-CI: 2.8-4.1) and increases to 6.5 (95-CI: 5.5-7.7) when BMI, </w:t>
      </w:r>
      <w:r w:rsidRPr="001E4D41">
        <w:rPr>
          <w:lang w:val="en-US"/>
        </w:rPr>
        <w:t>physical activity</w:t>
      </w:r>
      <w:r>
        <w:rPr>
          <w:lang w:val="en-US"/>
        </w:rPr>
        <w:t xml:space="preserve">, </w:t>
      </w:r>
      <w:r w:rsidRPr="001E4D41">
        <w:rPr>
          <w:lang w:val="en-US"/>
        </w:rPr>
        <w:t>sex</w:t>
      </w:r>
      <w:r>
        <w:rPr>
          <w:lang w:val="en-US"/>
        </w:rPr>
        <w:t>,</w:t>
      </w:r>
      <w:r w:rsidRPr="00E366E1">
        <w:rPr>
          <w:lang w:val="en-US"/>
        </w:rPr>
        <w:t xml:space="preserve"> </w:t>
      </w:r>
      <w:r w:rsidRPr="001E4D41">
        <w:rPr>
          <w:lang w:val="en-US"/>
        </w:rPr>
        <w:t xml:space="preserve">parental </w:t>
      </w:r>
      <w:r>
        <w:rPr>
          <w:lang w:val="en-US"/>
        </w:rPr>
        <w:t xml:space="preserve">disease and </w:t>
      </w:r>
      <w:r w:rsidRPr="001E4D41">
        <w:rPr>
          <w:lang w:val="en-US"/>
        </w:rPr>
        <w:t>smoking status</w:t>
      </w:r>
      <w:r>
        <w:rPr>
          <w:lang w:val="en-US"/>
        </w:rPr>
        <w:t xml:space="preserve"> are added to the model</w:t>
      </w:r>
      <w:r w:rsidR="00815DB8">
        <w:rPr>
          <w:lang w:val="en-US"/>
        </w:rPr>
        <w:t xml:space="preserve"> (</w:t>
      </w:r>
      <w:r w:rsidR="00733DC1">
        <w:rPr>
          <w:lang w:val="en-US"/>
        </w:rPr>
        <w:t>Fisher exact test</w:t>
      </w:r>
      <w:r w:rsidR="00815DB8">
        <w:rPr>
          <w:lang w:val="en-US"/>
        </w:rPr>
        <w:t xml:space="preserve"> p-value: </w:t>
      </w:r>
      <w:r w:rsidR="00A909A1">
        <w:rPr>
          <w:lang w:val="en-US"/>
        </w:rPr>
        <w:t>2.8</w:t>
      </w:r>
      <w:r w:rsidR="00733DC1">
        <w:rPr>
          <w:lang w:val="en-US"/>
        </w:rPr>
        <w:t>*10</w:t>
      </w:r>
      <w:r w:rsidR="00733DC1">
        <w:rPr>
          <w:vertAlign w:val="superscript"/>
          <w:lang w:val="en-US"/>
        </w:rPr>
        <w:t>-</w:t>
      </w:r>
      <w:r w:rsidR="00A909A1">
        <w:rPr>
          <w:vertAlign w:val="superscript"/>
          <w:lang w:val="en-US"/>
        </w:rPr>
        <w:t>6</w:t>
      </w:r>
      <w:r w:rsidR="00815DB8">
        <w:rPr>
          <w:lang w:val="en-US"/>
        </w:rPr>
        <w:t>)</w:t>
      </w:r>
      <w:r>
        <w:rPr>
          <w:lang w:val="en-US"/>
        </w:rPr>
        <w:t>. When age is also included in the model, the odds ratios increase</w:t>
      </w:r>
      <w:r w:rsidR="00815DB8">
        <w:rPr>
          <w:lang w:val="en-US"/>
        </w:rPr>
        <w:t xml:space="preserve"> </w:t>
      </w:r>
      <w:r>
        <w:rPr>
          <w:lang w:val="en-US"/>
        </w:rPr>
        <w:t xml:space="preserve">further </w:t>
      </w:r>
      <w:r w:rsidR="00815DB8">
        <w:rPr>
          <w:lang w:val="en-US"/>
        </w:rPr>
        <w:t>(</w:t>
      </w:r>
      <w:r w:rsidR="00733DC1">
        <w:rPr>
          <w:lang w:val="en-US"/>
        </w:rPr>
        <w:t>Fisher exact test</w:t>
      </w:r>
      <w:r w:rsidR="00815DB8">
        <w:rPr>
          <w:lang w:val="en-US"/>
        </w:rPr>
        <w:t xml:space="preserve"> p-value: </w:t>
      </w:r>
      <w:r w:rsidR="00A909A1">
        <w:rPr>
          <w:lang w:val="en-US"/>
        </w:rPr>
        <w:t>2.1</w:t>
      </w:r>
      <w:r w:rsidR="00733DC1">
        <w:rPr>
          <w:lang w:val="en-US"/>
        </w:rPr>
        <w:t>*10</w:t>
      </w:r>
      <w:r w:rsidR="00733DC1">
        <w:rPr>
          <w:vertAlign w:val="superscript"/>
          <w:lang w:val="en-US"/>
        </w:rPr>
        <w:t>-</w:t>
      </w:r>
      <w:r w:rsidR="00A909A1">
        <w:rPr>
          <w:vertAlign w:val="superscript"/>
          <w:lang w:val="en-US"/>
        </w:rPr>
        <w:t>9</w:t>
      </w:r>
      <w:r w:rsidR="00815DB8">
        <w:rPr>
          <w:lang w:val="en-US"/>
        </w:rPr>
        <w:t xml:space="preserve">) </w:t>
      </w:r>
      <w:r>
        <w:rPr>
          <w:lang w:val="en-US"/>
        </w:rPr>
        <w:t>to 16.1 (95-CI: 13.8-18.9)</w:t>
      </w:r>
      <w:r w:rsidR="005E4D3A">
        <w:rPr>
          <w:lang w:val="en-US"/>
        </w:rPr>
        <w:t xml:space="preserve"> (Figure 2, Supplementary table //)</w:t>
      </w:r>
      <w:r>
        <w:rPr>
          <w:lang w:val="en-US"/>
        </w:rPr>
        <w:t>.</w:t>
      </w:r>
    </w:p>
    <w:p w14:paraId="558EB50C" w14:textId="4E5D6562" w:rsidR="00667981" w:rsidRPr="00E45588" w:rsidRDefault="00667981" w:rsidP="00667981">
      <w:pPr>
        <w:rPr>
          <w:lang w:val="en-US"/>
        </w:rPr>
      </w:pPr>
      <w:r>
        <w:rPr>
          <w:lang w:val="en-US"/>
        </w:rPr>
        <w:t>Similarly, for CAD, we observe that the prevalence odds ratios for individuals in the highest decile based on PGS</w:t>
      </w:r>
      <w:r w:rsidR="00A909A1">
        <w:rPr>
          <w:lang w:val="en-US"/>
        </w:rPr>
        <w:t xml:space="preserve"> is</w:t>
      </w:r>
      <w:r>
        <w:rPr>
          <w:lang w:val="en-US"/>
        </w:rPr>
        <w:t xml:space="preserve"> 2.8 (95-CI: 2.2-3.5) and increases</w:t>
      </w:r>
      <w:r w:rsidR="00815DB8">
        <w:rPr>
          <w:lang w:val="en-US"/>
        </w:rPr>
        <w:t xml:space="preserve"> (</w:t>
      </w:r>
      <w:r w:rsidR="00733DC1">
        <w:rPr>
          <w:lang w:val="en-US"/>
        </w:rPr>
        <w:t>Fisher exact test</w:t>
      </w:r>
      <w:r w:rsidR="00815DB8">
        <w:rPr>
          <w:lang w:val="en-US"/>
        </w:rPr>
        <w:t xml:space="preserve"> p-value:</w:t>
      </w:r>
      <w:r w:rsidR="00A909A1">
        <w:rPr>
          <w:lang w:val="en-US"/>
        </w:rPr>
        <w:t xml:space="preserve"> </w:t>
      </w:r>
      <w:r w:rsidR="006F1436">
        <w:rPr>
          <w:lang w:val="en-US"/>
        </w:rPr>
        <w:t>1.0*10</w:t>
      </w:r>
      <w:r w:rsidR="006F1436">
        <w:rPr>
          <w:vertAlign w:val="superscript"/>
          <w:lang w:val="en-US"/>
        </w:rPr>
        <w:t>-5</w:t>
      </w:r>
      <w:r w:rsidR="00815DB8">
        <w:rPr>
          <w:lang w:val="en-US"/>
        </w:rPr>
        <w:t xml:space="preserve">) </w:t>
      </w:r>
      <w:r>
        <w:rPr>
          <w:lang w:val="en-US"/>
        </w:rPr>
        <w:t xml:space="preserve">to 5.3 (95-CI: 4.4-6.4), with an AUROC increase from </w:t>
      </w:r>
      <w:r w:rsidRPr="001E4D41">
        <w:rPr>
          <w:lang w:val="en-US"/>
        </w:rPr>
        <w:t>0.</w:t>
      </w:r>
      <w:r>
        <w:rPr>
          <w:lang w:val="en-US"/>
        </w:rPr>
        <w:t xml:space="preserve">64 (95-CI: 0.61-0.66) to </w:t>
      </w:r>
      <w:r w:rsidRPr="001E4D41">
        <w:rPr>
          <w:lang w:val="en-US"/>
        </w:rPr>
        <w:t>0.</w:t>
      </w:r>
      <w:r>
        <w:rPr>
          <w:lang w:val="en-US"/>
        </w:rPr>
        <w:t>76 (95-CI: 0.74-0.77). This increases</w:t>
      </w:r>
      <w:r w:rsidR="00815DB8">
        <w:rPr>
          <w:lang w:val="en-US"/>
        </w:rPr>
        <w:t xml:space="preserve"> (</w:t>
      </w:r>
      <w:r w:rsidR="00733DC1">
        <w:rPr>
          <w:lang w:val="en-US"/>
        </w:rPr>
        <w:t>Fisher exact test</w:t>
      </w:r>
      <w:r w:rsidR="00815DB8">
        <w:rPr>
          <w:lang w:val="en-US"/>
        </w:rPr>
        <w:t xml:space="preserve"> p-value:</w:t>
      </w:r>
      <w:r w:rsidR="006F1436">
        <w:rPr>
          <w:lang w:val="en-US"/>
        </w:rPr>
        <w:t xml:space="preserve"> 8.9*10</w:t>
      </w:r>
      <w:r w:rsidR="006F1436">
        <w:rPr>
          <w:vertAlign w:val="superscript"/>
          <w:lang w:val="en-US"/>
        </w:rPr>
        <w:t>-9</w:t>
      </w:r>
      <w:r w:rsidR="00815DB8">
        <w:rPr>
          <w:lang w:val="en-US"/>
        </w:rPr>
        <w:t>)</w:t>
      </w:r>
      <w:r>
        <w:rPr>
          <w:lang w:val="en-US"/>
        </w:rPr>
        <w:t xml:space="preserve"> further to 15.7 (95-CI: 13.2-18.6) and an AUROC of </w:t>
      </w:r>
      <w:r w:rsidRPr="001E4D41">
        <w:rPr>
          <w:lang w:val="en-US"/>
        </w:rPr>
        <w:t>0.</w:t>
      </w:r>
      <w:r>
        <w:rPr>
          <w:lang w:val="en-US"/>
        </w:rPr>
        <w:t>87 (95-CI: 0.86-0.89) when age is also added to the model</w:t>
      </w:r>
      <w:r w:rsidR="005E4D3A">
        <w:rPr>
          <w:lang w:val="en-US"/>
        </w:rPr>
        <w:t xml:space="preserve"> (Figure 2, Supplementary table //)</w:t>
      </w:r>
      <w:r>
        <w:rPr>
          <w:lang w:val="en-US"/>
        </w:rPr>
        <w:t xml:space="preserve">. </w:t>
      </w:r>
    </w:p>
    <w:p w14:paraId="5EC46F70" w14:textId="058CB40E" w:rsidR="00667981" w:rsidRDefault="00667981" w:rsidP="00667981">
      <w:pPr>
        <w:pStyle w:val="Heading2"/>
        <w:rPr>
          <w:lang w:val="en-US"/>
        </w:rPr>
      </w:pPr>
      <w:r>
        <w:rPr>
          <w:lang w:val="en-US"/>
        </w:rPr>
        <w:t>PGS improves</w:t>
      </w:r>
      <w:r w:rsidR="001110BB">
        <w:rPr>
          <w:lang w:val="en-US"/>
        </w:rPr>
        <w:t xml:space="preserve"> risk models based on regular risk factors </w:t>
      </w:r>
      <w:r w:rsidR="00E82829">
        <w:rPr>
          <w:lang w:val="en-US"/>
        </w:rPr>
        <w:t xml:space="preserve">to </w:t>
      </w:r>
      <w:r>
        <w:rPr>
          <w:lang w:val="en-US"/>
        </w:rPr>
        <w:t>identif</w:t>
      </w:r>
      <w:r w:rsidR="001110BB">
        <w:rPr>
          <w:lang w:val="en-US"/>
        </w:rPr>
        <w:t>y</w:t>
      </w:r>
      <w:r>
        <w:rPr>
          <w:lang w:val="en-US"/>
        </w:rPr>
        <w:t xml:space="preserve"> groups with high disease prevalence</w:t>
      </w:r>
    </w:p>
    <w:p w14:paraId="30F412F9" w14:textId="0FEBD5DE" w:rsidR="00667981" w:rsidRDefault="00667981" w:rsidP="00667981">
      <w:pPr>
        <w:rPr>
          <w:lang w:val="en-US"/>
        </w:rPr>
      </w:pPr>
      <w:r>
        <w:rPr>
          <w:lang w:val="en-US"/>
        </w:rPr>
        <w:t xml:space="preserve">Vice versa, we also </w:t>
      </w:r>
      <w:r w:rsidRPr="001E4D41">
        <w:rPr>
          <w:lang w:val="en-US"/>
        </w:rPr>
        <w:t>observe</w:t>
      </w:r>
      <w:r>
        <w:rPr>
          <w:lang w:val="en-US"/>
        </w:rPr>
        <w:t>d</w:t>
      </w:r>
      <w:r w:rsidRPr="001E4D41">
        <w:rPr>
          <w:lang w:val="en-US"/>
        </w:rPr>
        <w:t xml:space="preserve"> that the </w:t>
      </w:r>
      <w:r>
        <w:rPr>
          <w:lang w:val="en-US"/>
        </w:rPr>
        <w:t>prevalence odds ratios</w:t>
      </w:r>
      <w:r w:rsidRPr="001E4D41">
        <w:rPr>
          <w:lang w:val="en-US"/>
        </w:rPr>
        <w:t xml:space="preserve"> </w:t>
      </w:r>
      <w:r>
        <w:rPr>
          <w:lang w:val="en-US"/>
        </w:rPr>
        <w:t>for</w:t>
      </w:r>
      <w:r w:rsidRPr="001E4D41">
        <w:rPr>
          <w:lang w:val="en-US"/>
        </w:rPr>
        <w:t xml:space="preserve"> T2D for individuals in the highest risk decile based on </w:t>
      </w:r>
      <w:r>
        <w:rPr>
          <w:lang w:val="en-US"/>
        </w:rPr>
        <w:t xml:space="preserve">BMI, </w:t>
      </w:r>
      <w:r w:rsidRPr="001E4D41">
        <w:rPr>
          <w:lang w:val="en-US"/>
        </w:rPr>
        <w:t>physical activity</w:t>
      </w:r>
      <w:r>
        <w:rPr>
          <w:lang w:val="en-US"/>
        </w:rPr>
        <w:t xml:space="preserve">, </w:t>
      </w:r>
      <w:r w:rsidRPr="001E4D41">
        <w:rPr>
          <w:lang w:val="en-US"/>
        </w:rPr>
        <w:t>sex</w:t>
      </w:r>
      <w:r>
        <w:rPr>
          <w:lang w:val="en-US"/>
        </w:rPr>
        <w:t>,</w:t>
      </w:r>
      <w:r w:rsidRPr="00E366E1">
        <w:rPr>
          <w:lang w:val="en-US"/>
        </w:rPr>
        <w:t xml:space="preserve"> </w:t>
      </w:r>
      <w:r w:rsidRPr="001E4D41">
        <w:rPr>
          <w:lang w:val="en-US"/>
        </w:rPr>
        <w:t xml:space="preserve">parental </w:t>
      </w:r>
      <w:r>
        <w:rPr>
          <w:lang w:val="en-US"/>
        </w:rPr>
        <w:t xml:space="preserve">disease and </w:t>
      </w:r>
      <w:r w:rsidRPr="001E4D41">
        <w:rPr>
          <w:lang w:val="en-US"/>
        </w:rPr>
        <w:t>smoking status</w:t>
      </w:r>
      <w:r>
        <w:rPr>
          <w:lang w:val="en-US"/>
        </w:rPr>
        <w:t xml:space="preserve"> is 4.9 (95-CI: 4.2-5.8) and increases </w:t>
      </w:r>
      <w:r w:rsidR="00815DB8">
        <w:rPr>
          <w:lang w:val="en-US"/>
        </w:rPr>
        <w:t>(</w:t>
      </w:r>
      <w:r w:rsidR="00733DC1">
        <w:rPr>
          <w:lang w:val="en-US"/>
        </w:rPr>
        <w:t>Fisher exact test</w:t>
      </w:r>
      <w:r w:rsidR="00815DB8">
        <w:rPr>
          <w:lang w:val="en-US"/>
        </w:rPr>
        <w:t xml:space="preserve"> p-value:</w:t>
      </w:r>
      <w:r w:rsidR="007F7D1A">
        <w:rPr>
          <w:lang w:val="en-US"/>
        </w:rPr>
        <w:t xml:space="preserve"> 4.9*10</w:t>
      </w:r>
      <w:r w:rsidR="007F7D1A">
        <w:rPr>
          <w:vertAlign w:val="superscript"/>
          <w:lang w:val="en-US"/>
        </w:rPr>
        <w:t>-2</w:t>
      </w:r>
      <w:r w:rsidR="00815DB8">
        <w:rPr>
          <w:lang w:val="en-US"/>
        </w:rPr>
        <w:t xml:space="preserve">) </w:t>
      </w:r>
      <w:r>
        <w:rPr>
          <w:lang w:val="en-US"/>
        </w:rPr>
        <w:t>to 6.5 (95-CI: 5.5-7.7) when PGS are added to the model (age excluded in both models). (Figure 2)</w:t>
      </w:r>
      <w:r w:rsidRPr="001E4D41">
        <w:rPr>
          <w:lang w:val="en-US"/>
        </w:rPr>
        <w:t xml:space="preserve">. </w:t>
      </w:r>
      <w:r>
        <w:rPr>
          <w:lang w:val="en-US"/>
        </w:rPr>
        <w:t>For T2D t</w:t>
      </w:r>
      <w:r w:rsidRPr="001E4D41">
        <w:rPr>
          <w:lang w:val="en-US"/>
        </w:rPr>
        <w:t>he AUROC of th</w:t>
      </w:r>
      <w:r>
        <w:rPr>
          <w:lang w:val="en-US"/>
        </w:rPr>
        <w:t>e regular risk factor</w:t>
      </w:r>
      <w:r w:rsidRPr="001E4D41">
        <w:rPr>
          <w:lang w:val="en-US"/>
        </w:rPr>
        <w:t xml:space="preserve"> model is 0.</w:t>
      </w:r>
      <w:r>
        <w:rPr>
          <w:lang w:val="en-US"/>
        </w:rPr>
        <w:t>79 (95-CI: 0.77-0.80)</w:t>
      </w:r>
      <w:r w:rsidRPr="001E4D41">
        <w:rPr>
          <w:lang w:val="en-US"/>
        </w:rPr>
        <w:t xml:space="preserve"> compared to an AU</w:t>
      </w:r>
      <w:r>
        <w:rPr>
          <w:lang w:val="en-US"/>
        </w:rPr>
        <w:t>ROC</w:t>
      </w:r>
      <w:r w:rsidRPr="001E4D41">
        <w:rPr>
          <w:lang w:val="en-US"/>
        </w:rPr>
        <w:t xml:space="preserve"> of 0.</w:t>
      </w:r>
      <w:r>
        <w:rPr>
          <w:lang w:val="en-US"/>
        </w:rPr>
        <w:t>81 (95-CI: 0.8-0.83)</w:t>
      </w:r>
      <w:r w:rsidRPr="001E4D41">
        <w:rPr>
          <w:lang w:val="en-US"/>
        </w:rPr>
        <w:t xml:space="preserve"> </w:t>
      </w:r>
      <w:r w:rsidR="005C6042">
        <w:rPr>
          <w:lang w:val="en-US"/>
        </w:rPr>
        <w:t>when PGS are added</w:t>
      </w:r>
      <w:r>
        <w:rPr>
          <w:lang w:val="en-US"/>
        </w:rPr>
        <w:t xml:space="preserve"> (not corrected for sex and age)</w:t>
      </w:r>
      <w:r w:rsidRPr="001E4D41">
        <w:rPr>
          <w:lang w:val="en-US"/>
        </w:rPr>
        <w:t xml:space="preserve">. </w:t>
      </w:r>
    </w:p>
    <w:p w14:paraId="1E88BAE4" w14:textId="29C5D3ED" w:rsidR="00667981" w:rsidRDefault="00667981" w:rsidP="00667981">
      <w:pPr>
        <w:rPr>
          <w:lang w:val="en-US"/>
        </w:rPr>
      </w:pPr>
      <w:r>
        <w:rPr>
          <w:lang w:val="en-US"/>
        </w:rPr>
        <w:t>Similarly, for CAD,</w:t>
      </w:r>
      <w:r w:rsidRPr="007A52F0">
        <w:rPr>
          <w:lang w:val="en-US"/>
        </w:rPr>
        <w:t xml:space="preserve"> </w:t>
      </w:r>
      <w:r>
        <w:rPr>
          <w:lang w:val="en-US"/>
        </w:rPr>
        <w:t>odds ratios</w:t>
      </w:r>
      <w:r w:rsidRPr="001E4D41">
        <w:rPr>
          <w:lang w:val="en-US"/>
        </w:rPr>
        <w:t xml:space="preserve"> for individuals in the highest risk decile</w:t>
      </w:r>
      <w:r>
        <w:rPr>
          <w:lang w:val="en-US"/>
        </w:rPr>
        <w:t xml:space="preserve"> were 2.8 (95-CI: 2.2-3.5) without PGS and </w:t>
      </w:r>
      <w:r w:rsidR="003107F1">
        <w:rPr>
          <w:lang w:val="en-US"/>
        </w:rPr>
        <w:t>increased (</w:t>
      </w:r>
      <w:r w:rsidR="00733DC1">
        <w:rPr>
          <w:lang w:val="en-US"/>
        </w:rPr>
        <w:t>Fisher exact test</w:t>
      </w:r>
      <w:r w:rsidR="003107F1">
        <w:rPr>
          <w:lang w:val="en-US"/>
        </w:rPr>
        <w:t xml:space="preserve"> p-value:</w:t>
      </w:r>
      <w:r w:rsidR="007F7D1A">
        <w:rPr>
          <w:lang w:val="en-US"/>
        </w:rPr>
        <w:t xml:space="preserve"> 4.8*10</w:t>
      </w:r>
      <w:r w:rsidR="007F7D1A">
        <w:rPr>
          <w:vertAlign w:val="superscript"/>
          <w:lang w:val="en-US"/>
        </w:rPr>
        <w:t>-5</w:t>
      </w:r>
      <w:r w:rsidR="003107F1">
        <w:rPr>
          <w:lang w:val="en-US"/>
        </w:rPr>
        <w:t xml:space="preserve">) to </w:t>
      </w:r>
      <w:r>
        <w:rPr>
          <w:lang w:val="en-US"/>
        </w:rPr>
        <w:t>5.3 (95-CI: 4.4-6.4) with PGS included in the model (age excluded in both models)</w:t>
      </w:r>
      <w:r w:rsidR="003107F1">
        <w:rPr>
          <w:lang w:val="en-US"/>
        </w:rPr>
        <w:t xml:space="preserve"> </w:t>
      </w:r>
      <w:r>
        <w:rPr>
          <w:lang w:val="en-US"/>
        </w:rPr>
        <w:t>. T</w:t>
      </w:r>
      <w:r w:rsidRPr="001E4D41">
        <w:rPr>
          <w:lang w:val="en-US"/>
        </w:rPr>
        <w:t>he</w:t>
      </w:r>
      <w:r>
        <w:rPr>
          <w:lang w:val="en-US"/>
        </w:rPr>
        <w:t xml:space="preserve"> corresponding</w:t>
      </w:r>
      <w:r w:rsidRPr="001E4D41">
        <w:rPr>
          <w:lang w:val="en-US"/>
        </w:rPr>
        <w:t xml:space="preserve"> AUROC </w:t>
      </w:r>
      <w:r>
        <w:rPr>
          <w:lang w:val="en-US"/>
        </w:rPr>
        <w:t xml:space="preserve">is </w:t>
      </w:r>
      <w:r w:rsidRPr="001E4D41">
        <w:rPr>
          <w:lang w:val="en-US"/>
        </w:rPr>
        <w:t>0.</w:t>
      </w:r>
      <w:r>
        <w:rPr>
          <w:lang w:val="en-US"/>
        </w:rPr>
        <w:t>75 (95-CI: 0.73-0.77)</w:t>
      </w:r>
      <w:r w:rsidRPr="001E4D41">
        <w:rPr>
          <w:lang w:val="en-US"/>
        </w:rPr>
        <w:t xml:space="preserve"> </w:t>
      </w:r>
      <w:r>
        <w:rPr>
          <w:lang w:val="en-US"/>
        </w:rPr>
        <w:t xml:space="preserve">based only the set of regular risk factors and </w:t>
      </w:r>
      <w:r w:rsidRPr="001E4D41">
        <w:rPr>
          <w:lang w:val="en-US"/>
        </w:rPr>
        <w:t>0.</w:t>
      </w:r>
      <w:r>
        <w:rPr>
          <w:lang w:val="en-US"/>
        </w:rPr>
        <w:t>76 (95-CI: 0.74-0.78)</w:t>
      </w:r>
      <w:r w:rsidRPr="001E4D41">
        <w:rPr>
          <w:lang w:val="en-US"/>
        </w:rPr>
        <w:t xml:space="preserve"> </w:t>
      </w:r>
      <w:r>
        <w:rPr>
          <w:lang w:val="en-US"/>
        </w:rPr>
        <w:t>when PGS are added to the model. While this AUROC has not significantly improved by adding PGS to the model, the model does appear to be able to better identify individuals that are at high risk as apparent from the higher odds ratios for those in the top decile (Figure 2B), while performing worse at classifying those at in the lower risk categories correctly. The lack of a statistically significant effect on the AUROC of adding PGS to the model, may also be attributable to the smaller sample size of this cohort. Indeed, in the UKB test set, we do observe a statistically significant improvement, also at the level of the AUC when PGS are added to the model. The AUROC of a model without PGS is 0.76 (95-CI: 0.75-0.76) and with PGS 0.78 (95-CI: 0.78-0.78), in the UKB test dataset with an increase</w:t>
      </w:r>
      <w:r w:rsidR="003107F1">
        <w:rPr>
          <w:lang w:val="en-US"/>
        </w:rPr>
        <w:t xml:space="preserve">d </w:t>
      </w:r>
      <w:r>
        <w:rPr>
          <w:lang w:val="en-US"/>
        </w:rPr>
        <w:t xml:space="preserve">prevalence odds ratio from 4.5 (95-CI: 4.3-4.7) to 5.9 (95-CI: 5.6-6.1) when PGS are in or excluded from the model </w:t>
      </w:r>
      <w:r w:rsidR="00230F54">
        <w:rPr>
          <w:lang w:val="en-US"/>
        </w:rPr>
        <w:t>(Fisher exact test p-value: 1.8*10</w:t>
      </w:r>
      <w:r w:rsidR="00230F54">
        <w:rPr>
          <w:vertAlign w:val="superscript"/>
          <w:lang w:val="en-US"/>
        </w:rPr>
        <w:t>-17</w:t>
      </w:r>
      <w:r w:rsidR="00230F54">
        <w:rPr>
          <w:lang w:val="en-US"/>
        </w:rPr>
        <w:t xml:space="preserve">)  </w:t>
      </w:r>
      <w:r>
        <w:rPr>
          <w:lang w:val="en-US"/>
        </w:rPr>
        <w:t>(Supplement</w:t>
      </w:r>
      <w:r w:rsidR="00230F54">
        <w:rPr>
          <w:lang w:val="en-US"/>
        </w:rPr>
        <w:t>ary table</w:t>
      </w:r>
      <w:r>
        <w:rPr>
          <w:lang w:val="en-US"/>
        </w:rPr>
        <w:t xml:space="preserve"> </w:t>
      </w:r>
      <w:r w:rsidR="00230F54">
        <w:rPr>
          <w:lang w:val="en-US"/>
        </w:rPr>
        <w:t>//)</w:t>
      </w:r>
      <w:r>
        <w:rPr>
          <w:lang w:val="en-US"/>
        </w:rPr>
        <w:t>.</w:t>
      </w:r>
      <w:r>
        <w:rPr>
          <w:b/>
          <w:bCs/>
          <w:lang w:val="en-US"/>
        </w:rPr>
        <w:t xml:space="preserve"> </w:t>
      </w:r>
      <w:r w:rsidRPr="001E4D41">
        <w:rPr>
          <w:lang w:val="en-US"/>
        </w:rPr>
        <w:t xml:space="preserve">This indicates that PGS still have added value when </w:t>
      </w:r>
      <w:r>
        <w:rPr>
          <w:lang w:val="en-US"/>
        </w:rPr>
        <w:t>BMI, smoking status, physical activity and parental disease status</w:t>
      </w:r>
      <w:r w:rsidRPr="001E4D41">
        <w:rPr>
          <w:lang w:val="en-US"/>
        </w:rPr>
        <w:t xml:space="preserve"> are already included in a prediction model</w:t>
      </w:r>
      <w:r w:rsidR="00342D2E">
        <w:rPr>
          <w:lang w:val="en-US"/>
        </w:rPr>
        <w:t xml:space="preserve"> to predict prevalence</w:t>
      </w:r>
      <w:r w:rsidRPr="001E4D41">
        <w:rPr>
          <w:lang w:val="en-US"/>
        </w:rPr>
        <w:t xml:space="preserve">. </w:t>
      </w:r>
    </w:p>
    <w:p w14:paraId="3EB02951" w14:textId="05382A23" w:rsidR="00667981" w:rsidRDefault="00667981" w:rsidP="009C68B6">
      <w:pPr>
        <w:rPr>
          <w:lang w:val="en-US"/>
        </w:rPr>
      </w:pPr>
      <w:r>
        <w:rPr>
          <w:lang w:val="en-US"/>
        </w:rPr>
        <w:br w:type="page"/>
      </w:r>
    </w:p>
    <w:p w14:paraId="797D2F0C" w14:textId="6592A6AC" w:rsidR="00E80877" w:rsidRDefault="00E80877" w:rsidP="00E80877">
      <w:pPr>
        <w:pStyle w:val="Heading1"/>
        <w:rPr>
          <w:lang w:val="en-US"/>
        </w:rPr>
      </w:pPr>
      <w:r>
        <w:rPr>
          <w:lang w:val="en-US"/>
        </w:rPr>
        <w:lastRenderedPageBreak/>
        <w:t>SaaS platform to estimate risk for single genotyping chips</w:t>
      </w:r>
    </w:p>
    <w:p w14:paraId="61E5493A" w14:textId="6ED4CF38" w:rsidR="00611780" w:rsidRDefault="00611780" w:rsidP="00E80877">
      <w:pPr>
        <w:rPr>
          <w:lang w:val="en-US"/>
        </w:rPr>
      </w:pPr>
      <w:r>
        <w:rPr>
          <w:lang w:val="en-US"/>
        </w:rPr>
        <w:t>To support implementation of the scientific methods described in this paper for use in practice, we have constructed a SaaS platform that allows translation of genotyping file</w:t>
      </w:r>
      <w:r w:rsidR="00377DE6">
        <w:rPr>
          <w:lang w:val="en-US"/>
        </w:rPr>
        <w:t>s</w:t>
      </w:r>
      <w:r>
        <w:rPr>
          <w:lang w:val="en-US"/>
        </w:rPr>
        <w:t xml:space="preserve"> into risk scores for chronic diseases, such as T2D and CAD.</w:t>
      </w:r>
    </w:p>
    <w:p w14:paraId="5282E9E7" w14:textId="751E8A48" w:rsidR="00E80877" w:rsidRDefault="00E80877" w:rsidP="00E80877">
      <w:pPr>
        <w:rPr>
          <w:lang w:val="en-US"/>
        </w:rPr>
      </w:pPr>
      <w:r>
        <w:rPr>
          <w:lang w:val="en-US"/>
        </w:rPr>
        <w:t>The SaaS platform requires either a VCF</w:t>
      </w:r>
      <w:r w:rsidR="00377DE6">
        <w:rPr>
          <w:lang w:val="en-US"/>
        </w:rPr>
        <w:t xml:space="preserve">, </w:t>
      </w:r>
      <w:r>
        <w:rPr>
          <w:lang w:val="en-US"/>
        </w:rPr>
        <w:t>bgen or pgen file as input and performs the following steps to finally arrive at risk estimates for a particular individual based on their genetic profile (Age, sex and gender information can be added to arrive at vastly more accurate predictions).</w:t>
      </w:r>
    </w:p>
    <w:p w14:paraId="03541737" w14:textId="26D2E773" w:rsidR="00E80877" w:rsidRDefault="00E80877" w:rsidP="00E80877">
      <w:pPr>
        <w:pStyle w:val="ListParagraph"/>
        <w:numPr>
          <w:ilvl w:val="0"/>
          <w:numId w:val="2"/>
        </w:numPr>
        <w:rPr>
          <w:lang w:val="en-US"/>
        </w:rPr>
      </w:pPr>
      <w:r>
        <w:rPr>
          <w:lang w:val="en-US"/>
        </w:rPr>
        <w:t>Where necessary SNPs are flip</w:t>
      </w:r>
      <w:r w:rsidR="00377DE6">
        <w:rPr>
          <w:lang w:val="en-US"/>
        </w:rPr>
        <w:t>ped</w:t>
      </w:r>
      <w:r>
        <w:rPr>
          <w:lang w:val="en-US"/>
        </w:rPr>
        <w:t xml:space="preserve"> to match the reference genome (1000g)</w:t>
      </w:r>
    </w:p>
    <w:p w14:paraId="4C0B59B8" w14:textId="77777777" w:rsidR="00E80877" w:rsidRDefault="00E80877" w:rsidP="00E80877">
      <w:pPr>
        <w:pStyle w:val="ListParagraph"/>
        <w:numPr>
          <w:ilvl w:val="0"/>
          <w:numId w:val="2"/>
        </w:numPr>
        <w:rPr>
          <w:lang w:val="en-US"/>
        </w:rPr>
      </w:pPr>
      <w:r>
        <w:rPr>
          <w:lang w:val="en-US"/>
        </w:rPr>
        <w:t>Poor quality samples are removed (&gt;2.5% missing genotype calls)</w:t>
      </w:r>
    </w:p>
    <w:p w14:paraId="6A7DBF49" w14:textId="77777777" w:rsidR="00E80877" w:rsidRDefault="00E80877" w:rsidP="00E80877">
      <w:pPr>
        <w:pStyle w:val="ListParagraph"/>
        <w:numPr>
          <w:ilvl w:val="0"/>
          <w:numId w:val="2"/>
        </w:numPr>
        <w:rPr>
          <w:lang w:val="en-US"/>
        </w:rPr>
      </w:pPr>
      <w:r>
        <w:rPr>
          <w:lang w:val="en-US"/>
        </w:rPr>
        <w:t>Poorly genotyped SNPs are removed (&gt;2.5% missing genotype calls)</w:t>
      </w:r>
    </w:p>
    <w:p w14:paraId="75204362" w14:textId="77777777" w:rsidR="00E80877" w:rsidRDefault="00E80877" w:rsidP="00E80877">
      <w:pPr>
        <w:pStyle w:val="ListParagraph"/>
        <w:numPr>
          <w:ilvl w:val="0"/>
          <w:numId w:val="2"/>
        </w:numPr>
        <w:rPr>
          <w:lang w:val="en-US"/>
        </w:rPr>
      </w:pPr>
      <w:r>
        <w:rPr>
          <w:lang w:val="en-US"/>
        </w:rPr>
        <w:t>Genotypes with a Hardy Weinberg Equilibrium p-value below 10</w:t>
      </w:r>
      <w:r>
        <w:rPr>
          <w:vertAlign w:val="superscript"/>
          <w:lang w:val="en-US"/>
        </w:rPr>
        <w:t>-6</w:t>
      </w:r>
      <w:r>
        <w:rPr>
          <w:lang w:val="en-US"/>
        </w:rPr>
        <w:t xml:space="preserve"> are removed</w:t>
      </w:r>
    </w:p>
    <w:p w14:paraId="71C60E12" w14:textId="77777777" w:rsidR="00E80877" w:rsidRDefault="00E80877" w:rsidP="00E80877">
      <w:pPr>
        <w:pStyle w:val="ListParagraph"/>
        <w:numPr>
          <w:ilvl w:val="0"/>
          <w:numId w:val="2"/>
        </w:numPr>
        <w:rPr>
          <w:lang w:val="en-US"/>
        </w:rPr>
      </w:pPr>
      <w:r>
        <w:rPr>
          <w:lang w:val="en-US"/>
        </w:rPr>
        <w:t>Samples with a high heterozygosity rate (4 standard deviations of the mean of the reference panel) are removed</w:t>
      </w:r>
    </w:p>
    <w:p w14:paraId="5616B1F6" w14:textId="75FFD642" w:rsidR="00E80877" w:rsidRDefault="00E80877" w:rsidP="00E80877">
      <w:pPr>
        <w:pStyle w:val="ListParagraph"/>
        <w:numPr>
          <w:ilvl w:val="0"/>
          <w:numId w:val="2"/>
        </w:numPr>
        <w:rPr>
          <w:lang w:val="en-US"/>
        </w:rPr>
      </w:pPr>
      <w:r>
        <w:rPr>
          <w:lang w:val="en-US"/>
        </w:rPr>
        <w:t xml:space="preserve">Samples are imputed against the </w:t>
      </w:r>
      <w:r w:rsidRPr="009E2EDA">
        <w:rPr>
          <w:lang w:val="en-US"/>
        </w:rPr>
        <w:t>Haplotype Reference Consortium (r1.1)</w:t>
      </w:r>
      <w:r>
        <w:rPr>
          <w:lang w:val="en-US"/>
        </w:rPr>
        <w:t xml:space="preserve"> panel, using the Sanger imputation service </w:t>
      </w:r>
      <w:r>
        <w:rPr>
          <w:lang w:val="en-US"/>
        </w:rPr>
        <w:fldChar w:fldCharType="begin" w:fldLock="1"/>
      </w:r>
      <w:r w:rsidR="00393E8E">
        <w:rPr>
          <w:lang w:val="en-US"/>
        </w:rPr>
        <w:instrText>ADDIN CSL_CITATION {"citationItems":[{"id":"ITEM-1","itemData":{"DOI":"10.1038/ng.3643","ISSN":"15461718","abstract":"We describe a reference panel of 64,976 human haplotypes at 39,235,157 SNPs constructed using whole-genome sequence data from 20 studies of predominantly European ancestry. Using this resource leads to accurate genotype imputation at minor allele frequencies as low as 0.1% and a large increase in the number of SNPs tested in association studies, and it can help to discover and refine causal loci. We describe remote server resources that allow researchers to carry out imputation and phasing consistently and efficiently.","author":[{"dropping-particle":"","family":"McCarthy","given":"Shane","non-dropping-particle":"","parse-names":false,"suffix":""},{"dropping-particle":"","family":"Das","given":"Sayantan","non-dropping-particle":"","parse-names":false,"suffix":""},{"dropping-particle":"","family":"Kretzschmar","given":"Warren","non-dropping-particle":"","parse-names":false,"suffix":""},{"dropping-particle":"","family":"Delaneau","given":"Olivier","non-dropping-particle":"","parse-names":false,"suffix":""},{"dropping-particle":"","family":"Wood","given":"Andrew R.","non-dropping-particle":"","parse-names":false,"suffix":""},{"dropping-particle":"","family":"Teumer","given":"Alexander","non-dropping-particle":"","parse-names":false,"suffix":""},{"dropping-particle":"","family":"Kang","given":"Hyun Min","non-dropping-particle":"","parse-names":false,"suffix":""},{"dropping-particle":"","family":"Fuchsberger","given":"Christian","non-dropping-particle":"","parse-names":false,"suffix":""},{"dropping-particle":"","family":"Danecek","given":"Petr","non-dropping-particle":"","parse-names":false,"suffix":""},{"dropping-particle":"","family":"Sharp","given":"Kevin","non-dropping-particle":"","parse-names":false,"suffix":""},{"dropping-particle":"","family":"Luo","given":"Yang","non-dropping-particle":"","parse-names":false,"suffix":""},{"dropping-particle":"","family":"Sidore","given":"Carlo","non-dropping-particle":"","parse-names":false,"suffix":""},{"dropping-particle":"","family":"Kwong","given":"Alan","non-dropping-particle":"","parse-names":false,"suffix":""},{"dropping-particle":"","family":"Timpson","given":"Nicholas","non-dropping-particle":"","parse-names":false,"suffix":""},{"dropping-particle":"","family":"Koskinen","given":"Seppo","non-dropping-particle":"","parse-names":false,"suffix":""},{"dropping-particle":"","family":"Vrieze","given":"Scott","non-dropping-particle":"","parse-names":false,"suffix":""},{"dropping-particle":"","family":"Scott","given":"Laura J.","non-dropping-particle":"","parse-names":false,"suffix":""},{"dropping-particle":"","family":"Zhang","given":"He","non-dropping-particle":"","parse-names":false,"suffix":""},{"dropping-particle":"","family":"Mahajan","given":"Anubha","non-dropping-particle":"","parse-names":false,"suffix":""},{"dropping-particle":"","family":"Veldink","given":"Jan","non-dropping-particle":"","parse-names":false,"suffix":""},{"dropping-particle":"","family":"Peters","given":"Ulrike","non-dropping-particle":"","parse-names":false,"suffix":""},{"dropping-particle":"","family":"Pato","given":"Carlos","non-dropping-particle":"","parse-names":false,"suffix":""},{"dropping-particle":"","family":"Duijn","given":"Cornelia M.","non-dropping-particle":"Van","parse-names":false,"suffix":""},{"dropping-particle":"","family":"Gillies","given":"Christopher E.","non-dropping-particle":"","parse-names":false,"suffix":""},{"dropping-particle":"","family":"Gandin","given":"Ilaria","non-dropping-particle":"","parse-names":false,"suffix":""},{"dropping-particle":"","family":"Mezzavilla","given":"Massimo","non-dropping-particle":"","parse-names":false,"suffix":""},{"dropping-particle":"","family":"Gilly","given":"Arthur","non-dropping-particle":"","parse-names":false,"suffix":""},{"dropping-particle":"","family":"Cocca","given":"Massimiliano","non-dropping-particle":"","parse-names":false,"suffix":""},{"dropping-particle":"","family":"Traglia","given":"Michela","non-dropping-particle":"","parse-names":false,"suffix":""},{"dropping-particle":"","family":"Angius","given":"Andrea","non-dropping-particle":"","parse-names":false,"suffix":""},{"dropping-particle":"","family":"Barrett","given":"Jeffrey C.","non-dropping-particle":"","parse-names":false,"suffix":""},{"dropping-particle":"","family":"Boomsma","given":"Dorrett","non-dropping-particle":"","parse-names":false,"suffix":""},{"dropping-particle":"","family":"Branham","given":"Kari","non-dropping-particle":"","parse-names":false,"suffix":""},{"dropping-particle":"","family":"Breen","given":"Gerome","non-dropping-particle":"","parse-names":false,"suffix":""},{"dropping-particle":"","family":"Brummett","given":"Chad M.","non-dropping-particle":"","parse-names":false,"suffix":""},{"dropping-particle":"","family":"Busonero","given":"Fabio","non-dropping-particle":"","parse-names":false,"suffix":""},{"dropping-particle":"","family":"Campbell","given":"Harry","non-dropping-particle":"","parse-names":false,"suffix":""},{"dropping-particle":"","family":"Chan","given":"Andrew","non-dropping-particle":"","parse-names":false,"suffix":""},{"dropping-particle":"","family":"Chen","given":"Sai","non-dropping-particle":"","parse-names":false,"suffix":""},{"dropping-particle":"","family":"Chew","given":"Emily","non-dropping-particle":"","parse-names":false,"suffix":""},{"dropping-particle":"","family":"Collins","given":"Francis S.","non-dropping-particle":"","parse-names":false,"suffix":""},{"dropping-particle":"","family":"Corbin","given":"Laura J.","non-dropping-particle":"","parse-names":false,"suffix":""},{"dropping-particle":"","family":"Smith","given":"George Davey","non-dropping-particle":"","parse-names":false,"suffix":""},{"dropping-particle":"","family":"Dedoussis","given":"George","non-dropping-particle":"","parse-names":false,"suffix":""},{"dropping-particle":"","family":"Dorr","given":"Marcus","non-dropping-particle":"","parse-names":false,"suffix":""},{"dropping-particle":"","family":"Farmaki","given":"Aliki Eleni","non-dropping-particle":"","parse-names":false,"suffix":""},{"dropping-particle":"","family":"Ferrucci","given":"Luigi","non-dropping-particle":"","parse-names":false,"suffix":""},{"dropping-particle":"","family":"Forer","given":"Lukas","non-dropping-particle":"","parse-names":false,"suffix":""},{"dropping-particle":"","family":"Fraser","given":"Ross M.","non-dropping-particle":"","parse-names":false,"suffix":""},{"dropping-particle":"","family":"Gabriel","given":"Stacey","non-dropping-particle":"","parse-names":false,"suffix":""},{"dropping-particle":"","family":"Levy","given":"Shawn","non-dropping-particle":"","parse-names":false,"suffix":""},{"dropping-particle":"","family":"Groop","given":"Leif","non-dropping-particle":"","parse-names":false,"suffix":""},{"dropping-particle":"","family":"Harrison","given":"Tabitha","non-dropping-particle":"","parse-names":false,"suffix":""},{"dropping-particle":"","family":"Hattersley","given":"Andrew","non-dropping-particle":"","parse-names":false,"suffix":""},{"dropping-particle":"","family":"Holmen","given":"Oddgeir L.","non-dropping-particle":"","parse-names":false,"suffix":""},{"dropping-particle":"","family":"Hveem","given":"Kristian","non-dropping-particle":"","parse-names":false,"suffix":""},{"dropping-particle":"","family":"Kretzler","given":"Matthias","non-dropping-particle":"","parse-names":false,"suffix":""},{"dropping-particle":"","family":"Lee","given":"James C.","non-dropping-particle":"","parse-names":false,"suffix":""},{"dropping-particle":"","family":"McGue","given":"Matt","non-dropping-particle":"","parse-names":false,"suffix":""},{"dropping-particle":"","family":"Meitinger","given":"Thomas","non-dropping-particle":"","parse-names":false,"suffix":""},{"dropping-particle":"","family":"Melzer","given":"David","non-dropping-particle":"","parse-names":false,"suffix":""},{"dropping-particle":"","family":"Min","given":"Josine L.","non-dropping-particle":"","parse-names":false,"suffix":""},{"dropping-particle":"","family":"Mohlke","given":"Karen L.","non-dropping-particle":"","parse-names":false,"suffix":""},{"dropping-particle":"","family":"Vincent","given":"John B.","non-dropping-particle":"","parse-names":false,"suffix":""},{"dropping-particle":"","family":"Nauck","given":"Matthias","non-dropping-particle":"","parse-names":false,"suffix":""},{"dropping-particle":"","family":"Nickerson","given":"Deborah","non-dropping-particle":"","parse-names":false,"suffix":""},{"dropping-particle":"","family":"Palotie","given":"Aarno","non-dropping-particle":"","parse-names":false,"suffix":""},{"dropping-particle":"","family":"Pato","given":"Michele","non-dropping-particle":"","parse-names":false,"suffix":""},{"dropping-particle":"","family":"Pirastu","given":"Nicola","non-dropping-particle":"","parse-names":false,"suffix":""},{"dropping-particle":"","family":"McInnis","given":"Melvin","non-dropping-particle":"","parse-names":false,"suffix":""},{"dropping-particle":"","family":"Richards","given":"J. Brent","non-dropping-particle":"","parse-names":false,"suffix":""},{"dropping-particle":"","family":"Sala","given":"Cinzia","non-dropping-particle":"","parse-names":false,"suffix":""},{"dropping-particle":"","family":"Salomaa","given":"Veikko","non-dropping-particle":"","parse-names":false,"suffix":""},{"dropping-particle":"","family":"Schlessinger","given":"David","non-dropping-particle":"","parse-names":false,"suffix":""},{"dropping-particle":"","family":"Schoenherr","given":"Sebastian","non-dropping-particle":"","parse-names":false,"suffix":""},{"dropping-particle":"","family":"Slagboom","given":"P. Eline","non-dropping-particle":"","parse-names":false,"suffix":""},{"dropping-particle":"","family":"Small","given":"Kerrin","non-dropping-particle":"","parse-names":false,"suffix":""},{"dropping-particle":"","family":"Spector","given":"Timothy","non-dropping-particle":"","parse-names":false,"suffix":""},{"dropping-particle":"","family":"Stambolian","given":"Dwight","non-dropping-particle":"","parse-names":false,"suffix":""},{"dropping-particle":"","family":"Tuke","given":"Marcus","non-dropping-particle":"","parse-names":false,"suffix":""},{"dropping-particle":"","family":"Tuomilehto","given":"Jaakko","non-dropping-particle":"","parse-names":false,"suffix":""},{"dropping-particle":"","family":"Berg","given":"Leonard H.","non-dropping-particle":"Van Den","parse-names":false,"suffix":""},{"dropping-particle":"","family":"Rheenen","given":"Wouter","non-dropping-particle":"Van","parse-names":false,"suffix":""},{"dropping-particle":"","family":"Volker","given":"Uwe","non-dropping-particle":"","parse-names":false,"suffix":""},{"dropping-particle":"","family":"Wijmenga","given":"Cisca","non-dropping-particle":"","parse-names":false,"suffix":""},{"dropping-particle":"","family":"Toniolo","given":"Daniela","non-dropping-particle":"","parse-names":false,"suffix":""},{"dropping-particle":"","family":"Zeggini","given":"Eleftheria","non-dropping-particle":"","parse-names":false,"suffix":""},{"dropping-particle":"","family":"Gasparini","given":"Paolo","non-dropping-particle":"","parse-names":false,"suffix":""},{"dropping-particle":"","family":"Sampson","given":"Matthew G.","non-dropping-particle":"","parse-names":false,"suffix":""},{"dropping-particle":"","family":"Wilson","given":"James F.","non-dropping-particle":"","parse-names":false,"suffix":""},{"dropping-particle":"","family":"Frayling","given":"Timothy","non-dropping-particle":"","parse-names":false,"suffix":""},{"dropping-particle":"","family":"Bakker","given":"Paul I.W.","non-dropping-particle":"De","parse-names":false,"suffix":""},{"dropping-particle":"","family":"Swertz","given":"Morris A.","non-dropping-particle":"","parse-names":false,"suffix":""},{"dropping-particle":"","family":"McCarroll","given":"Steven","non-dropping-particle":"","parse-names":false,"suffix":""},{"dropping-particle":"","family":"Kooperberg","given":"Charles","non-dropping-particle":"","parse-names":false,"suffix":""},{"dropping-particle":"","family":"Dekker","given":"Annelot","non-dropping-particle":"","parse-names":false,"suffix":""},{"dropping-particle":"","family":"Altshuler","given":"David","non-dropping-particle":"","parse-names":false,"suffix":""},{"dropping-particle":"","family":"Willer","given":"Cristen","non-dropping-particle":"","parse-names":false,"suffix":""},{"dropping-particle":"","family":"Iacono","given":"William","non-dropping-particle":"","parse-names":false,"suffix":""},{"dropping-particle":"","family":"Ripatti","given":"Samuli","non-dropping-particle":"","parse-names":false,"suffix":""},{"dropping-particle":"","family":"Soranzo","given":"Nicole","non-dropping-particle":"","parse-names":false,"suffix":""},{"dropping-particle":"","family":"Walter","given":"Klaudia","non-dropping-particle":"","parse-names":false,"suffix":""},{"dropping-particle":"","family":"Swaroop","given":"Anand","non-dropping-particle":"","parse-names":false,"suffix":""},{"dropping-particle":"","family":"Cucca","given":"Francesco","non-dropping-particle":"","parse-names":false,"suffix":""},{"dropping-particle":"","family":"Anderson","given":"Carl A.","non-dropping-particle":"","parse-names":false,"suffix":""},{"dropping-particle":"","family":"Myers","given":"Richard M.","non-dropping-particle":"","parse-names":false,"suffix":""},{"dropping-particle":"","family":"Boehnke","given":"Michael","non-dropping-particle":"","parse-names":false,"suffix":""},{"dropping-particle":"","family":"McCarthy","given":"Mark I.","non-dropping-particle":"","parse-names":false,"suffix":""},{"dropping-particle":"","family":"Durbin","given":"Richard","non-dropping-particle":"","parse-names":false,"suffix":""},{"dropping-particle":"","family":"Abecasis","given":"Gonçalo","non-dropping-particle":"","parse-names":false,"suffix":""},{"dropping-particle":"","family":"Marchini","given":"Jonathan","non-dropping-particle":"","parse-names":false,"suffix":""}],"container-title":"Nature Genetics","id":"ITEM-1","issue":"10","issued":{"date-parts":[["2016","10","1"]]},"page":"1279-1283","publisher":"Nature Publishing Group","title":"A reference panel of 64,976 haplotypes for genotype imputation","type":"article-journal","volume":"48"},"uris":["http://www.mendeley.com/documents/?uuid=2944b89f-2f31-37c9-8743-9ab303ae9f8b"]}],"mendeley":{"formattedCitation":"&lt;sup&gt;11&lt;/sup&gt;","plainTextFormattedCitation":"11","previouslyFormattedCitation":"&lt;sup&gt;11&lt;/sup&gt;"},"properties":{"noteIndex":0},"schema":"https://github.com/citation-style-language/schema/raw/master/csl-citation.json"}</w:instrText>
      </w:r>
      <w:r>
        <w:rPr>
          <w:lang w:val="en-US"/>
        </w:rPr>
        <w:fldChar w:fldCharType="separate"/>
      </w:r>
      <w:r w:rsidR="00B04084" w:rsidRPr="00B04084">
        <w:rPr>
          <w:noProof/>
          <w:vertAlign w:val="superscript"/>
          <w:lang w:val="en-US"/>
        </w:rPr>
        <w:t>11</w:t>
      </w:r>
      <w:r>
        <w:rPr>
          <w:lang w:val="en-US"/>
        </w:rPr>
        <w:fldChar w:fldCharType="end"/>
      </w:r>
    </w:p>
    <w:p w14:paraId="3FB61A16" w14:textId="77777777" w:rsidR="00E80877" w:rsidRDefault="00E80877" w:rsidP="00E80877">
      <w:pPr>
        <w:pStyle w:val="ListParagraph"/>
        <w:numPr>
          <w:ilvl w:val="0"/>
          <w:numId w:val="2"/>
        </w:numPr>
        <w:rPr>
          <w:lang w:val="en-US"/>
        </w:rPr>
      </w:pPr>
      <w:r>
        <w:rPr>
          <w:lang w:val="en-US"/>
        </w:rPr>
        <w:t xml:space="preserve">Sex is determined based on genotyping data. </w:t>
      </w:r>
    </w:p>
    <w:p w14:paraId="4813912A" w14:textId="1D7F8527" w:rsidR="00E80877" w:rsidRPr="00DB0771" w:rsidRDefault="00611780" w:rsidP="00E80877">
      <w:pPr>
        <w:pStyle w:val="ListParagraph"/>
        <w:numPr>
          <w:ilvl w:val="0"/>
          <w:numId w:val="2"/>
        </w:numPr>
        <w:rPr>
          <w:lang w:val="en-US"/>
        </w:rPr>
      </w:pPr>
      <w:r>
        <w:rPr>
          <w:lang w:val="en-US"/>
        </w:rPr>
        <w:t>PGS scores are calculated as described in the method section of the paper.</w:t>
      </w:r>
    </w:p>
    <w:p w14:paraId="31B4C390" w14:textId="77777777" w:rsidR="00E80877" w:rsidRDefault="00E80877" w:rsidP="00E80877">
      <w:pPr>
        <w:rPr>
          <w:lang w:val="en-US"/>
        </w:rPr>
      </w:pPr>
      <w:r>
        <w:rPr>
          <w:lang w:val="en-US"/>
        </w:rPr>
        <w:t>To allow for calculation of PGS, it is possible to conduct a GWAS on the UK Biobank data for any trait that is available in both the UK Biobank and Lifelines data. PGS will be calculated on the UK Biobank cohort and the predictive power is computed on the Lifelines data.</w:t>
      </w:r>
    </w:p>
    <w:p w14:paraId="2EFEA142" w14:textId="77777777" w:rsidR="00E80877" w:rsidRPr="009C597A" w:rsidRDefault="00E80877" w:rsidP="009C68B6">
      <w:pPr>
        <w:rPr>
          <w:rStyle w:val="SubtleEmphasis"/>
          <w:b w:val="0"/>
          <w:iCs w:val="0"/>
          <w:sz w:val="22"/>
          <w:lang w:val="en-US"/>
        </w:rPr>
      </w:pPr>
    </w:p>
    <w:p w14:paraId="5D82ACF0" w14:textId="77777777" w:rsidR="009C68B6" w:rsidRDefault="009C68B6" w:rsidP="009C68B6">
      <w:pPr>
        <w:pStyle w:val="Heading2"/>
        <w:rPr>
          <w:lang w:val="en-US"/>
        </w:rPr>
      </w:pPr>
      <w:r>
        <w:rPr>
          <w:lang w:val="en-US"/>
        </w:rPr>
        <w:t>PGS can only be translated into risk scores by comparing to a reference cohort using the same genotyping SNPs</w:t>
      </w:r>
    </w:p>
    <w:p w14:paraId="110FFA7F" w14:textId="6D8AF4D7" w:rsidR="00233D26" w:rsidRDefault="00611780" w:rsidP="00233D26">
      <w:pPr>
        <w:rPr>
          <w:lang w:val="en-US"/>
        </w:rPr>
      </w:pPr>
      <w:r>
        <w:rPr>
          <w:lang w:val="en-US"/>
        </w:rPr>
        <w:t>A</w:t>
      </w:r>
      <w:r w:rsidR="00233D26">
        <w:rPr>
          <w:lang w:val="en-US"/>
        </w:rPr>
        <w:t xml:space="preserve">lthough </w:t>
      </w:r>
      <w:r w:rsidR="009C68B6" w:rsidRPr="0CFB28C1">
        <w:rPr>
          <w:lang w:val="en-US"/>
        </w:rPr>
        <w:t>PGS can be calculated for any individual</w:t>
      </w:r>
      <w:r w:rsidR="00233D26">
        <w:rPr>
          <w:lang w:val="en-US"/>
        </w:rPr>
        <w:t xml:space="preserve">, they </w:t>
      </w:r>
      <w:r w:rsidR="009C68B6" w:rsidRPr="0CFB28C1">
        <w:rPr>
          <w:lang w:val="en-US"/>
        </w:rPr>
        <w:t>are nothing more than an arbitrary number on their own</w:t>
      </w:r>
      <w:r w:rsidR="009C68B6">
        <w:rPr>
          <w:lang w:val="en-US"/>
        </w:rPr>
        <w:t xml:space="preserve">. </w:t>
      </w:r>
      <w:r w:rsidR="009C68B6" w:rsidRPr="0CFB28C1">
        <w:rPr>
          <w:lang w:val="en-US"/>
        </w:rPr>
        <w:t>To assign a risk to a PGS of an individual the score is normally compared to a reference distribution of PGS</w:t>
      </w:r>
      <w:r w:rsidR="009C68B6">
        <w:rPr>
          <w:lang w:val="en-US"/>
        </w:rPr>
        <w:t xml:space="preserve"> </w:t>
      </w:r>
      <w:r w:rsidR="009C68B6">
        <w:rPr>
          <w:lang w:val="en-US"/>
        </w:rPr>
        <w:fldChar w:fldCharType="begin" w:fldLock="1"/>
      </w:r>
      <w:r w:rsidR="00393E8E">
        <w:rPr>
          <w:lang w:val="en-US"/>
        </w:rPr>
        <w:instrText>ADDIN CSL_CITATION {"citationItems":[{"id":"ITEM-1","itemData":{"DOI":"10.1038/s41588-018-0183-z","ISSN":"15461718","PMID":"30104762","abstract":"A key public health need is to identify individuals at high risk for a given disease to enable enhanced screening or preventive therapies. Because most common diseases have a genetic component, one important approach is to stratify individuals based on inherited DNA variation 1 . Proposed clinical applications have largely focused on finding carriers of rare monogenic mutations at several-fold increased risk. Although most disease risk is polygenic in nature 2–5 , it has not yet been possible to use polygenic predictors to identify individuals at risk comparable to monogenic mutations. Here, we develop and validate genome-wide polygenic scores for five common diseases. The approach identifies 8.0, 6.1, 3.5, 3.2, and 1.5% of the population at greater than threefold increased risk for coronary artery disease, atrial fibrillation, type 2 diabetes, inflammatory bowel disease, and breast cancer, respectively. For coronary artery disease, this prevalence is 20-fold higher than the carrier frequency of rare monogenic mutations conferring comparable risk 6 . We propose that it is time to contemplate the inclusion of polygenic risk prediction in clinical care, and discuss relevant issues.","author":[{"dropping-particle":"V.","family":"Khera","given":"Amit","non-dropping-particle":"","parse-names":false,"suffix":""},{"dropping-particle":"","family":"Chaffin","given":"Mark","non-dropping-particle":"","parse-names":false,"suffix":""},{"dropping-particle":"","family":"Aragam","given":"Krishna G.","non-dropping-particle":"","parse-names":false,"suffix":""},{"dropping-particle":"","family":"Haas","given":"Mary E.","non-dropping-particle":"","parse-names":false,"suffix":""},{"dropping-particle":"","family":"Roselli","given":"Carolina","non-dropping-particle":"","parse-names":false,"suffix":""},{"dropping-particle":"","family":"Choi","given":"Seung Hoan","non-dropping-particle":"","parse-names":false,"suffix":""},{"dropping-particle":"","family":"Natarajan","given":"Pradeep","non-dropping-particle":"","parse-names":false,"suffix":""},{"dropping-particle":"","family":"Lander","given":"Eric S.","non-dropping-particle":"","parse-names":false,"suffix":""},{"dropping-particle":"","family":"Lubitz","given":"Steven A.","non-dropping-particle":"","parse-names":false,"suffix":""},{"dropping-particle":"","family":"Ellinor","given":"Patrick T.","non-dropping-particle":"","parse-names":false,"suffix":""},{"dropping-particle":"","family":"Kathiresan","given":"Sekar","non-dropping-particle":"","parse-names":false,"suffix":""}],"container-title":"Nature Genetics","id":"ITEM-1","issue":"9","issued":{"date-parts":[["2018","9","1"]]},"page":"1219-1224","publisher":"Nature Publishing Group","title":"Genome-wide polygenic scores for common diseases identify individuals with risk equivalent to monogenic mutations","type":"article","volume":"50"},"uris":["http://www.mendeley.com/documents/?uuid=fc055422-a9b3-3c8c-ab42-285120dbd9fc"]}],"mendeley":{"formattedCitation":"&lt;sup&gt;8&lt;/sup&gt;","plainTextFormattedCitation":"8","previouslyFormattedCitation":"&lt;sup&gt;8&lt;/sup&gt;"},"properties":{"noteIndex":0},"schema":"https://github.com/citation-style-language/schema/raw/master/csl-citation.json"}</w:instrText>
      </w:r>
      <w:r w:rsidR="009C68B6">
        <w:rPr>
          <w:lang w:val="en-US"/>
        </w:rPr>
        <w:fldChar w:fldCharType="separate"/>
      </w:r>
      <w:r w:rsidR="00B04084" w:rsidRPr="00B04084">
        <w:rPr>
          <w:noProof/>
          <w:vertAlign w:val="superscript"/>
          <w:lang w:val="en-US"/>
        </w:rPr>
        <w:t>8</w:t>
      </w:r>
      <w:r w:rsidR="009C68B6">
        <w:rPr>
          <w:lang w:val="en-US"/>
        </w:rPr>
        <w:fldChar w:fldCharType="end"/>
      </w:r>
      <w:r w:rsidR="009C68B6">
        <w:rPr>
          <w:color w:val="000000"/>
          <w:lang w:val="en-US"/>
        </w:rPr>
        <w:t xml:space="preserve">. </w:t>
      </w:r>
      <w:r w:rsidR="009C68B6">
        <w:rPr>
          <w:lang w:val="en-US"/>
        </w:rPr>
        <w:t>With</w:t>
      </w:r>
      <w:r w:rsidR="009C68B6" w:rsidRPr="0CFB28C1">
        <w:rPr>
          <w:lang w:val="en-US"/>
        </w:rPr>
        <w:t xml:space="preserve"> such analys</w:t>
      </w:r>
      <w:r w:rsidR="00377DE6">
        <w:rPr>
          <w:lang w:val="en-US"/>
        </w:rPr>
        <w:t>e</w:t>
      </w:r>
      <w:r w:rsidR="009C68B6" w:rsidRPr="0CFB28C1">
        <w:rPr>
          <w:lang w:val="en-US"/>
        </w:rPr>
        <w:t>s it is important that the reference PGS are calculated in the same manner using the same list of input SNPs.</w:t>
      </w:r>
      <w:r w:rsidR="00233D26" w:rsidRPr="00233D26">
        <w:rPr>
          <w:lang w:val="en-US"/>
        </w:rPr>
        <w:t xml:space="preserve"> </w:t>
      </w:r>
      <w:r w:rsidR="00233D26">
        <w:rPr>
          <w:lang w:val="en-US"/>
        </w:rPr>
        <w:t xml:space="preserve">Here, we are faced with a challenge that the single genetic profile is not necessarily based on the same genotyping chip as the reference cohort. </w:t>
      </w:r>
    </w:p>
    <w:p w14:paraId="62AA795F" w14:textId="1442A853" w:rsidR="009C68B6" w:rsidRPr="00CF15ED" w:rsidRDefault="009C68B6" w:rsidP="00233D26">
      <w:pPr>
        <w:rPr>
          <w:lang w:val="en-US"/>
        </w:rPr>
      </w:pPr>
      <w:r w:rsidRPr="0CFB28C1">
        <w:rPr>
          <w:lang w:val="en-US"/>
        </w:rPr>
        <w:t>Since different genotyping chips often contain different SNPs, this can lead to issues</w:t>
      </w:r>
      <w:r>
        <w:rPr>
          <w:lang w:val="en-US"/>
        </w:rPr>
        <w:t>, especially when there is a need to calculate a risk score for a single genotyping sample that is based on a different genotyping chip compared to any reference cohort available</w:t>
      </w:r>
      <w:r w:rsidRPr="0CFB28C1">
        <w:rPr>
          <w:lang w:val="en-US"/>
        </w:rPr>
        <w:t>. For example, the overlap between genetic variants measured by the Global Screen Array (GSA) chip used in Lifelines and the UK Biobank (UKB) Axiom Array chip is only 34%</w:t>
      </w:r>
      <w:r>
        <w:rPr>
          <w:lang w:val="en-US"/>
        </w:rPr>
        <w:t>. The raw PGS scores calculated based on these two different chips clearly follow different distributions, where both the diabetes, as well as the other PGS scores for the Lifelines diabetics are greatly differing from both the diabetics, as well as the other PGS scores in the UK Biobank (</w:t>
      </w:r>
      <w:r w:rsidR="00611780">
        <w:rPr>
          <w:lang w:val="en-US"/>
        </w:rPr>
        <w:t>Supplementary figure 7</w:t>
      </w:r>
      <w:r>
        <w:rPr>
          <w:lang w:val="en-US"/>
        </w:rPr>
        <w:t>)(</w:t>
      </w:r>
      <w:r w:rsidRPr="0048400A">
        <w:rPr>
          <w:lang w:val="en-US"/>
        </w:rPr>
        <w:t>p-value &lt; 10</w:t>
      </w:r>
      <w:r w:rsidRPr="0048400A">
        <w:rPr>
          <w:vertAlign w:val="superscript"/>
          <w:lang w:val="en-US"/>
        </w:rPr>
        <w:t>-323</w:t>
      </w:r>
      <w:r>
        <w:rPr>
          <w:lang w:val="en-US"/>
        </w:rPr>
        <w:t>,</w:t>
      </w:r>
      <w:r w:rsidRPr="00D9364B">
        <w:rPr>
          <w:lang w:val="en-US"/>
        </w:rPr>
        <w:t xml:space="preserve"> </w:t>
      </w:r>
      <w:r w:rsidRPr="0048400A">
        <w:rPr>
          <w:lang w:val="en-US"/>
        </w:rPr>
        <w:t>Mann-Whitney U test</w:t>
      </w:r>
      <w:r>
        <w:rPr>
          <w:lang w:val="en-US"/>
        </w:rPr>
        <w:t xml:space="preserve">) and would normally incorrectly suggest </w:t>
      </w:r>
      <w:r w:rsidR="00611780">
        <w:rPr>
          <w:lang w:val="en-US"/>
        </w:rPr>
        <w:t>most</w:t>
      </w:r>
      <w:r>
        <w:rPr>
          <w:lang w:val="en-US"/>
        </w:rPr>
        <w:t xml:space="preserve"> of the</w:t>
      </w:r>
      <w:r w:rsidR="00611780">
        <w:rPr>
          <w:lang w:val="en-US"/>
        </w:rPr>
        <w:t>, in this example,</w:t>
      </w:r>
      <w:r>
        <w:rPr>
          <w:lang w:val="en-US"/>
        </w:rPr>
        <w:t xml:space="preserve"> Lifelines individuals </w:t>
      </w:r>
      <w:r w:rsidR="00611780">
        <w:rPr>
          <w:lang w:val="en-US"/>
        </w:rPr>
        <w:t>are</w:t>
      </w:r>
      <w:r>
        <w:rPr>
          <w:lang w:val="en-US"/>
        </w:rPr>
        <w:t xml:space="preserve"> at high risk for diabetes if they were compared to the UK Biobank PGS distributions</w:t>
      </w:r>
      <w:r w:rsidRPr="0CFB28C1">
        <w:rPr>
          <w:lang w:val="en-US"/>
        </w:rPr>
        <w:t>. To allow assigning a risk to a single genotyping SNP</w:t>
      </w:r>
      <w:r>
        <w:rPr>
          <w:lang w:val="en-US"/>
        </w:rPr>
        <w:t>, for which only a reference cohort based on a different genotyping chip is available</w:t>
      </w:r>
      <w:r w:rsidRPr="0CFB28C1">
        <w:rPr>
          <w:lang w:val="en-US"/>
        </w:rPr>
        <w:t>, we have</w:t>
      </w:r>
      <w:r>
        <w:rPr>
          <w:lang w:val="en-US"/>
        </w:rPr>
        <w:t xml:space="preserve"> therefore</w:t>
      </w:r>
      <w:r w:rsidRPr="0CFB28C1">
        <w:rPr>
          <w:lang w:val="en-US"/>
        </w:rPr>
        <w:t xml:space="preserve"> devised a method that allows a score based on this chip to be placed in the perspective of any cohort.</w:t>
      </w:r>
    </w:p>
    <w:p w14:paraId="40FF2F77" w14:textId="3E550CDA" w:rsidR="009C68B6" w:rsidRDefault="009C68B6" w:rsidP="009C68B6">
      <w:pPr>
        <w:jc w:val="both"/>
        <w:rPr>
          <w:lang w:val="en-US"/>
        </w:rPr>
      </w:pPr>
      <w:r w:rsidRPr="0CFB28C1">
        <w:rPr>
          <w:lang w:val="en-US"/>
        </w:rPr>
        <w:t>To be able to compare results from a different type of genotyping chip, we use</w:t>
      </w:r>
      <w:r>
        <w:rPr>
          <w:lang w:val="en-US"/>
        </w:rPr>
        <w:t>d</w:t>
      </w:r>
      <w:r w:rsidRPr="0CFB28C1">
        <w:rPr>
          <w:lang w:val="en-US"/>
        </w:rPr>
        <w:t xml:space="preserve"> an intermediary cohort for which WGS data is available. This WGS data will contain SNP data from both genotyping </w:t>
      </w:r>
      <w:r w:rsidRPr="0CFB28C1">
        <w:rPr>
          <w:lang w:val="en-US"/>
        </w:rPr>
        <w:lastRenderedPageBreak/>
        <w:t>chips. To do this we used the European individuals in the 1000g</w:t>
      </w:r>
      <w:r>
        <w:rPr>
          <w:lang w:val="en-US"/>
        </w:rPr>
        <w:t>enomes (1000g)</w:t>
      </w:r>
      <w:r w:rsidRPr="0CFB28C1">
        <w:rPr>
          <w:lang w:val="en-US"/>
        </w:rPr>
        <w:t xml:space="preserve"> data</w:t>
      </w:r>
      <w:r>
        <w:rPr>
          <w:lang w:val="en-US"/>
        </w:rPr>
        <w:t>. This is a dataset containing WGS data for 2500 individuals of which 503 of European descent</w:t>
      </w:r>
      <w:r w:rsidRPr="0CFB28C1">
        <w:rPr>
          <w:lang w:val="en-US"/>
        </w:rPr>
        <w:t xml:space="preserve">. Unfortunately, for the 1000g data not all phenotype information is available, making it impossible to assess for each phenotype what risk is associated to the different scores identified. However, we can determine the percentile the individual ranks in compared to the 1000g data. </w:t>
      </w:r>
      <w:r>
        <w:rPr>
          <w:lang w:val="en-US"/>
        </w:rPr>
        <w:t>We observed that the distributions for diabetics between both cohorts largely overlap using this method (</w:t>
      </w:r>
      <w:r w:rsidRPr="00FB63C8">
        <w:rPr>
          <w:lang w:val="en-US"/>
        </w:rPr>
        <w:t>p-value: 0.</w:t>
      </w:r>
      <w:r>
        <w:rPr>
          <w:lang w:val="en-US"/>
        </w:rPr>
        <w:t>76</w:t>
      </w:r>
      <w:r w:rsidRPr="00FB63C8">
        <w:rPr>
          <w:lang w:val="en-US"/>
        </w:rPr>
        <w:t>,</w:t>
      </w:r>
      <w:r w:rsidRPr="00365217">
        <w:rPr>
          <w:lang w:val="en-US"/>
        </w:rPr>
        <w:t xml:space="preserve"> two sided</w:t>
      </w:r>
      <w:r w:rsidRPr="00FB63C8">
        <w:rPr>
          <w:lang w:val="en-US"/>
        </w:rPr>
        <w:t xml:space="preserve"> Mann-Whitney U test t-test</w:t>
      </w:r>
      <w:r>
        <w:rPr>
          <w:lang w:val="en-US"/>
        </w:rPr>
        <w:t>) (</w:t>
      </w:r>
      <w:r w:rsidR="001C3FEA">
        <w:rPr>
          <w:lang w:val="en-US"/>
        </w:rPr>
        <w:t>Supplementary f</w:t>
      </w:r>
      <w:r>
        <w:rPr>
          <w:lang w:val="en-US"/>
        </w:rPr>
        <w:t xml:space="preserve">igure </w:t>
      </w:r>
      <w:r w:rsidR="001C3FEA">
        <w:rPr>
          <w:lang w:val="en-US"/>
        </w:rPr>
        <w:t>7</w:t>
      </w:r>
      <w:r>
        <w:rPr>
          <w:lang w:val="en-US"/>
        </w:rPr>
        <w:t>, left). For the non-diabetics this is also the case albeit there still is a small, yet statistically significant difference between the two distributions (</w:t>
      </w:r>
      <w:r w:rsidRPr="00FB63C8">
        <w:rPr>
          <w:lang w:val="en-US"/>
        </w:rPr>
        <w:t>p-value</w:t>
      </w:r>
      <w:r>
        <w:rPr>
          <w:lang w:val="en-US"/>
        </w:rPr>
        <w:t>: 1.6 x 10</w:t>
      </w:r>
      <w:r>
        <w:rPr>
          <w:vertAlign w:val="superscript"/>
          <w:lang w:val="en-US"/>
        </w:rPr>
        <w:t>-35</w:t>
      </w:r>
      <w:r w:rsidRPr="00FB63C8">
        <w:rPr>
          <w:lang w:val="en-US"/>
        </w:rPr>
        <w:t>,</w:t>
      </w:r>
      <w:r w:rsidRPr="00365217">
        <w:rPr>
          <w:lang w:val="en-US"/>
        </w:rPr>
        <w:t xml:space="preserve"> two sided</w:t>
      </w:r>
      <w:r w:rsidRPr="00FB63C8">
        <w:rPr>
          <w:lang w:val="en-US"/>
        </w:rPr>
        <w:t xml:space="preserve"> Mann-Whitney U test t-test</w:t>
      </w:r>
      <w:r>
        <w:rPr>
          <w:lang w:val="en-US"/>
        </w:rPr>
        <w:t>).</w:t>
      </w:r>
    </w:p>
    <w:p w14:paraId="24E3C618" w14:textId="77777777" w:rsidR="009C68B6" w:rsidRDefault="009C68B6" w:rsidP="009C68B6">
      <w:pPr>
        <w:jc w:val="both"/>
        <w:rPr>
          <w:lang w:val="en-US"/>
        </w:rPr>
      </w:pPr>
      <w:r w:rsidRPr="0CFB28C1">
        <w:rPr>
          <w:lang w:val="en-US"/>
        </w:rPr>
        <w:t xml:space="preserve">Then we can assess the corresponding </w:t>
      </w:r>
      <w:r>
        <w:rPr>
          <w:lang w:val="en-US"/>
        </w:rPr>
        <w:t xml:space="preserve">incidence </w:t>
      </w:r>
      <w:r w:rsidRPr="0CFB28C1">
        <w:rPr>
          <w:lang w:val="en-US"/>
        </w:rPr>
        <w:t xml:space="preserve">based on the </w:t>
      </w:r>
      <w:r>
        <w:rPr>
          <w:lang w:val="en-US"/>
        </w:rPr>
        <w:t xml:space="preserve">incidence </w:t>
      </w:r>
      <w:r w:rsidRPr="0CFB28C1">
        <w:rPr>
          <w:lang w:val="en-US"/>
        </w:rPr>
        <w:t>of individuals in the reference cohort</w:t>
      </w:r>
      <w:r>
        <w:rPr>
          <w:lang w:val="en-US"/>
        </w:rPr>
        <w:t>, which in this case could be either the UK Biobank non-diabetics, or the Lifelines non-diabetics</w:t>
      </w:r>
      <w:r w:rsidRPr="0CFB28C1">
        <w:rPr>
          <w:lang w:val="en-US"/>
        </w:rPr>
        <w:t>. Doing so, we observe similar risk increases in both cohorts</w:t>
      </w:r>
      <w:r>
        <w:rPr>
          <w:lang w:val="en-US"/>
        </w:rPr>
        <w:t xml:space="preserve"> (Table 1)</w:t>
      </w:r>
      <w:r w:rsidRPr="0CFB28C1">
        <w:rPr>
          <w:lang w:val="en-US"/>
        </w:rPr>
        <w:t xml:space="preserve">. </w:t>
      </w:r>
    </w:p>
    <w:p w14:paraId="51334908" w14:textId="030A1314" w:rsidR="009C68B6" w:rsidRDefault="009C68B6" w:rsidP="009C68B6">
      <w:pPr>
        <w:jc w:val="both"/>
        <w:rPr>
          <w:lang w:val="en-US"/>
        </w:rPr>
      </w:pPr>
      <w:r w:rsidRPr="0CFB28C1">
        <w:rPr>
          <w:lang w:val="en-US"/>
        </w:rPr>
        <w:t xml:space="preserve">In terms of </w:t>
      </w:r>
      <w:r w:rsidR="003D162A">
        <w:rPr>
          <w:lang w:val="en-US"/>
        </w:rPr>
        <w:t xml:space="preserve">predicted </w:t>
      </w:r>
      <w:r w:rsidRPr="0CFB28C1">
        <w:rPr>
          <w:lang w:val="en-US"/>
        </w:rPr>
        <w:t>absolute risk, we d</w:t>
      </w:r>
      <w:r>
        <w:rPr>
          <w:lang w:val="en-US"/>
        </w:rPr>
        <w:t>id</w:t>
      </w:r>
      <w:r w:rsidRPr="0CFB28C1">
        <w:rPr>
          <w:lang w:val="en-US"/>
        </w:rPr>
        <w:t xml:space="preserve"> observe a difference, which we can attribute to the overall lower </w:t>
      </w:r>
      <w:r>
        <w:rPr>
          <w:lang w:val="en-US"/>
        </w:rPr>
        <w:t xml:space="preserve">incidence </w:t>
      </w:r>
      <w:r w:rsidRPr="0CFB28C1">
        <w:rPr>
          <w:lang w:val="en-US"/>
        </w:rPr>
        <w:t>of diabetes in the Lifelines cohort, due to its much lower average age. Correcting for this</w:t>
      </w:r>
      <w:r w:rsidR="003D162A">
        <w:rPr>
          <w:lang w:val="en-US"/>
        </w:rPr>
        <w:t>,</w:t>
      </w:r>
      <w:r>
        <w:rPr>
          <w:lang w:val="en-US"/>
        </w:rPr>
        <w:t xml:space="preserve"> </w:t>
      </w:r>
      <w:r w:rsidRPr="0CFB28C1">
        <w:rPr>
          <w:lang w:val="en-US"/>
        </w:rPr>
        <w:t xml:space="preserve">yields also similar absolute risk predictions. </w:t>
      </w:r>
      <w:r w:rsidR="003D162A">
        <w:rPr>
          <w:lang w:val="en-US"/>
        </w:rPr>
        <w:t xml:space="preserve">Using this method, we find that </w:t>
      </w:r>
      <w:r w:rsidR="00377DE6">
        <w:rPr>
          <w:lang w:val="en-US"/>
        </w:rPr>
        <w:t xml:space="preserve">relative </w:t>
      </w:r>
      <w:r w:rsidR="003D162A">
        <w:rPr>
          <w:lang w:val="en-US"/>
        </w:rPr>
        <w:t xml:space="preserve">risk is comparable in both cohorts and in line with earlier findings </w:t>
      </w:r>
      <w:sdt>
        <w:sdtPr>
          <w:rPr>
            <w:color w:val="000000"/>
            <w:vertAlign w:val="superscript"/>
            <w:lang w:val="en-US"/>
          </w:rPr>
          <w:tag w:val="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"/>
          <w:id w:val="-882555906"/>
          <w:placeholder>
            <w:docPart w:val="66ECFD04AF6949BCA18C034389C1E95F"/>
          </w:placeholder>
        </w:sdtPr>
        <w:sdtEndPr/>
        <w:sdtContent>
          <w:r w:rsidR="003D162A" w:rsidRPr="00D93DBB">
            <w:rPr>
              <w:color w:val="000000"/>
              <w:vertAlign w:val="superscript"/>
              <w:lang w:val="en-US"/>
            </w:rPr>
            <w:t>10,11</w:t>
          </w:r>
        </w:sdtContent>
      </w:sdt>
      <w:r w:rsidR="003D162A">
        <w:rPr>
          <w:lang w:val="en-US"/>
        </w:rPr>
        <w:t xml:space="preserve">, showing that this method is robust. </w:t>
      </w:r>
      <w:r w:rsidRPr="0CFB28C1">
        <w:rPr>
          <w:lang w:val="en-US"/>
        </w:rPr>
        <w:t>As such this method can be used to assess the risk of single individuals, without the need for the use of the same genotyping chip.</w:t>
      </w:r>
    </w:p>
    <w:p w14:paraId="3E8675DF" w14:textId="2157F569" w:rsidR="003D162A" w:rsidRDefault="003D162A" w:rsidP="003D162A">
      <w:pPr>
        <w:jc w:val="both"/>
        <w:rPr>
          <w:lang w:val="en-US"/>
        </w:rPr>
      </w:pPr>
      <w:r>
        <w:rPr>
          <w:lang w:val="en-US"/>
        </w:rPr>
        <w:t xml:space="preserve">This is particularly of interest since PGS currently suffer from a bias toward Europeans </w:t>
      </w:r>
      <w:r>
        <w:rPr>
          <w:lang w:val="en-US"/>
        </w:rPr>
        <w:fldChar w:fldCharType="begin" w:fldLock="1"/>
      </w:r>
      <w:r w:rsidR="00393E8E">
        <w:rPr>
          <w:lang w:val="en-US"/>
        </w:rPr>
        <w:instrText>ADDIN CSL_CITATION {"citationItems":[{"id":"ITEM-1","itemData":{"DOI":"10.1038/s41467-019-11112-0","ISSN":"20411723","abstract":"A historical tendency to use European ancestry samples hinders medical genetics research, including the use of polygenic scores, which are individual-level metrics of genetic risk. We analyze the first decade of polygenic scoring studies (2008–2017, inclusive), and find that 67% of studies included exclusively European ancestry participants and another 19% included only East Asian ancestry participants. Only 3.8% of studies were among cohorts of African, Hispanic, or Indigenous peoples. We find that predictive performance of European ancestry-derived polygenic scores is lower in non-European ancestry samples (e.g. African ancestry samples: t = −5.97, df = 24, p = 3.7 × 10−6), and we demonstrate the effects of methodological choices in polygenic score distributions for worldwide populations. These findings highlight the need for improved treatment of linkage disequilibrium and variant frequencies when applying polygenic scoring to cohorts of non-European ancestry, and bolster the rationale for large-scale GWAS in diverse human populations.","author":[{"dropping-particle":"","family":"Duncan","given":"L.","non-dropping-particle":"","parse-names":false,"suffix":""},{"dropping-particle":"","family":"Shen","given":"H.","non-dropping-particle":"","parse-names":false,"suffix":""},{"dropping-particle":"","family":"Gelaye","given":"B.","non-dropping-particle":"","parse-names":false,"suffix":""},{"dropping-particle":"","family":"Meijsen","given":"J.","non-dropping-particle":"","parse-names":false,"suffix":""},{"dropping-particle":"","family":"Ressler","given":"K.","non-dropping-particle":"","parse-names":false,"suffix":""},{"dropping-particle":"","family":"Feldman","given":"M.","non-dropping-particle":"","parse-names":false,"suffix":""},{"dropping-particle":"","family":"Peterson","given":"R.","non-dropping-particle":"","parse-names":false,"suffix":""},{"dropping-particle":"","family":"Domingue","given":"B.","non-dropping-particle":"","parse-names":false,"suffix":""}],"container-title":"Nature Communications","id":"ITEM-1","issue":"1","issued":{"date-parts":[["2019","12","1"]]},"page":"1-9","publisher":"Nature Publishing Group","title":"Analysis of polygenic risk score usage and performance in diverse human populations","type":"article-journal","volume":"10"},"uris":["http://www.mendeley.com/documents/?uuid=4728855f-a749-3aa2-b422-a9e3079e0ebd"]}],"mendeley":{"formattedCitation":"&lt;sup&gt;12&lt;/sup&gt;","plainTextFormattedCitation":"12","previouslyFormattedCitation":"&lt;sup&gt;12&lt;/sup&gt;"},"properties":{"noteIndex":0},"schema":"https://github.com/citation-style-language/schema/raw/master/csl-citation.json"}</w:instrText>
      </w:r>
      <w:r>
        <w:rPr>
          <w:lang w:val="en-US"/>
        </w:rPr>
        <w:fldChar w:fldCharType="separate"/>
      </w:r>
      <w:r w:rsidR="00B04084" w:rsidRPr="00B04084">
        <w:rPr>
          <w:noProof/>
          <w:vertAlign w:val="superscript"/>
          <w:lang w:val="en-US"/>
        </w:rPr>
        <w:t>12</w:t>
      </w:r>
      <w:r>
        <w:rPr>
          <w:lang w:val="en-US"/>
        </w:rPr>
        <w:fldChar w:fldCharType="end"/>
      </w:r>
      <w:r>
        <w:rPr>
          <w:lang w:val="en-US"/>
        </w:rPr>
        <w:t xml:space="preserve">. Although new biobanks for different ethnicities will resolve the accessibility of reference genotyping chips of the appropriate ethnicity, these will likely contain different genotypes. One drawback that will remain is that for </w:t>
      </w:r>
      <w:r w:rsidRPr="00460FA2">
        <w:rPr>
          <w:lang w:val="en-US"/>
        </w:rPr>
        <w:t>subjects with a complex history of admixture</w:t>
      </w:r>
      <w:r>
        <w:rPr>
          <w:lang w:val="en-US"/>
        </w:rPr>
        <w:t>, there will likely be additional challenges, but deconvolution, based on the ethnicity of origin, of such genomes suggest</w:t>
      </w:r>
      <w:r w:rsidR="00377DE6">
        <w:rPr>
          <w:lang w:val="en-US"/>
        </w:rPr>
        <w:t>s</w:t>
      </w:r>
      <w:r>
        <w:rPr>
          <w:lang w:val="en-US"/>
        </w:rPr>
        <w:t xml:space="preserve"> that also for these individuals it will be possible to calculate accurate PGS provided references for the deconvoluted genomes are available </w:t>
      </w:r>
      <w:r>
        <w:rPr>
          <w:lang w:val="en-US"/>
        </w:rPr>
        <w:fldChar w:fldCharType="begin" w:fldLock="1"/>
      </w:r>
      <w:r w:rsidR="00393E8E">
        <w:rPr>
          <w:lang w:val="en-US"/>
        </w:rPr>
        <w:instrText>ADDIN CSL_CITATION {"citationItems":[{"id":"ITEM-1","itemData":{"DOI":"10.1038/s41467-020-15464-w","ISSN":"2041-1723","abstract":"Polygenic Scores (PSs) describe the genetic component of an individual’s quantitative phenotype or their susceptibility to diseases with a genetic basis. Currently, PSs rely on population-dependent contributions of many associated alleles, with limited applicability to understudied populations and recently admixed individuals. Here we introduce a combination of local ancestry deconvolution and partial PS computation to account for the population-specific nature of the association signals in individuals with admixed ancestry. We demonstrate partial PS to be a proxy for the total PS and that a portion of the genome is enough to improve susceptibility predictions for the traits we test. By combining partial PSs from different populations, we are able to improve trait predictability in admixed individuals with some European ancestry. These results may extend the applicability of PSs to subjects with a complex history of admixture, where current methods cannot be applied. Polygenic scores are believed to hold future promise for trait prediction and personalized medicine, but are sensitive to demographic history. Here, Marnetto et al. develop partial polygenic scores supplemented with local ancestry deconvolution which improves prediction accuracy into recently admixed European populations.","author":[{"dropping-particle":"","family":"Marnetto","given":"Davide","non-dropping-particle":"","parse-names":false,"suffix":""},{"dropping-particle":"","family":"Pärna","given":"Katri","non-dropping-particle":"","parse-names":false,"suffix":""},{"dropping-particle":"","family":"Läll","given":"Kristi","non-dropping-particle":"","parse-names":false,"suffix":""},{"dropping-particle":"","family":"Molinaro","given":"Ludovica","non-dropping-particle":"","parse-names":false,"suffix":""},{"dropping-particle":"","family":"Montinaro","given":"Francesco","non-dropping-particle":"","parse-names":false,"suffix":""},{"dropping-particle":"","family":"Haller","given":"Toomas","non-dropping-particle":"","parse-names":false,"suffix":""},{"dropping-particle":"","family":"Metspalu","given":"Mait","non-dropping-particle":"","parse-names":false,"suffix":""},{"dropping-particle":"","family":"Mägi","given":"Reedik","non-dropping-particle":"","parse-names":false,"suffix":""},{"dropping-particle":"","family":"Fischer","given":"Krista","non-dropping-particle":"","parse-names":false,"suffix":""},{"dropping-particle":"","family":"Pagani","given":"Luca","non-dropping-particle":"","parse-names":false,"suffix":""}],"container-title":"Nature Communications 2020 11:1","id":"ITEM-1","issue":"1","issued":{"date-parts":[["2020","4","2"]]},"page":"1-9","publisher":"Nature Publishing Group","title":"Ancestry deconvolution and partial polygenic score can improve susceptibility predictions in recently admixed individuals","type":"article-journal","volume":"11"},"uris":["http://www.mendeley.com/documents/?uuid=44112118-3f10-3a24-8e84-8dfb08c90f4b"]}],"mendeley":{"formattedCitation":"&lt;sup&gt;13&lt;/sup&gt;","plainTextFormattedCitation":"13","previouslyFormattedCitation":"&lt;sup&gt;13&lt;/sup&gt;"},"properties":{"noteIndex":0},"schema":"https://github.com/citation-style-language/schema/raw/master/csl-citation.json"}</w:instrText>
      </w:r>
      <w:r>
        <w:rPr>
          <w:lang w:val="en-US"/>
        </w:rPr>
        <w:fldChar w:fldCharType="separate"/>
      </w:r>
      <w:r w:rsidR="00B04084" w:rsidRPr="00B04084">
        <w:rPr>
          <w:noProof/>
          <w:vertAlign w:val="superscript"/>
          <w:lang w:val="en-US"/>
        </w:rPr>
        <w:t>13</w:t>
      </w:r>
      <w:r>
        <w:rPr>
          <w:lang w:val="en-US"/>
        </w:rPr>
        <w:fldChar w:fldCharType="end"/>
      </w:r>
      <w:r>
        <w:rPr>
          <w:lang w:val="en-US"/>
        </w:rPr>
        <w:t>.</w:t>
      </w:r>
      <w:r w:rsidRPr="003D162A">
        <w:rPr>
          <w:lang w:val="en-US"/>
        </w:rPr>
        <w:t xml:space="preserve"> </w:t>
      </w:r>
      <w:r>
        <w:rPr>
          <w:lang w:val="en-US"/>
        </w:rPr>
        <w:t>Therefore, our method will allow any individual chip to be compared against the dataset with most appropriate for that ethnicity when such database become available in the future.</w:t>
      </w:r>
    </w:p>
    <w:p w14:paraId="108AB192" w14:textId="77777777" w:rsidR="00D1791A" w:rsidRDefault="00D1791A">
      <w:pPr>
        <w:rPr>
          <w:lang w:val="en-US"/>
        </w:rPr>
      </w:pPr>
    </w:p>
    <w:p w14:paraId="7C19B391" w14:textId="33CAE689" w:rsidR="005B4D81" w:rsidRDefault="005B4D81">
      <w:pPr>
        <w:rPr>
          <w:lang w:val="en-US"/>
        </w:rPr>
      </w:pPr>
      <w:r>
        <w:rPr>
          <w:lang w:val="en-US"/>
        </w:rPr>
        <w:br w:type="page"/>
      </w:r>
    </w:p>
    <w:p w14:paraId="0050B264" w14:textId="1610C875" w:rsidR="005B4D81" w:rsidRDefault="00BC2A1E" w:rsidP="006710D9">
      <w:pPr>
        <w:pStyle w:val="Heading1"/>
        <w:rPr>
          <w:lang w:val="en-US"/>
        </w:rPr>
      </w:pPr>
      <w:r>
        <w:rPr>
          <w:lang w:val="en-US"/>
        </w:rPr>
        <w:lastRenderedPageBreak/>
        <w:t>Supplementary figures</w:t>
      </w:r>
    </w:p>
    <w:p w14:paraId="1CE6E495" w14:textId="3D019502" w:rsidR="00BC2A1E" w:rsidRDefault="00AE798F" w:rsidP="005B4D81">
      <w:pPr>
        <w:rPr>
          <w:b/>
          <w:bCs/>
          <w:lang w:val="en-US"/>
        </w:rPr>
      </w:pPr>
      <w:r>
        <w:rPr>
          <w:b/>
          <w:bCs/>
          <w:noProof/>
          <w:lang w:val="en-US"/>
        </w:rPr>
        <w:drawing>
          <wp:inline distT="0" distB="0" distL="0" distR="0" wp14:anchorId="13642528" wp14:editId="0B90A5DC">
            <wp:extent cx="5727700" cy="21526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7700" cy="2152650"/>
                    </a:xfrm>
                    <a:prstGeom prst="rect">
                      <a:avLst/>
                    </a:prstGeom>
                    <a:noFill/>
                    <a:ln>
                      <a:noFill/>
                    </a:ln>
                  </pic:spPr>
                </pic:pic>
              </a:graphicData>
            </a:graphic>
          </wp:inline>
        </w:drawing>
      </w:r>
    </w:p>
    <w:p w14:paraId="11552054" w14:textId="28B6FE20" w:rsidR="001E5107" w:rsidRDefault="00130EEE" w:rsidP="005B4D81">
      <w:pPr>
        <w:rPr>
          <w:lang w:val="en-US"/>
        </w:rPr>
      </w:pPr>
      <w:r>
        <w:rPr>
          <w:b/>
          <w:bCs/>
          <w:lang w:val="en-US"/>
        </w:rPr>
        <w:t xml:space="preserve">Supplementary figure 1: </w:t>
      </w:r>
      <w:r w:rsidR="00BC2A1E">
        <w:rPr>
          <w:b/>
          <w:bCs/>
          <w:lang w:val="en-US"/>
        </w:rPr>
        <w:t xml:space="preserve">Ages of individuals in the biobanks. </w:t>
      </w:r>
      <w:r w:rsidR="00BC2A1E">
        <w:rPr>
          <w:lang w:val="en-US"/>
        </w:rPr>
        <w:t>Left Lifelines, right UK Biobank.</w:t>
      </w:r>
    </w:p>
    <w:p w14:paraId="0F3FD9DC" w14:textId="77777777" w:rsidR="001E5107" w:rsidRDefault="001E5107">
      <w:pPr>
        <w:rPr>
          <w:lang w:val="en-US"/>
        </w:rPr>
      </w:pPr>
      <w:r>
        <w:rPr>
          <w:lang w:val="en-US"/>
        </w:rPr>
        <w:br w:type="page"/>
      </w:r>
    </w:p>
    <w:p w14:paraId="35AC293E" w14:textId="77777777" w:rsidR="00BC2A1E" w:rsidRPr="00BC2A1E" w:rsidRDefault="00BC2A1E" w:rsidP="005B4D81">
      <w:pPr>
        <w:rPr>
          <w:lang w:val="en-US"/>
        </w:rPr>
      </w:pPr>
    </w:p>
    <w:p w14:paraId="113BCED7" w14:textId="267A1F1F" w:rsidR="005B4D81" w:rsidRDefault="005B4D81" w:rsidP="00A961F4">
      <w:pPr>
        <w:rPr>
          <w:lang w:val="en-US"/>
        </w:rPr>
      </w:pPr>
    </w:p>
    <w:p w14:paraId="3608B105" w14:textId="691BA6E3" w:rsidR="001B7369" w:rsidRDefault="001B7369" w:rsidP="00A961F4">
      <w:pPr>
        <w:rPr>
          <w:lang w:val="en-US"/>
        </w:rPr>
      </w:pPr>
      <w:r>
        <w:rPr>
          <w:noProof/>
          <w:lang w:val="en-US"/>
        </w:rPr>
        <w:drawing>
          <wp:inline distT="0" distB="0" distL="0" distR="0" wp14:anchorId="68EDCC32" wp14:editId="165C2C49">
            <wp:extent cx="5731510" cy="286575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2865755"/>
                    </a:xfrm>
                    <a:prstGeom prst="rect">
                      <a:avLst/>
                    </a:prstGeom>
                    <a:noFill/>
                    <a:ln>
                      <a:noFill/>
                    </a:ln>
                  </pic:spPr>
                </pic:pic>
              </a:graphicData>
            </a:graphic>
          </wp:inline>
        </w:drawing>
      </w:r>
    </w:p>
    <w:p w14:paraId="282B76D2" w14:textId="39D2E22B" w:rsidR="001B7369" w:rsidRPr="001B7369" w:rsidRDefault="001B7369" w:rsidP="00754EAF">
      <w:pPr>
        <w:rPr>
          <w:lang w:val="en-US"/>
        </w:rPr>
      </w:pPr>
      <w:r w:rsidRPr="001B7369">
        <w:rPr>
          <w:b/>
          <w:bCs/>
          <w:lang w:val="en-US"/>
        </w:rPr>
        <w:t>Supplementary figure 2</w:t>
      </w:r>
      <w:r>
        <w:rPr>
          <w:b/>
          <w:bCs/>
          <w:lang w:val="en-US"/>
        </w:rPr>
        <w:t xml:space="preserve">: Type-2 diabetes (T2D) incidence does not increase in the </w:t>
      </w:r>
      <w:r w:rsidR="00DC2405">
        <w:rPr>
          <w:b/>
          <w:bCs/>
          <w:lang w:val="en-US"/>
        </w:rPr>
        <w:t>training</w:t>
      </w:r>
      <w:r>
        <w:rPr>
          <w:b/>
          <w:bCs/>
          <w:lang w:val="en-US"/>
        </w:rPr>
        <w:t xml:space="preserve"> dataset, but does in the </w:t>
      </w:r>
      <w:r w:rsidR="00BD0285">
        <w:rPr>
          <w:b/>
          <w:bCs/>
          <w:lang w:val="en-US"/>
        </w:rPr>
        <w:t xml:space="preserve">data </w:t>
      </w:r>
      <w:r>
        <w:rPr>
          <w:b/>
          <w:bCs/>
          <w:lang w:val="en-US"/>
        </w:rPr>
        <w:t>set</w:t>
      </w:r>
      <w:r w:rsidR="00DC2405">
        <w:rPr>
          <w:b/>
          <w:bCs/>
          <w:lang w:val="en-US"/>
        </w:rPr>
        <w:t>s used for validation</w:t>
      </w:r>
      <w:r>
        <w:rPr>
          <w:b/>
          <w:bCs/>
          <w:lang w:val="en-US"/>
        </w:rPr>
        <w:t>.</w:t>
      </w:r>
      <w:r>
        <w:rPr>
          <w:lang w:val="en-US"/>
        </w:rPr>
        <w:t xml:space="preserve"> We note, that no corrections were made for mortality. As a result of the failed observation of increase T2D incidence in the UKB training set, this variable does not aid in T2D incidence predictions in the datasets </w:t>
      </w:r>
      <w:r w:rsidR="00DC2405">
        <w:rPr>
          <w:lang w:val="en-US"/>
        </w:rPr>
        <w:t xml:space="preserve">used for validation </w:t>
      </w:r>
      <w:r>
        <w:rPr>
          <w:lang w:val="en-US"/>
        </w:rPr>
        <w:t xml:space="preserve">either. </w:t>
      </w:r>
    </w:p>
    <w:p w14:paraId="5EA88FBD" w14:textId="7066ACE5" w:rsidR="00754EAF" w:rsidRDefault="003004E0" w:rsidP="00754EAF">
      <w:pPr>
        <w:rPr>
          <w:lang w:val="en-US"/>
        </w:rPr>
      </w:pPr>
      <w:r>
        <w:rPr>
          <w:noProof/>
          <w:lang w:val="en-US"/>
        </w:rPr>
        <w:drawing>
          <wp:inline distT="0" distB="0" distL="0" distR="0" wp14:anchorId="6A52CE56" wp14:editId="6EEBC557">
            <wp:extent cx="5729605" cy="32080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9605" cy="3208020"/>
                    </a:xfrm>
                    <a:prstGeom prst="rect">
                      <a:avLst/>
                    </a:prstGeom>
                    <a:noFill/>
                    <a:ln>
                      <a:noFill/>
                    </a:ln>
                  </pic:spPr>
                </pic:pic>
              </a:graphicData>
            </a:graphic>
          </wp:inline>
        </w:drawing>
      </w:r>
    </w:p>
    <w:p w14:paraId="039F3682" w14:textId="0F27BE7C" w:rsidR="00754EAF" w:rsidRPr="00845C6C" w:rsidRDefault="00754EAF" w:rsidP="00754EAF">
      <w:pPr>
        <w:rPr>
          <w:rStyle w:val="SubtleEmphasis"/>
          <w:b w:val="0"/>
          <w:bCs/>
          <w:lang w:val="en-US"/>
        </w:rPr>
      </w:pPr>
      <w:r w:rsidRPr="00AA75D7">
        <w:rPr>
          <w:rStyle w:val="SubtleEmphasis"/>
          <w:lang w:val="en-US"/>
        </w:rPr>
        <w:t>Supplementary figure</w:t>
      </w:r>
      <w:r w:rsidR="00A66A64">
        <w:rPr>
          <w:rStyle w:val="SubtleEmphasis"/>
          <w:lang w:val="en-US"/>
        </w:rPr>
        <w:t xml:space="preserve"> 3</w:t>
      </w:r>
      <w:r w:rsidRPr="00AA75D7">
        <w:rPr>
          <w:rStyle w:val="SubtleEmphasis"/>
          <w:lang w:val="en-US"/>
        </w:rPr>
        <w:t>: Comparison</w:t>
      </w:r>
      <w:r w:rsidR="008D62EB">
        <w:rPr>
          <w:rStyle w:val="SubtleEmphasis"/>
          <w:lang w:val="en-US"/>
        </w:rPr>
        <w:t xml:space="preserve"> outcome</w:t>
      </w:r>
      <w:r w:rsidRPr="00AA75D7">
        <w:rPr>
          <w:rStyle w:val="SubtleEmphasis"/>
          <w:lang w:val="en-US"/>
        </w:rPr>
        <w:t xml:space="preserve"> </w:t>
      </w:r>
      <w:r w:rsidR="008D62EB">
        <w:rPr>
          <w:rStyle w:val="SubtleEmphasis"/>
          <w:lang w:val="en-US"/>
        </w:rPr>
        <w:t xml:space="preserve">prevalence </w:t>
      </w:r>
      <w:r w:rsidRPr="00AA75D7">
        <w:rPr>
          <w:rStyle w:val="SubtleEmphasis"/>
          <w:lang w:val="en-US"/>
        </w:rPr>
        <w:t>predictions based on a model based on PGS and a model based on Sex, BMI, physical activity, parental T2D disease and Smoking status in</w:t>
      </w:r>
      <w:r>
        <w:rPr>
          <w:rStyle w:val="SubtleEmphasis"/>
          <w:lang w:val="en-US"/>
        </w:rPr>
        <w:t xml:space="preserve"> both Lifelines (figure</w:t>
      </w:r>
      <w:r w:rsidRPr="00AA75D7">
        <w:rPr>
          <w:rStyle w:val="SubtleEmphasis"/>
          <w:lang w:val="en-US"/>
        </w:rPr>
        <w:t xml:space="preserve"> </w:t>
      </w:r>
      <w:r>
        <w:rPr>
          <w:rStyle w:val="SubtleEmphasis"/>
          <w:lang w:val="en-US"/>
        </w:rPr>
        <w:t xml:space="preserve">2) and </w:t>
      </w:r>
      <w:r w:rsidRPr="00AA75D7">
        <w:rPr>
          <w:rStyle w:val="SubtleEmphasis"/>
          <w:lang w:val="en-US"/>
        </w:rPr>
        <w:t>the UK Biobank.</w:t>
      </w:r>
      <w:r>
        <w:rPr>
          <w:rStyle w:val="SubtleEmphasis"/>
          <w:lang w:val="en-US"/>
        </w:rPr>
        <w:t xml:space="preserve"> </w:t>
      </w:r>
      <w:r>
        <w:rPr>
          <w:rStyle w:val="SubtleEmphasis"/>
          <w:b w:val="0"/>
          <w:bCs/>
          <w:lang w:val="en-US"/>
        </w:rPr>
        <w:t>Correlation in the UKB is 0.0</w:t>
      </w:r>
      <w:r w:rsidR="006D24A3">
        <w:rPr>
          <w:rStyle w:val="SubtleEmphasis"/>
          <w:b w:val="0"/>
          <w:bCs/>
          <w:lang w:val="en-US"/>
        </w:rPr>
        <w:t>7</w:t>
      </w:r>
      <w:r>
        <w:rPr>
          <w:rStyle w:val="SubtleEmphasis"/>
          <w:b w:val="0"/>
          <w:bCs/>
          <w:lang w:val="en-US"/>
        </w:rPr>
        <w:t xml:space="preserve"> (p-value: </w:t>
      </w:r>
      <w:r w:rsidR="006D24A3">
        <w:rPr>
          <w:rStyle w:val="SubtleEmphasis"/>
          <w:b w:val="0"/>
          <w:bCs/>
          <w:lang w:val="en-US"/>
        </w:rPr>
        <w:t>3.3</w:t>
      </w:r>
      <w:r>
        <w:rPr>
          <w:rStyle w:val="SubtleEmphasis"/>
          <w:b w:val="0"/>
          <w:bCs/>
          <w:lang w:val="en-US"/>
        </w:rPr>
        <w:t xml:space="preserve"> *10</w:t>
      </w:r>
      <w:r>
        <w:rPr>
          <w:rStyle w:val="SubtleEmphasis"/>
          <w:b w:val="0"/>
          <w:bCs/>
          <w:vertAlign w:val="superscript"/>
          <w:lang w:val="en-US"/>
        </w:rPr>
        <w:t>-2</w:t>
      </w:r>
      <w:r w:rsidR="006D24A3">
        <w:rPr>
          <w:rStyle w:val="SubtleEmphasis"/>
          <w:b w:val="0"/>
          <w:bCs/>
          <w:vertAlign w:val="superscript"/>
          <w:lang w:val="en-US"/>
        </w:rPr>
        <w:t>24</w:t>
      </w:r>
      <w:r>
        <w:rPr>
          <w:rStyle w:val="SubtleEmphasis"/>
          <w:b w:val="0"/>
          <w:bCs/>
          <w:lang w:val="en-US"/>
        </w:rPr>
        <w:t xml:space="preserve">)  and 0.03 (p-value: </w:t>
      </w:r>
      <w:r w:rsidR="00E52D4F">
        <w:rPr>
          <w:rStyle w:val="SubtleEmphasis"/>
          <w:b w:val="0"/>
          <w:bCs/>
          <w:lang w:val="en-US"/>
        </w:rPr>
        <w:t>9</w:t>
      </w:r>
      <w:r>
        <w:rPr>
          <w:rStyle w:val="SubtleEmphasis"/>
          <w:b w:val="0"/>
          <w:bCs/>
          <w:lang w:val="en-US"/>
        </w:rPr>
        <w:t>.0 *10</w:t>
      </w:r>
      <w:r>
        <w:rPr>
          <w:rStyle w:val="SubtleEmphasis"/>
          <w:b w:val="0"/>
          <w:bCs/>
          <w:vertAlign w:val="superscript"/>
          <w:lang w:val="en-US"/>
        </w:rPr>
        <w:t>-</w:t>
      </w:r>
      <w:r w:rsidR="00E52D4F">
        <w:rPr>
          <w:rStyle w:val="SubtleEmphasis"/>
          <w:b w:val="0"/>
          <w:bCs/>
          <w:vertAlign w:val="superscript"/>
          <w:lang w:val="en-US"/>
        </w:rPr>
        <w:t>56</w:t>
      </w:r>
      <w:r>
        <w:rPr>
          <w:rStyle w:val="SubtleEmphasis"/>
          <w:b w:val="0"/>
          <w:bCs/>
          <w:lang w:val="en-US"/>
        </w:rPr>
        <w:t xml:space="preserve">) with </w:t>
      </w:r>
      <w:r w:rsidR="007D4DA0">
        <w:rPr>
          <w:rStyle w:val="SubtleEmphasis"/>
          <w:b w:val="0"/>
          <w:bCs/>
          <w:lang w:val="en-US"/>
        </w:rPr>
        <w:t>46</w:t>
      </w:r>
      <w:r>
        <w:rPr>
          <w:rStyle w:val="SubtleEmphasis"/>
          <w:b w:val="0"/>
          <w:bCs/>
          <w:lang w:val="en-US"/>
        </w:rPr>
        <w:t xml:space="preserve"> and </w:t>
      </w:r>
      <w:r w:rsidR="007D4DA0">
        <w:rPr>
          <w:rStyle w:val="SubtleEmphasis"/>
          <w:b w:val="0"/>
          <w:bCs/>
          <w:lang w:val="en-US"/>
        </w:rPr>
        <w:t>48</w:t>
      </w:r>
      <w:r>
        <w:rPr>
          <w:rStyle w:val="SubtleEmphasis"/>
          <w:b w:val="0"/>
          <w:bCs/>
          <w:lang w:val="en-US"/>
        </w:rPr>
        <w:t xml:space="preserve"> % of the individuals being predicted at least 3 deciles apart from each other,  for CAD and T2D respectively.</w:t>
      </w:r>
      <w:r w:rsidR="00BA1660">
        <w:rPr>
          <w:rStyle w:val="SubtleEmphasis"/>
          <w:b w:val="0"/>
          <w:bCs/>
          <w:lang w:val="en-US"/>
        </w:rPr>
        <w:t>//</w:t>
      </w:r>
    </w:p>
    <w:p w14:paraId="0DFABB79" w14:textId="77777777" w:rsidR="00754EAF" w:rsidRDefault="00754EAF" w:rsidP="00754EAF">
      <w:pPr>
        <w:rPr>
          <w:lang w:val="en-US"/>
        </w:rPr>
      </w:pPr>
      <w:r>
        <w:rPr>
          <w:lang w:val="en-US"/>
        </w:rPr>
        <w:br w:type="page"/>
      </w:r>
    </w:p>
    <w:p w14:paraId="23E9075A" w14:textId="43DAED4F" w:rsidR="00754EAF" w:rsidRDefault="00754EAF" w:rsidP="00754EAF">
      <w:pPr>
        <w:rPr>
          <w:lang w:val="en-US"/>
        </w:rPr>
      </w:pPr>
    </w:p>
    <w:p w14:paraId="3DCBCC7B" w14:textId="23227E27" w:rsidR="00754EAF" w:rsidRDefault="00754EAF" w:rsidP="00754EAF">
      <w:pPr>
        <w:rPr>
          <w:lang w:val="en-US"/>
        </w:rPr>
      </w:pPr>
    </w:p>
    <w:p w14:paraId="229927DC" w14:textId="77777777" w:rsidR="00754EAF" w:rsidRDefault="00754EAF" w:rsidP="00754EAF">
      <w:pPr>
        <w:rPr>
          <w:lang w:val="en-US"/>
        </w:rPr>
      </w:pPr>
      <w:r>
        <w:rPr>
          <w:noProof/>
          <w:lang w:val="en-US"/>
        </w:rPr>
        <w:drawing>
          <wp:inline distT="0" distB="0" distL="0" distR="0" wp14:anchorId="153E9073" wp14:editId="1C383C69">
            <wp:extent cx="5724525" cy="305117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24525" cy="3051175"/>
                    </a:xfrm>
                    <a:prstGeom prst="rect">
                      <a:avLst/>
                    </a:prstGeom>
                    <a:noFill/>
                    <a:ln>
                      <a:noFill/>
                    </a:ln>
                  </pic:spPr>
                </pic:pic>
              </a:graphicData>
            </a:graphic>
          </wp:inline>
        </w:drawing>
      </w:r>
    </w:p>
    <w:p w14:paraId="689AEC20" w14:textId="77777777" w:rsidR="00754EAF" w:rsidRDefault="00754EAF" w:rsidP="00754EAF">
      <w:pPr>
        <w:rPr>
          <w:rStyle w:val="SubtleEmphasis"/>
          <w:lang w:val="en-US"/>
        </w:rPr>
      </w:pPr>
      <w:r>
        <w:rPr>
          <w:rStyle w:val="SubtleEmphasis"/>
          <w:lang w:val="en-US"/>
        </w:rPr>
        <w:t>Supplementary f</w:t>
      </w:r>
      <w:r w:rsidRPr="0029653B">
        <w:rPr>
          <w:rStyle w:val="SubtleEmphasis"/>
          <w:lang w:val="en-US"/>
        </w:rPr>
        <w:t>igure</w:t>
      </w:r>
      <w:r>
        <w:rPr>
          <w:rStyle w:val="SubtleEmphasis"/>
          <w:lang w:val="en-US"/>
        </w:rPr>
        <w:t xml:space="preserve"> 5.</w:t>
      </w:r>
      <w:r w:rsidRPr="0029653B">
        <w:rPr>
          <w:rStyle w:val="SubtleEmphasis"/>
          <w:lang w:val="en-US"/>
        </w:rPr>
        <w:t xml:space="preserve"> Comparison of predictions of top and bottom decile from </w:t>
      </w:r>
      <w:r>
        <w:rPr>
          <w:rStyle w:val="SubtleEmphasis"/>
          <w:lang w:val="en-US"/>
        </w:rPr>
        <w:t xml:space="preserve">PGS </w:t>
      </w:r>
      <w:r w:rsidRPr="0029653B">
        <w:rPr>
          <w:rStyle w:val="SubtleEmphasis"/>
          <w:lang w:val="en-US"/>
        </w:rPr>
        <w:t>analyses</w:t>
      </w:r>
      <w:r>
        <w:rPr>
          <w:rStyle w:val="SubtleEmphasis"/>
          <w:lang w:val="en-US"/>
        </w:rPr>
        <w:t xml:space="preserve"> calculated using different prediction models</w:t>
      </w:r>
      <w:r w:rsidRPr="0029653B">
        <w:rPr>
          <w:rStyle w:val="SubtleEmphasis"/>
          <w:lang w:val="en-US"/>
        </w:rPr>
        <w:t>.</w:t>
      </w:r>
      <w:r>
        <w:rPr>
          <w:rStyle w:val="SubtleEmphasis"/>
          <w:lang w:val="en-US"/>
        </w:rPr>
        <w:t xml:space="preserve"> </w:t>
      </w:r>
    </w:p>
    <w:p w14:paraId="1A61733A" w14:textId="77777777" w:rsidR="00754EAF" w:rsidRPr="000C25A7" w:rsidRDefault="00754EAF" w:rsidP="00754EAF">
      <w:pPr>
        <w:rPr>
          <w:rStyle w:val="SubtleEmphasis"/>
          <w:b w:val="0"/>
          <w:bCs/>
          <w:lang w:val="en-US"/>
        </w:rPr>
      </w:pPr>
      <w:r w:rsidRPr="002D32FF">
        <w:rPr>
          <w:rStyle w:val="SubtleEmphasis"/>
          <w:b w:val="0"/>
          <w:bCs/>
          <w:lang w:val="en-US"/>
        </w:rPr>
        <w:t xml:space="preserve">Left: </w:t>
      </w:r>
      <w:r>
        <w:rPr>
          <w:rStyle w:val="SubtleEmphasis"/>
          <w:b w:val="0"/>
          <w:bCs/>
          <w:lang w:val="en-US"/>
        </w:rPr>
        <w:t>Prevalence in different risk deciles based on scores calculated using 2 different sets of input SNPs. Either all variants with GWAS significance &lt; 0.01 or all variants with GWAS significance p-value &lt; 10</w:t>
      </w:r>
      <w:r>
        <w:rPr>
          <w:rStyle w:val="SubtleEmphasis"/>
          <w:b w:val="0"/>
          <w:bCs/>
          <w:vertAlign w:val="superscript"/>
          <w:lang w:val="en-US"/>
        </w:rPr>
        <w:t>-6</w:t>
      </w:r>
      <w:r>
        <w:rPr>
          <w:rStyle w:val="SubtleEmphasis"/>
          <w:b w:val="0"/>
          <w:bCs/>
          <w:lang w:val="en-US"/>
        </w:rPr>
        <w:t xml:space="preserve"> were included. Both scores perform relatively well. AUROC 0.01 cutoff statistics: 0.623 (95 CI: 0.618-0.628), Risk increase in highest decile compared to remainder of the population: 2.3. AUROC </w:t>
      </w:r>
      <w:r w:rsidRPr="000C25A7">
        <w:rPr>
          <w:rStyle w:val="SubtleEmphasis"/>
          <w:b w:val="0"/>
          <w:bCs/>
          <w:vertAlign w:val="superscript"/>
          <w:lang w:val="en-US"/>
        </w:rPr>
        <w:t>10</w:t>
      </w:r>
      <w:r>
        <w:rPr>
          <w:rStyle w:val="SubtleEmphasis"/>
          <w:b w:val="0"/>
          <w:bCs/>
          <w:vertAlign w:val="superscript"/>
          <w:lang w:val="en-US"/>
        </w:rPr>
        <w:t xml:space="preserve">-6 </w:t>
      </w:r>
      <w:r w:rsidRPr="000C25A7">
        <w:rPr>
          <w:rStyle w:val="SubtleEmphasis"/>
          <w:b w:val="0"/>
          <w:bCs/>
          <w:lang w:val="en-US"/>
        </w:rPr>
        <w:t>cutoff</w:t>
      </w:r>
      <w:r>
        <w:rPr>
          <w:rStyle w:val="SubtleEmphasis"/>
          <w:b w:val="0"/>
          <w:bCs/>
          <w:lang w:val="en-US"/>
        </w:rPr>
        <w:t xml:space="preserve"> statistics: 0.623 (95 CI: 0.618-0.628), Risk increase in highest decile compared to remainder of the population: 2.3.</w:t>
      </w:r>
    </w:p>
    <w:p w14:paraId="278E2541" w14:textId="77777777" w:rsidR="00754EAF" w:rsidRDefault="00754EAF" w:rsidP="00754EAF">
      <w:pPr>
        <w:rPr>
          <w:rStyle w:val="SubtleEmphasis"/>
          <w:b w:val="0"/>
          <w:lang w:val="en-US"/>
        </w:rPr>
      </w:pPr>
      <w:r w:rsidRPr="002D32FF">
        <w:rPr>
          <w:rStyle w:val="SubtleEmphasis"/>
          <w:b w:val="0"/>
          <w:bCs/>
          <w:lang w:val="en-US"/>
        </w:rPr>
        <w:t>Right</w:t>
      </w:r>
      <w:r>
        <w:rPr>
          <w:rStyle w:val="SubtleEmphasis"/>
          <w:lang w:val="en-US"/>
        </w:rPr>
        <w:t xml:space="preserve">: </w:t>
      </w:r>
      <w:r w:rsidRPr="00DC0A94">
        <w:rPr>
          <w:rStyle w:val="SubtleEmphasis"/>
          <w:b w:val="0"/>
          <w:lang w:val="en-US"/>
        </w:rPr>
        <w:t xml:space="preserve">The overlap between the individuals predicted in the highest and lowest risk decile according to </w:t>
      </w:r>
      <w:r>
        <w:rPr>
          <w:rStyle w:val="SubtleEmphasis"/>
          <w:b w:val="0"/>
          <w:lang w:val="en-US"/>
        </w:rPr>
        <w:t>PGS calculated using a more limited list of SNPs and a more elaborate list based on GWAS significance cutoffs 0.01 and 10</w:t>
      </w:r>
      <w:r>
        <w:rPr>
          <w:rStyle w:val="SubtleEmphasis"/>
          <w:b w:val="0"/>
          <w:vertAlign w:val="superscript"/>
          <w:lang w:val="en-US"/>
        </w:rPr>
        <w:t>-6</w:t>
      </w:r>
      <w:r>
        <w:rPr>
          <w:rStyle w:val="SubtleEmphasis"/>
          <w:b w:val="0"/>
          <w:lang w:val="en-US"/>
        </w:rPr>
        <w:t>, is lower than we had expected, indicating that even this single different setting can have a great impact on the risk predictions on a personal level</w:t>
      </w:r>
      <w:r w:rsidRPr="00DC0A94">
        <w:rPr>
          <w:rStyle w:val="SubtleEmphasis"/>
          <w:b w:val="0"/>
          <w:lang w:val="en-US"/>
        </w:rPr>
        <w:t>.</w:t>
      </w:r>
      <w:r>
        <w:rPr>
          <w:rStyle w:val="SubtleEmphasis"/>
          <w:b w:val="0"/>
          <w:lang w:val="en-US"/>
        </w:rPr>
        <w:t xml:space="preserve"> Correlation between the 2 PGS calculation settings is 0.52 and 0.54 in Lifelines and 0.36 and 0.35. in the UKB for T2D and CAD respectively, with a quarter of the individuals being classed 3 deciles or more differently in Lifelines and 38% in the UKB. </w:t>
      </w:r>
    </w:p>
    <w:p w14:paraId="1337F666" w14:textId="77777777" w:rsidR="00754EAF" w:rsidRDefault="00754EAF" w:rsidP="00754EAF">
      <w:pPr>
        <w:rPr>
          <w:lang w:val="en-US"/>
        </w:rPr>
      </w:pPr>
      <w:r>
        <w:rPr>
          <w:lang w:val="en-US"/>
        </w:rPr>
        <w:br w:type="column"/>
      </w:r>
      <w:r>
        <w:rPr>
          <w:noProof/>
          <w:lang w:val="en-US"/>
        </w:rPr>
        <w:lastRenderedPageBreak/>
        <w:drawing>
          <wp:inline distT="0" distB="0" distL="0" distR="0" wp14:anchorId="34723733" wp14:editId="1CBC7C11">
            <wp:extent cx="5727700" cy="300101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27700" cy="3001010"/>
                    </a:xfrm>
                    <a:prstGeom prst="rect">
                      <a:avLst/>
                    </a:prstGeom>
                    <a:noFill/>
                    <a:ln>
                      <a:noFill/>
                    </a:ln>
                  </pic:spPr>
                </pic:pic>
              </a:graphicData>
            </a:graphic>
          </wp:inline>
        </w:drawing>
      </w:r>
    </w:p>
    <w:p w14:paraId="64F45AFA" w14:textId="44F9D03F" w:rsidR="00754EAF" w:rsidRPr="00B60EF7" w:rsidRDefault="00754EAF" w:rsidP="00754EAF">
      <w:pPr>
        <w:rPr>
          <w:rStyle w:val="SubtleEmphasis"/>
          <w:b w:val="0"/>
          <w:lang w:val="en-US"/>
        </w:rPr>
      </w:pPr>
      <w:r>
        <w:rPr>
          <w:rStyle w:val="SubtleEmphasis"/>
          <w:lang w:val="en-US"/>
        </w:rPr>
        <w:t>Supplementary f</w:t>
      </w:r>
      <w:r w:rsidRPr="0031730A">
        <w:rPr>
          <w:rStyle w:val="SubtleEmphasis"/>
          <w:lang w:val="en-US"/>
        </w:rPr>
        <w:t xml:space="preserve">igure </w:t>
      </w:r>
      <w:r>
        <w:rPr>
          <w:rStyle w:val="SubtleEmphasis"/>
          <w:lang w:val="en-US"/>
        </w:rPr>
        <w:t>6</w:t>
      </w:r>
      <w:r w:rsidRPr="0031730A">
        <w:rPr>
          <w:rStyle w:val="SubtleEmphasis"/>
          <w:lang w:val="en-US"/>
        </w:rPr>
        <w:t xml:space="preserve">. Disease </w:t>
      </w:r>
      <w:r>
        <w:rPr>
          <w:rStyle w:val="SubtleEmphasis"/>
          <w:lang w:val="en-US"/>
        </w:rPr>
        <w:t>incidence</w:t>
      </w:r>
      <w:r w:rsidRPr="0031730A">
        <w:rPr>
          <w:rStyle w:val="SubtleEmphasis"/>
          <w:lang w:val="en-US"/>
        </w:rPr>
        <w:t xml:space="preserve"> of different risk groups</w:t>
      </w:r>
      <w:r>
        <w:rPr>
          <w:rStyle w:val="SubtleEmphasis"/>
          <w:lang w:val="en-US"/>
        </w:rPr>
        <w:t>, in the UK Biobank.</w:t>
      </w:r>
      <w:r w:rsidR="00DA66D9">
        <w:rPr>
          <w:rStyle w:val="SubtleEmphasis"/>
          <w:lang w:val="en-US"/>
        </w:rPr>
        <w:t xml:space="preserve"> PGS calculated using </w:t>
      </w:r>
      <w:r>
        <w:rPr>
          <w:rStyle w:val="SubtleEmphasis"/>
          <w:b w:val="0"/>
          <w:bCs/>
          <w:lang w:val="en-US"/>
        </w:rPr>
        <w:t>GWAS</w:t>
      </w:r>
      <w:r w:rsidR="00DA66D9">
        <w:rPr>
          <w:rStyle w:val="SubtleEmphasis"/>
          <w:b w:val="0"/>
          <w:bCs/>
          <w:lang w:val="en-US"/>
        </w:rPr>
        <w:t xml:space="preserve"> variants</w:t>
      </w:r>
      <w:r>
        <w:rPr>
          <w:rStyle w:val="SubtleEmphasis"/>
          <w:b w:val="0"/>
          <w:bCs/>
          <w:lang w:val="en-US"/>
        </w:rPr>
        <w:t xml:space="preserve"> from</w:t>
      </w:r>
      <w:r w:rsidRPr="006E1DF1">
        <w:rPr>
          <w:rStyle w:val="SubtleEmphasis"/>
          <w:b w:val="0"/>
          <w:lang w:val="en-US"/>
        </w:rPr>
        <w:t xml:space="preserve"> </w:t>
      </w:r>
      <w:r>
        <w:rPr>
          <w:rStyle w:val="SubtleEmphasis"/>
          <w:b w:val="0"/>
          <w:bCs/>
          <w:lang w:val="en-US"/>
        </w:rPr>
        <w:fldChar w:fldCharType="begin" w:fldLock="1"/>
      </w:r>
      <w:r w:rsidR="00393E8E">
        <w:rPr>
          <w:rStyle w:val="SubtleEmphasis"/>
          <w:b w:val="0"/>
          <w:lang w:val="en-US"/>
        </w:rPr>
        <w:instrText xml:space="preserve">ADDIN CSL_CITATION {"citationItems":[{"id":"ITEM-1","itemData":{"DOI":"10.2337/db16-1253","ISSN":"1939327X","PMID":"28566273","abstract":"To characterize type 2 diabetes (T2D)-associated variation across the allele frequency spectrum, we conducted a meta-analysis of genome-wide association data from 26,676 T2D case and 132,532 control subjects of European ancestry after imputation using the 1000 Genomes multiethnic reference panel. Promising association signals were followed up in additional data sets (of 14,545 or 7,397 T2D case and 38,994 or 71,604 control subjects). We identified 13 novel T2D-associated loci (P &lt; 5 × 10-8), including variants near the GLP2R, GIP, and HLA-DQA1 genes. Our analysis brought the total number of independent T2D associations to 128 distinct signals at 113 loci. Despite substantially increased sample size and more complete coverage of low-frequency variation, all novel associations were driven by common single nucleotide variants. Credible sets of potentially causal variants were generally larger than those based on imputation with earlier reference panels, consistent with resolution of causal signals to common risk haplotypes. Stratification of T2D-associated loci based on T2D-related quantitative trait associations revealed tissue-specific enrichment of regulatory annotations in pancreatic islet enhancers for loci influencing insulin secretion and in adipocytes, monocytes, and hepatocytes for insulin action-associated loci. These findings highlight the predominant role played by common variants of modest effect and the diversity of biological mechanisms influencing T2D pathophysiology.","author":[{"dropping-particle":"","family":"Scott","given":"Robert A.","non-dropping-particle":"","parse-names":false,"suffix":""},{"dropping-particle":"","family":"Scott","given":"Laura J.","non-dropping-particle":"","parse-names":false,"suffix":""},{"dropping-particle":"","family":"Mägi","given":"Reedik","non-dropping-particle":"","parse-names":false,"suffix":""},{"dropping-particle":"","family":"Marullo","given":"Letizia","non-dropping-particle":"","parse-names":false,"suffix":""},{"dropping-particle":"","family":"Gaulton","given":"Kyle J.","non-dropping-particle":"","parse-names":false,"suffix":""},{"dropping-particle":"","family":"Kaakinen","given":"Marika","non-dropping-particle":"","parse-names":false,"suffix":""},{"dropping-particle":"","family":"Pervjakova","given":"Natalia","non-dropping-particle":"","parse-names":false,"suffix":""},{"dropping-particle":"","family":"Pers","given":"Tune H.","non-dropping-particle":"","parse-names":false,"suffix":""},{"dropping-particle":"","family":"Johnson","given":"Andrew D.","non-dropping-particle":"","parse-names":false,"suffix":""},{"dropping-particle":"","family":"Eicher","given":"John D.","non-dropping-particle":"","parse-names":false,"suffix":""},{"dropping-particle":"","family":"Jackson","given":"Anne U.","non-dropping-particle":"","parse-names":false,"suffix":""},{"dropping-particle":"","family":"Ferreira","given":"Teresa","non-dropping-particle":"","parse-names":false,"suffix":""},{"dropping-particle":"","family":"Lee","given":"Yeji","non-dropping-particle":"","parse-names":false,"suffix":""},{"dropping-particle":"","family":"Ma","given":"Clement","non-dropping-particle":"","parse-names":false,"suffix":""},{"dropping-particle":"","family":"Steinthorsdottir","given":"Valgerdur","non-dropping-particle":"","parse-names":false,"suffix":""},{"dropping-particle":"","family":"Thorleifsson","given":"Gudmar","non-dropping-particle":"","parse-names":false,"suffix":""},{"dropping-particle":"","family":"Qi","given":"Lu","non-dropping-particle":"","parse-names":false,"suffix":""},{"dropping-particle":"","family":"Zuydam","given":"Natalie R.","non-dropping-particle":"Van","parse-names":false,"suffix":""},{"dropping-particle":"","family":"Mahajan","given":"Anubha","non-dropping-particle":"","parse-names":false,"suffix":""},{"dropping-particle":"","family":"Chen","given":"Han","non-dropping-particle":"","parse-names":false,"suffix":""},{"dropping-particle":"","family":"Almgren","given":"Peter","non-dropping-particle":"","parse-names":false,"suffix":""},{"dropping-particle":"","family":"Voight","given":"Ben F.","non-dropping-particle":"","parse-names":false,"suffix":""},{"dropping-particle":"","family":"Grallert","given":"Harald","non-dropping-particle":"","parse-names":false,"suffix":""},{"dropping-particle":"","family":"Müller-Nurasyid","given":"Martina","non-dropping-particle":"","parse-names":false,"suffix":""},{"dropping-particle":"","family":"Ried","given":"Janina S.","non-dropping-particle":"","parse-names":false,"suffix":""},{"dropping-particle":"","family":"Rayner","given":"Nigel W.","non-dropping-particle":"","parse-names":false,"suffix":""},{"dropping-particle":"","family":"Robertson","given":"Neil","non-dropping-particle":"","parse-names":false,"suffix":""},{"dropping-particle":"","family":"Karssen","given":"Lennart C.","non-dropping-particle":"","parse-names":false,"suffix":""},{"dropping-particle":"","family":"Leeuwen","given":"Elisabeth M.","non-dropping-particle":"van","parse-names":false,"suffix":""},{"dropping-particle":"","family":"Willems","given":"Sara M.","non-dropping-particle":"","parse-names":false,"suffix":""},{"dropping-particle":"","family":"Fuchsberger","given":"Christian","non-dropping-particle":"","parse-names":false,"suffix":""},{"dropping-particle":"","family":"Kwan","given":"Phoenix","non-dropping-particle":"","parse-names":false,"suffix":""},{"dropping-particle":"","family":"Teslovich","given":"Tanya M.","non-dropping-particle":"","parse-names":false,"suffix":""},{"dropping-particle":"","family":"Chanda","given":"Pritam","non-dropping-particle":"","parse-names":false,"suffix":""},{"dropping-particle":"","family":"Li","given":"Man","non-dropping-particle":"","parse-names":false,"suffix":""},{"dropping-particle":"","family":"Lu","given":"Yingchang","non-dropping-particle":"","parse-names":false,"suffix":""},{"dropping-particle":"","family":"Dina","given":"Christian","non-dropping-particle":"","parse-names":false,"suffix":""},{"dropping-particle":"","family":"Thuillier","given":"Dorothee","non-dropping-particle":"","parse-names":false,"suffix":""},{"dropping-particle":"","family":"Yengo","given":"Loic","non-dropping-particle":"","parse-names":false,"suffix":""},{"dropping-particle":"","family":"Jiang","given":"Longda","non-dropping-particle":"","parse-names":false,"suffix":""},{"dropping-particle":"","family":"Sparso","given":"Thomas","non-dropping-particle":"","parse-names":false,"suffix":""},{"dropping-particle":"","family":"Kestler","given":"Hans A.","non-dropping-particle":"","parse-names":false,"suffix":""},{"dropping-particle":"","family":"Chheda","given":"Himanshu","non-dropping-particle":"","parse-names":false,"suffix":""},{"dropping-particle":"","family":"Eisele","given":"Lewin","non-dropping-particle":"","parse-names":false,"suffix":""},{"dropping-particle":"","family":"Gustafsson","given":"Stefan","non-dropping-particle":"","parse-names":false,"suffix":""},{"dropping-particle":"","family":"Frånberg","given":"Mattias","non-dropping-particle":"","parse-names":false,"suffix":""},{"dropping-particle":"","family":"Strawbridge","given":"Rona J.","non-dropping-particle":"","parse-names":false,"suffix":""},{"dropping-particle":"","family":"Benediktsson","given":"Rafn","non-dropping-particle":"","parse-names":false,"suffix":""},{"dropping-particle":"","family":"Hreidarsson","given":"Astradur B.","non-dropping-particle":"","parse-names":false,"suffix":""},{"dropping-particle":"","family":"Kong","given":"Augustine","non-dropping-particle":"","parse-names":false,"suffix":""},{"dropping-particle":"","family":"Sigurðsson","given":"Gunnar","non-dropping-particle":"","parse-names":false,"suffix":""},{"dropping-particle":"","family":"Kerrison","given":"Nicola D.","non-dropping-particle":"","parse-names":false,"suffix":""},{"dropping-particle":"","family":"Luan","given":"Jian'an","non-dropping-particle":"","parse-names":false,"suffix":""},{"dropping-particle":"","family":"Liang","given":"Liming","non-dropping-particle":"","parse-names":false,"suffix":""},{"dropping-particle":"","family":"Meitinger","given":"Thomas","non-dropping-particle":"","parse-names":false,"suffix":""},{"dropping-particle":"","family":"Roden","given":"Michael","non-dropping-particle":"","parse-names":false,"suffix":""},{"dropping-particle":"","family":"Thorand","given":"Barbara","non-dropping-particle":"","parse-names":false,"suffix":""},{"dropping-particle":"","family":"Esko","given":"Tõnu","non-dropping-particle":"","parse-names":false,"suffix":""},{"dropping-particle":"","family":"Mihailov","given":"Evelin","non-dropping-particle":"","parse-names":false,"suffix":""},{"dropping-particle":"","family":"Fox","given":"Caroline","non-dropping-particle":"","parse-names":false,"suffix":""},{"dropping-particle":"","family":"Liu","given":"Ching Ti","non-dropping-particle":"","parse-names":false,"suffix":""},{"dropping-particle":"","family":"Rybin","given":"Denis","non-dropping-particle":"","parse-names":false,"suffix":""},{"dropping-particle":"","family":"Isomaa","given":"Bo","non-dropping-particle":"","parse-names":false,"suffix":""},{"dropping-particle":"","family":"Lyssenko","given":"Valeriya","non-dropping-particle":"","parse-names":false,"suffix":""},{"dropping-particle":"","family":"Tuomi","given":"Tiinamaija","non-dropping-particle":"","parse-names":false,"suffix":""},{"dropping-particle":"","family":"Couper","given":"David J.","non-dropping-particle":"","parse-names":false,"suffix":""},{"dropping-particle":"","family":"Pankow","given":"James S.","non-dropping-particle":"","parse-names":false,"suffix":""},{"dropping-particle":"","family":"Grarup","given":"Niels","non-dropping-particle":"","parse-names":false,"suffix":""},{"dropping-particle":"","family":"Have","given":"Christian T.","non-dropping-particle":"","parse-names":false,"suffix":""},{"dropping-particle":"","family":"Jørgensen","given":"Marit E.","non-dropping-particle":"","parse-names":false,"suffix":""},{"dropping-particle":"","family":"Jørgensen","given":"Torben","non-dropping-particle":"","parse-names":false,"suffix":""},{"dropping-particle":"","family":"Linneberg","given":"Allan","non-dropping-particle":"","parse-names":false,"suffix":""},{"dropping-particle":"","family":"Cornelis","given":"Marilyn C.","non-dropping-particle":"","parse-names":false,"suffix":""},{"dropping-particle":"","family":"Dam","given":"Rob M.","non-dropping-particle":"van","parse-names":false,"suffix":""},{"dropping-particle":"","family":"Hunter","given":"David J.","non-dropping-particle":"","parse-names":false,"suffix":""},{"dropping-particle":"","family":"Kraft","given":"Peter","non-dropping-particle":"","parse-names":false,"suffix":""},{"dropping-particle":"","family":"Sun","given":"Qi","non-dropping-particle":"","parse-names":false,"suffix":""},{"dropping-particle":"","family":"Edkins","given":"Sarah","non-dropping-particle":"","parse-names":false,"suffix":""},{"dropping-particle":"","family":"Owen","given":"Katharine R.","non-dropping-particle":"","parse-names":false,"suffix":""},{"dropping-particle":"","family":"Perry","given":"John R.B.","non-dropping-particle":"","parse-names":false,"suffix":""},{"dropping-particle":"","family":"Wood","given":"Andrew R.","non-dropping-particle":"","parse-names":false,"suffix":""},{"dropping-particle":"","family":"Zeggini","given":"Eleftheria","non-dropping-particle":"","parse-names":false,"suffix":""},{"dropping-particle":"","family":"Tajes-Fernandes","given":"Juan","non-dropping-particle":"","parse-names":false,"suffix":""},{"dropping-particle":"","family":"Abecasis","given":"Goncalo R.","non-dropping-particle":"","parse-names":false,"suffix":""},{"dropping-particle":"","family":"Bonnycastle","given":"Lori L.","non-dropping-particle":"","parse-names":false,"suffix":""},{"dropping-particle":"","family":"Chines","given":"Peter S.","non-dropping-particle":"","parse-names":false,"suffix":""},{"dropping-particle":"","family":"Stringham","given":"Heather M.","non-dropping-particle":"","parse-names":false,"suffix":""},{"dropping-particle":"","family":"Koistinen","given":"Heikki A.","non-dropping-particle":"","parse-names":false,"suffix":""},{"dropping-particle":"","family":"Kinnunen","given":"Leena","non-dropping-particle":"","parse-names":false,"suffix":""},{"dropping-particle":"","family":"Sennblad","given":"Bengt","non-dropping-particle":"","parse-names":false,"suffix":""},{"dropping-particle":"","family":"Mühleisen","given":"Thomas W.","non-dropping-particle":"","parse-names":false,"suffix":""},{"dropping-particle":"","family":"Nöthen","given":"Markus M.","non-dropping-particle":"","parse-names":false,"suffix":""},{"dropping-particle":"","family":"Pechlivanis","given":"Sonali","non-dropping-particle":"","parse-names":false,"suffix":""},{"dropping-particle":"","family":"Baldassarre","given":"Damiano","non-dropping-particle":"","parse-names":false,"suffix":""},{"dropping-particle":"","family":"Gertow","given":"Karl","non-dropping-particle":"","parse-names":false,"suffix":""},{"dropping-particle":"","family":"Humphries","given":"Steve E.","non-dropping-particle":"","parse-names":false,"suffix":""},{"dropping-particle":"","family":"Tremoli","given":"Elena","non-dropping-particle":"","parse-names":false,"suffix":""},{"dropping-particle":"","family":"Klopp","given":"Norman","non-dropping-particle":"","parse-names":false,"suffix":""},{"dropping-particle":"","family":"Meyer","given":"Julia","non-dropping-particle":"","parse-names":false,"suffix":""},{"dropping-particle":"","family":"Steinbach","given":"Gerald","non-dropping-particle":"","parse-names":false,"suffix":""},{"dropping-particle":"","family":"Wennauer","given":"Roman","non-dropping-particle":"","parse-names":false,"suffix":""},{"dropping-particle":"","family":"Eriksson","given":"Johan G.","non-dropping-particle":"","parse-names":false,"suffix":""},{"dropping-particle":"","family":"Mӓnnistö","given":"Satu","non-dropping-particle":"","parse-names":false,"suffix":""},{"dropping-particle":"","family":"Peltonen","given":"Leena","non-dropping-particle":"","parse-names":false,"suffix":""},{"dropping-particle":"","family":"Tikkanen","given":"Emmi","non-dropping-particle":"","parse-names":false,"suffix":""},{"dropping-particle":"","family":"Charpentier","given":"Guillaume","non-dropping-particle":"","parse-names":false,"suffix":""},{"dropping-particle":"","family":"Eury","given":"Elodie","non-dropping-particle":"","parse-names":false,"suffix":""},{"dropping-particle":"","family":"Lobbens","given":"Stéphane","non-dropping-particle":"","parse-names":false,"suffix":""},{"dropping-particle":"","family":"Gigante","given":"Bruna","non-dropping-particle":"","parse-names":false,"suffix":""},{"dropping-particle":"","family":"Leander","given":"Karin","non-dropping-particle":"","parse-names":false,"suffix":""},{"dropping-particle":"","family":"McLeod","given":"Olga","non-dropping-particle":"","parse-names":false,"suffix":""},{"dropping-particle":"","family":"Bottinger","given":"Erwin P.","non-dropping-particle":"","parse-names":false,"suffix":""},{"dropping-particle":"","family":"Gottesman","given":"Omri","non-dropping-particle":"","parse-names":false,"suffix":""},{"dropping-particle":"","family":"Ruderfer","given":"Douglas","non-dropping-particle":"","parse-names":false,"suffix":""},{"dropping-particle":"","family":"Blüher","given":"Matthias","non-dropping-particle":"","parse-names":false,"suffix":""},{"dropping-particle":"","family":"Kovacs","given":"Peter","non-dropping-particle":"","parse-names":false,"suffix":""},{"dropping-particle":"","family":"Tonjes","given":"Anke","non-dropping-particle":"","parse-names":false,"suffix":""},{"dropping-particle":"","family":"Maruthur","given":"Nisa M.","non-dropping-particle":"","parse-names":false,"suffix":""},{"dropping-particle":"","family":"Scapoli","given":"Chiara","non-dropping-particle":"","parse-names":false,"suffix":""},{"dropping-particle":"","family":"Erbel","given":"Raimund","non-dropping-particle":"","parse-names":false,"suffix":""},{"dropping-particle":"","family":"Jöckel","given":"Karl Heinz","non-dropping-particle":"","parse-names":false,"suffix":""},{"dropping-particle":"","family":"Moebus","given":"Susanne","non-dropping-particle":"","parse-names":false,"suffix":""},{"dropping-particle":"","family":"Faire","given":"Ulf","non-dropping-particle":"de","parse-names":false,"suffix":""},{"dropping-particle":"","family":"Hamsten","given":"Anders","non-dropping-particle":"","parse-names":false,"suffix":""},{"dropping-particle":"","family":"Stumvoll","given":"Michael","non-dropping-particle":"","parse-names":false,"suffix":""},{"dropping-particle":"","family":"Deloukas","given":"Panagiotis","non-dropping-particle":"","parse-names":false,"suffix":""},{"dropping-particle":"","family":"Donnelly","given":"Peter J.","non-dropping-particle":"","parse-names":false,"suffix":""},{"dropping-particle":"","family":"Frayling","given":"Timothy M.","non-dropping-particle":"","parse-names":false,"suffix":""},{"dropping-particle":"","family":"Hattersley","given":"Andrew T.","non-dropping-particle":"","parse-names":false,"suffix":""},{"dropping-particle":"","family":"Ripatti","given":"Samuli","non-dropping-particle":"","parse-names":false,"suffix":""},{"dropping-particle":"","family":"Salomaa","given":"Veikko","non-dropping-particle":"","parse-names":false,"suffix":""},{"dropping-particle":"","family":"Pedersen","given":"Nancy L.","non-dropping-particle":"","parse-names":false,"suffix":""},{"dropping-particle":"","family":"Boehm","given":"Bernhard O.","non-dropping-particle":"","parse-names":false,"suffix":""},{"dropping-particle":"","family":"Bergman","given":"Richard N.","non-dropping-particle":"","parse-names":false,"suffix":""},{"dropping-particle":"","family":"Collins","given":"Francis S.","non-dropping-particle":"","parse-names":false,"suffix":""},{"dropping-particle":"","family":"Mohlke","given":"Karen L.","non-dropping-particle":"","parse-names":false,"suffix":""},{"dropping-particle":"","family":"Tuomilehto","given":"Jaakko","non-dropping-particle":"","parse-names":false,"suffix":""},{"dropping-particle":"","family":"Hansen","given":"Torben","non-dropping-particle":"","parse-names":false,"suffix":""},{"dropping-particle":"","family":"Pedersen","given":"Oluf","non-dropping-particle":"","parse-names":false,"suffix":""},{"dropping-particle":"","family":"Barroso","given":"Inês","non-dropping-particle":"","parse-names":false,"suffix":""},{"dropping-particle":"","family":"Lannfelt","given":"Lars","non-dropping-particle":"","parse-names":false,"suffix":""},{"dropping-particle":"","family":"Ingelsson","given":"Erik","non-dropping-particle":"","parse-names":false,"suffix":""},{"dropping-particle":"","family":"Lind","given":"Lars","non-dropping-particle":"","parse-names":false,"suffix":""},{"dropping-particle":"","family":"Lindgren","given":"Cecilia M.","non-dropping-particle":"","parse-names":false,"suffix":""},{"dropping-particle":"","family":"Cauchi","given":"Stephane","non-dropping-particle":"","parse-names":false,"suffix":""},{"dropping-particle":"","family":"Froguel","given":"Philippe","non-dropping-particle":"","parse-names":false,"suffix":""},{"dropping-particle":"","family":"Loos","given":"Ruth J.F.","non-dropping-particle":"","parse-names":false,"suffix":""},{"dropping-particle":"","family":"Balkau","given":"Beverley","non-dropping-particle":"","parse-names":false,"suffix":""},{"dropping-particle":"","family":"Boeing","given":"Heiner","non-dropping-particle":"","parse-names":false,"suffix":""},{"dropping-particle":"","family":"Franks","given":"Paul W.","non-dropping-particle":"","parse-names":false,"suffix":""},{"dropping-particle":"","family":"Barricarte Gurrea","given":"Aurelio","non-dropping-particle":"","parse-names":false,"suffix":""},{"dropping-particle":"","family":"Palli","given":"Domenico","non-dropping-particle":"","parse-names":false,"suffix":""},{"dropping-particle":"","family":"Schouw","given":"Yvonne T.","non-dropping-particle":"van der","parse-names":false,"suffix":""},{"dropping-particle":"","family":"Altshuler","given":"David","non-dropping-particle":"","parse-names":false,"suffix":""},{"dropping-particle":"","family":"Groop","given":"Leif C.","non-dropping-particle":"","parse-names":false,"suffix":""},{"dropping-particle":"","family":"Langenberg","given":"Claudia","non-dropping-particle":"","parse-names":false,"suffix":""},{"dropping-particle":"","family":"Wareham","given":"Nicholas J.","non-dropping-particle":"","parse-names":false,"suffix":""},{"dropping-particle":"","family":"Sijbrands","given":"Eric","non-dropping-particle":"","parse-names":false,"suffix":""},{"dropping-particle":"","family":"Duijn","given":"Cornelia M.","non-dropping-particle":"van","parse-names":false,"suffix":""},{"dropping-particle":"","family":"Florez","given":"Jose C.","non-dropping-particle":"","parse-names":false,"suffix":""},{"dropping-particle":"","family":"Meigs","given":"James B.","non-dropping-particle":"","parse-names":false,"suffix":""},{"dropping-particle":"","family":"Boerwinkle","given":"Eric","non-dropping-particle":"","parse-names":false,"suffix":""},{"dropping-particle":"","family":"Gieger","given":"Christian","non-dropping-particle":"","parse-names":false,"suffix":""},{"dropping-particle":"","family":"Strauch","given":"Konstantin","non-dropping-particle":"","parse-names":false,"suffix":""},{"dropping-particle":"","family":"Metspalu","given":"Andres","non-dropping-particle":"","parse-names":false,"suffix":""},{"dropping-particle":"","family":"Morris","given":"Andrew D.","non-dropping-particle":"","parse-names":false,"suffix":""},{"dropping-particle":"","family":"Palmer","given":"Colin N.A.","non-dropping-particle":"","parse-names":false,"suffix":""},{"dropping-particle":"","family":"Hu","given":"Frank B.","non-dropping-particle":"","parse-names":false,"suffix":""},{"dropping-particle":"","family":"Thorsteinsdottir","given":"Unnur","non-dropping-particle":"","parse-names":false,"suffix":""},{"dropping-particle":"","family":"Stefansson","given":"Kari","non-dropping-particle":"","parse-names":false,"suffix":""},{"dropping-particle":"","family":"Dupuis","given":"Josée","non-dropping-particle":"","parse-names":false,"suffix":""},{"dropping-particle":"","family":"Morris","given":"Andrew P.","non-dropping-particle":"","parse-names":false,"suffix":""},{"dropping-particle":"","family":"Boehnke","given":"Michael","non-dropping-particle":"","parse-names":false,"suffix":""},{"dropping-particle":"","family":"McCarthy","given":"Mark I.","non-dropping-particle":"","parse-names":false,"suffix":""},{"dropping-particle":"","family":"Prokopenko","given":"Inga","non-dropping-particle":"","parse-names":false,"suffix":""}],"container-title":"Diabetes","id":"ITEM-1","issue":"11","issued":{"date-parts":[["2017","11","1"]]},"page":"2888-2902","publisher":"Peter Kraft","title":"An Expanded Genome-Wide Association Study of Type 2 Diabetes in Europeans","type":"article-journal","volume":"66"},"uris":["http://www.mendeley.com/documents/?uuid=aed0a2aa-cac1-365a-b9b3-672bfa374efa"]},{"id":"ITEM-2","itemData":{"DOI":"10.1038/ng.3396","ISSN":"15461718","PMID":"26343387","abstract":"Existing knowledge of genetic variants affecting risk of coronary artery disease (CAD) is largely based on genome-wide association study (GWAS) analysis of common SNPs. Leveraging phased haplotypes from the 1000 Genomes Project, we report a GWAS meta-analysis of </w:instrText>
      </w:r>
      <w:r w:rsidR="00393E8E">
        <w:rPr>
          <w:rStyle w:val="SubtleEmphasis"/>
          <w:rFonts w:ascii="Cambria Math" w:hAnsi="Cambria Math" w:cs="Cambria Math"/>
          <w:b w:val="0"/>
          <w:lang w:val="en-US"/>
        </w:rPr>
        <w:instrText>∼</w:instrText>
      </w:r>
      <w:r w:rsidR="00393E8E">
        <w:rPr>
          <w:rStyle w:val="SubtleEmphasis"/>
          <w:b w:val="0"/>
          <w:lang w:val="en-US"/>
        </w:rPr>
        <w:instrText>185,000 CAD cases and controls, interrogating 6.7 million common (minor allele frequency (MAF) &gt; 0.05) and 2.7 million low-frequency (0.005 &lt; MAF &lt; 0.05) variants. In addition to confirming most known CAD-associated loci, we identified ten new loci (eight additive and two recessive) that contain candidate causal genes newly implicating biological processes in vessel walls. We observed intralocus allelic heterogeneity but little evidence of low-frequency variants with larger effects and no evidence of synthetic association. Our analysis provides a comprehensive survey of the fine genetic architecture of CAD, showing that genetic susceptibility to this common disease is largely determined by common SNPs of small effect size.","author":[{"dropping-particle":"","family":"Nikpay","given":"Majid","non-dropping-particle":"","parse-names":false,"suffix":""},{"dropping-particle":"","family":"Goel","given":"Anuj","non-dropping-particle":"","parse-names":false,"suffix":""},{"dropping-particle":"","family":"Won","given":"Hong Hee","non-dropping-particle":"","parse-names":false,"suffix":""},{"dropping-particle":"","family":"Hall","given":"Leanne M.","non-dropping-particle":"","parse-names":false,"suffix":""},{"dropping-particle":"","family":"Willenborg","given":"Christina","non-dropping-particle":"","parse-names":false,"suffix":""},{"dropping-particle":"","family":"Kanoni","given":"Stavroula","non-dropping-particle":"","parse-names":false,"suffix":""},{"dropping-particle":"","family":"Saleheen","given":"Danish","non-dropping-particle":"","parse-names":false,"suffix":""},{"dropping-particle":"","family":"Kyriakou","given":"Theodosios","non-dropping-particle":"","parse-names":false,"suffix":""},{"dropping-particle":"","family":"Nelson","given":"Christopher P.","non-dropping-particle":"","parse-names":false,"suffix":""},{"dropping-particle":"","family":"CHopewell","given":"Jemma","non-dropping-particle":"","parse-names":false,"suffix":""},{"dropping-particle":"","family":"Webb","given":"Thomas R.","non-dropping-particle":"","parse-names":false,"suffix":""},{"dropping-particle":"","family":"Zeng","given":"Lingyao","non-dropping-particle":"","parse-names":false,"suffix":""},{"dropping-particle":"","family":"Dehghan","given":"Abbas","non-dropping-particle":"","parse-names":false,"suffix":""},{"dropping-particle":"","family":"Alver","given":"Maris","non-dropping-particle":"","parse-names":false,"suffix":""},{"dropping-particle":"","family":"MArmasu","given":"Sebastian","non-dropping-particle":"","parse-names":false,"suffix":""},{"dropping-particle":"","family":"Auro","given":"Kirsi","non-dropping-particle":"","parse-names":false,"suffix":""},{"dropping-particle":"","family":"Bjonnes","given":"Andrew","non-dropping-particle":"","parse-names":false,"suffix":""},{"dropping-particle":"","family":"Chasman","given":"Daniel I.","non-dropping-particle":"","parse-names":false,"suffix":""},{"dropping-particle":"","family":"Chen","given":"Shufeng","non-dropping-particle":"","parse-names":false,"suffix":""},{"dropping-particle":"","family":"Ford","given":"Ian","non-dropping-particle":"","parse-names":false,"suffix":""},{"dropping-particle":"","family":"Franceschini","given":"Nora","non-dropping-particle":"","parse-names":false,"suffix":""},{"dropping-particle":"","family":"Gieger","given":"Christian","non-dropping-particle":"","parse-names":false,"suffix":""},{"dropping-particle":"","family":"Grace","given":"Christopher","non-dropping-particle":"","parse-names":false,"suffix":""},{"dropping-particle":"","family":"Gustafsson","given":"Stefan","non-dropping-particle":"","parse-names":false,"suffix":""},{"dropping-particle":"","family":"Huang","given":"Jie","non-dropping-particle":"","parse-names":false,"suffix":""},{"dropping-particle":"","family":"Hwang","given":"Shih Jen","non-dropping-particle":"","parse-names":false,"suffix":""},{"dropping-particle":"","family":"Kim","given":"Yun Kyoung","non-dropping-particle":"","parse-names":false,"suffix":""},{"dropping-particle":"","family":"Kleber","given":"Marcus E.","non-dropping-particle":"","parse-names":false,"suffix":""},{"dropping-particle":"","family":"Lau","given":"King Wai","non-dropping-particle":"","parse-names":false,"suffix":""},{"dropping-particle":"","family":"Lu","given":"Xiangfeng","non-dropping-particle":"","parse-names":false,"suffix":""},{"dropping-particle":"","family":"Lu","given":"Yingchang","non-dropping-particle":"","parse-names":false,"suffix":""},{"dropping-particle":"","family":"Lyytikäinen","given":"Leo Pekka","non-dropping-particle":"","parse-names":false,"suffix":""},{"dropping-particle":"","family":"Mihailov","given":"Evelin","non-dropping-particle":"","parse-names":false,"suffix":""},{"dropping-particle":"","family":"Morrison","given":"Alanna C.","non-dropping-particle":"","parse-names":false,"suffix":""},{"dropping-particle":"","family":"Pervjakova","given":"Natalia","non-dropping-particle":"","parse-names":false,"suffix":""},{"dropping-particle":"","family":"Qu","given":"Liming","non-dropping-particle":"","parse-names":false,"suffix":""},{"dropping-particle":"","family":"Rose","given":"Lynda M.","non-dropping-particle":"","parse-names":false,"suffix":""},{"dropping-particle":"","family":"Salfati","given":"Elias","non-dropping-particle":"","parse-names":false,"suffix":""},{"dropping-particle":"","family":"Saxena","given":"Richa","non-dropping-particle":"","parse-names":false,"suffix":""},{"dropping-particle":"","family":"Scholz","given":"Markus","non-dropping-particle":"","parse-names":false,"suffix":""},{"dropping-particle":"V.","family":"Smith","given":"Albert","non-dropping-particle":"","parse-names":false,"suffix":""},{"dropping-particle":"","family":"Tikkanen","given":"Emmi","non-dropping-particle":"","parse-names":false,"suffix":""},{"dropping-particle":"","family":"Uitterlinden","given":"Andre","non-dropping-particle":"","parse-names":false,"suffix":""},{"dropping-particle":"","family":"Yang","given":"Xueli","non-dropping-particle":"","parse-names":false,"suffix":""},{"dropping-particle":"","family":"Zhang","given":"Weihua","non-dropping-particle":"","parse-names":false,"suffix":""},{"dropping-particle":"","family":"Zhao","given":"Wei","non-dropping-particle":"","parse-names":false,"suffix":""},{"dropping-particle":"","family":"Andrade","given":"Mariza","non-dropping-particle":"De","parse-names":false,"suffix":""},{"dropping-particle":"","family":"Vries","given":"Paul S.","non-dropping-particle":"De","parse-names":false,"suffix":""},{"dropping-particle":"","family":"Zuydam","given":"Natalie R.","non-dropping-particle":"Van","parse-names":false,"suffix":""},{"dropping-particle":"","family":"Anand","given":"Sonia S.","non-dropping-particle":"","parse-names":false,"suffix":""},{"dropping-particle":"","family":"Bertram","given":"Lars","non-dropping-particle":"","parse-names":false,"suffix":""},{"dropping-particle":"","family":"Beutner","given":"Frank","non-dropping-particle":"","parse-names":false,"suffix":""},{"dropping-particle":"","family":"Dedoussis","given":"George","non-dropping-particle":"","parse-names":false,"suffix":""},{"dropping-particle":"","family":"Frossard","given":"Philippe","non-dropping-particle":"","parse-names":false,"suffix":""},{"dropping-particle":"","family":"Gauguier","given":"Dominique","non-dropping-particle":"","parse-names":false,"suffix":""},{"dropping-particle":"","family":"Goodall","given":"Alison H.","non-dropping-particle":"","parse-names":false,"suffix":""},{"dropping-particle":"","family":"Gottesman","given":"Omri","non-dropping-particle":"","parse-names":false,"suffix":""},{"dropping-particle":"","family":"Haber","given":"Marc","non-dropping-particle":"","parse-names":false,"suffix":""},{"dropping-particle":"","family":"Han","given":"Bok Ghee","non-dropping-particle":"","parse-names":false,"suffix":""},{"dropping-particle":"","family":"Huang","given":"Jianfeng","non-dropping-particle":"","parse-names":false,"suffix":""},{"dropping-particle":"","family":"Jalilzadeh","given":"Shapour","non-dropping-particle":"","parse-names":false,"suffix":""},{"dropping-particle":"","family":"Kessler","given":"Thorsten","non-dropping-particle":"","parse-names":false,"suffix":""},{"dropping-particle":"","family":"König","given":"Inke R.","non-dropping-particle":"","parse-names":false,"suffix":""},{"dropping-particle":"","family":"Lannfelt","given":"Lars","non-dropping-particle":"","parse-names":false,"suffix":""},{"dropping-particle":"","family":"Lieb","given":"Wolfgang","non-dropping-particle":"","parse-names":false,"suffix":""},{"dropping-particle":"","family":"Lind","given":"Lars","non-dropping-particle":"","parse-names":false,"suffix":""},{"dropping-particle":"","family":"MLindgren","given":"Cecilia","non-dropping-particle":"","parse-names":false,"suffix":""},{"dropping-particle":"","family":"Lokki","given":"Marja Liisa","non-dropping-particle":"","parse-names":false,"suffix":""},{"dropping-particle":"","family":"Magnusson","given":"Patrik K.","non-dropping-particle":"","parse-names":false,"suffix":""},{"dropping-particle":"","family":"Mallick","given":"Nadeem H.","non-dropping-particle":"","parse-names":false,"suffix":""},{"dropping-particle":"","family":"Mehra","given":"Narinder","non-dropping-particle":"","parse-names":false,"suffix":""},{"dropping-particle":"","family":"Meitinger","given":"Thomas","non-dropping-particle":"","parse-names":false,"suffix":""},{"dropping-particle":"","family":"Memon","given":"Fazal Uur Rehman","non-dropping-particle":"","parse-names":false,"suffix":""},{"dropping-particle":"","family":"Morris","given":"Andrew P.","non-dropping-particle":"","parse-names":false,"suffix":""},{"dropping-particle":"","family":"Nieminen","given":"Markku S.","non-dropping-particle":"","parse-names":false,"suffix":""},{"dropping-particle":"","family":"Pedersen","given":"Nancy L.","non-dropping-particle":"","parse-names":false,"suffix":""},{"dropping-particle":"","family":"Peters","given":"Annette","non-dropping-particle":"","parse-names":false,"suffix":""},{"dropping-particle":"","family":"Rallidis","given":"Loukianos S.","non-dropping-particle":"","parse-names":false,"suffix":""},{"dropping-particle":"","family":"Rasheed","given":"Asif","non-dropping-particle":"","parse-names":false,"suffix":""},{"dropping-particle":"","family":"Samuel","given":"Maria","non-dropping-particle":"","parse-names":false,"suffix":""},{"dropping-particle":"","family":"Shah","given":"Svati H.","non-dropping-particle":"","parse-names":false,"suffix":""},{"dropping-particle":"","family":"Sinisalo","given":"Juha","non-dropping-particle":"","parse-names":false,"suffix":""},{"dropping-particle":"","family":"EStirrups","given":"Kathleen","non-dropping-particle":"","parse-names":false,"suffix":""},{"dropping-particle":"","family":"Trompet","given":"Stella","non-dropping-particle":"","parse-names":false,"suffix":""},{"dropping-particle":"","family":"Wang","given":"Laiyuan","non-dropping-particle":"","parse-names":false,"suffix":""},{"dropping-particle":"","family":"Zaman","given":"Khan S.","non-dropping-particle":"","parse-names":false,"suffix":""},{"dropping-particle":"","family":"Ardissino","given":"Diego","non-dropping-particle":"","parse-names":false,"suffix":""},{"dropping-particle":"","family":"Boerwinkle","given":"Eric","non-dropping-particle":"","parse-names":false,"suffix":""},{"dropping-particle":"","family":"Borecki","given":"Ingrid B.","non-dropping-particle":"","parse-names":false,"suffix":""},{"dropping-particle":"","family":"Bottinger","given":"Erwin P.","non-dropping-particle":"","parse-names":false,"suffix":""},{"dropping-particle":"","family":"Buring","given":"Julie E.","non-dropping-particle":"","parse-names":false,"suffix":""},{"dropping-particle":"","family":"Chambers","given":"John C.","non-dropping-particle":"","parse-names":false,"suffix":""},{"dropping-particle":"","family":"Collins","given":"Rory","non-dropping-particle":"","parse-names":false,"suffix":""},{"dropping-particle":"","family":"Cupples","given":"Ladrienne","non-dropping-particle":"","parse-names":false,"suffix":""},{"dropping-particle":"","family":"Danesh","given":"John","non-dropping-particle":"","parse-names":false,"suffix":""},{"dropping-particle":"","family":"Demuth","given":"Ilja","non-dropping-particle":"","parse-names":false,"suffix":""},{"dropping-particle":"","family":"Elosua","given":"Roberto","non-dropping-particle":"","parse-names":false,"suffix":""},{"dropping-particle":"","family":"Epstein","given":"Stephen E.","non-dropping-particle":"","parse-names":false,"suffix":""},{"dropping-particle":"","family":"Esko","given":"Tõnu","non-dropping-particle":"","parse-names":false,"suffix":""},{"dropping-particle":"","family":"Feitosa","given":"Mary F.","non-dropping-particle":"","parse-names":false,"suffix":""},{"dropping-particle":"","family":"Franco","given":"Oscar H.","non-dropping-particle":"","parse-names":false,"suffix":""},{"dropping-particle":"","family":"Franzosi","given":"Maria Grazia","non-dropping-particle":"","parse-names":false,"suffix":""},{"dropping-particle":"","family":"Granger","given":"Christopher B.","non-dropping-particle":"","parse-names":false,"suffix":""},{"dropping-particle":"","family":"Gu","given":"Dongfeng","non-dropping-particle":"","parse-names":false,"suffix":""},{"dropping-particle":"","family":"Gudnason","given":"Vilmundur","non-dropping-particle":"","parse-names":false,"suffix":""},{"dropping-particle":"","family":"SHall","given":"Alistair","non-dropping-particle":"","parse-names":false,"suffix":""},{"dropping-particle":"","family":"Hamsten","given":"Anders","non-dropping-particle":"","parse-names":false,"suffix":""},{"dropping-particle":"","family":"Harris","given":"Tamara B.","non-dropping-particle":"","parse-names":false,"suffix":""},{"dropping-particle":"","family":"LHazen","given":"Stanley","non-dropping-particle":"","parse-names":false,"suffix":""},{"dropping-particle":"","family":"Hengstenberg","given":"Christian","non-dropping-particle":"","parse-names":false,"suffix":""},{"dropping-particle":"","family":"Hofman","given":"Albert","non-dropping-particle":"","parse-names":false,"suffix":""},{"dropping-particle":"","family":"Ingelsson","given":"Erik","non-dropping-particle":"","parse-names":false,"suffix":""},{"dropping-particle":"","family":"Iribarren","given":"Carlos","non-dropping-particle":"","parse-names":false,"suffix":""},{"dropping-particle":"","family":"Jukema","given":"J. Wouter","non-dropping-particle":"","parse-names":false,"suffix":""},{"dropping-particle":"","family":"Karhunen","given":"Pekka J.","non-dropping-particle":"","parse-names":false,"suffix":""},{"dropping-particle":"","family":"Kim","given":"Bong Jo","non-dropping-particle":"","parse-names":false,"suffix":""},{"dropping-particle":"","family":"Kooner","given":"Jaspal S.","non-dropping-particle":"","parse-names":false,"suffix":""},{"dropping-particle":"","family":"Kullo","given":"Iftikhar J.","non-dropping-particle":"","parse-names":false,"suffix":""},{"dropping-particle":"","family":"Lehtimäki","given":"Terho","non-dropping-particle":"","parse-names":false,"suffix":""},{"dropping-particle":"","family":"Loos","given":"Ruth J.F.","non-dropping-particle":"","parse-names":false,"suffix":""},{"dropping-particle":"","family":"Melander","given":"Olle","non-dropping-particle":"","parse-names":false,"suffix":""},{"dropping-particle":"","family":"Metspalu","given":"Andres","non-dropping-particle":"","parse-names":false,"suffix":""},{"dropping-particle":"","family":"März","given":"Winfried","non-dropping-particle":"","parse-names":false,"suffix":""},{"dropping-particle":"","family":"Palmer","given":"Colin N.","non-dropping-particle":"","parse-names":false,"suffix":""},{"dropping-particle":"","family":"Perola","given":"Markus","non-dropping-particle":"","parse-names":false,"suffix":""},{"dropping-particle":"","family":"Quertermous","given":"Thomas","non-dropping-particle":"","parse-names":false,"suffix":""},{"dropping-particle":"","family":"Rader","given":"Daniel J.","non-dropping-particle":"","parse-names":false,"suffix":""},{"dropping-particle":"","family":"Ridker","given":"Paul M.","non-dropping-particle":"","parse-names":false,"suffix":""},{"dropping-particle":"","family":"Ripatti","given":"Samuli","non-dropping-particle":"","parse-names":false,"suffix":""},{"dropping-particle":"","family":"Roberts","given":"Robert","non-dropping-particle":"","parse-names":false,"suffix":""},{"dropping-particle":"","family":"Salomaa","given":"Veikko","non-dropping-particle":"","parse-names":false,"suffix":""},{"dropping-particle":"","family":"Sanghera","given":"Dharambir K.","non-dropping-particle":"","parse-names":false,"suffix":""},{"dropping-particle":"","family":"Schwartz","given":"Stephen M.","non-dropping-particle":"","parse-names":false,"suffix":""},{"dropping-particle":"","family":"Seedorf","given":"Udo","non-dropping-particle":"","parse-names":false,"suffix":""},{"dropping-particle":"","family":"Stewart","given":"Alexandre F.","non-dropping-particle":"","parse-names":false,"suffix":""},{"dropping-particle":"","family":"Stott","given":"David J.","non-dropping-particle":"","parse-names":false,"suffix":""},{"dropping-particle":"","family":"Thiery","given":"Joachim","non-dropping-particle":"","parse-names":false,"suffix":""},{"dropping-particle":"","family":"Zalloua","given":"Pierre A.","non-dropping-particle":"","parse-names":false,"suffix":""},{"dropping-particle":"","family":"O'Donnell","given":"Christopher J.","non-dropping-particle":"","parse-names":false,"suffix":""},{"dropping-particle":"","family":"Reilly","given":"Muredach P.","non-dropping-particle":"","parse-names":false,"suffix":""},{"dropping-particle":"","family":"Assimes","given":"Themistocles L.","non-dropping-particle":"","parse-names":false,"suffix":""},{"dropping-particle":"","family":"Thompson","given":"John R.","non-dropping-particle":"","parse-names":false,"suffix":""},{"dropping-particle":"","family":"Erdmann","given":"Jeanette","non-dropping-particle":"","parse-names":false,"suffix":""},{"dropping-particle":"","family":"Clarke","given":"Robert","non-dropping-particle":"","parse-names":false,"suffix":""},{"dropping-particle":"","family":"Watkins","given":"Hugh","non-dropping-particle":"","parse-names":false,"suffix":""},{"dropping-particle":"","family":"Kathiresan","given":"Sekar","non-dropping-particle":"","parse-names":false,"suffix":""},{"dropping-particle":"","family":"McPherson","given":"Ruth","non-dropping-particle":"","parse-names":false,"suffix":""},{"dropping-particle":"","family":"Deloukas","given":"Panos","non-dropping-particle":"","parse-names":false,"suffix":""},{"dropping-particle":"","family":"Schunkert","given":"Heribert","non-dropping-particle":"","parse-names":false,"suffix":""},{"dropping-particle":"","family":"Samani","given":"Nilesh J.","non-dropping-particle":"","parse-names":false,"suffix":""},{"dropping-particle":"","family":"Farrall","given":"Martin","non-dropping-particle":"","parse-names":false,"suffix":""}],"container-title":"Nature Genetics","id":"ITEM-2","issue":"10","issued":{"date-parts":[["2015","9","29"]]},"page":"1121-1130","publisher":"Nature Publishing Group","title":"A comprehensive 1000 Genomes-based genome-wide association meta-analysis of coronary artery disease","type":"article-journal","volume":"47"},"uris":["http://www.mendeley.com/documents/?uuid=ee7341e0-6f47-3c90-90c9-8ac39cdf90ee"]}],"mendeley":{"formattedCitation":"&lt;sup&gt;14,15&lt;/sup&gt;","plainTextFormattedCitation":"14,15","previouslyFormattedCitation":"&lt;sup&gt;14,15&lt;/sup&gt;"},"properties":{"noteIndex":0},"schema":"https://github.com/citation-style-language/schema/raw/master/csl-citation.json"}</w:instrText>
      </w:r>
      <w:r>
        <w:rPr>
          <w:rStyle w:val="SubtleEmphasis"/>
          <w:b w:val="0"/>
          <w:bCs/>
          <w:lang w:val="en-US"/>
        </w:rPr>
        <w:fldChar w:fldCharType="separate"/>
      </w:r>
      <w:r w:rsidR="00B04084" w:rsidRPr="00B04084">
        <w:rPr>
          <w:rStyle w:val="SubtleEmphasis"/>
          <w:b w:val="0"/>
          <w:noProof/>
          <w:vertAlign w:val="superscript"/>
          <w:lang w:val="en-US"/>
        </w:rPr>
        <w:t>14,15</w:t>
      </w:r>
      <w:r>
        <w:rPr>
          <w:rStyle w:val="SubtleEmphasis"/>
          <w:b w:val="0"/>
          <w:bCs/>
          <w:lang w:val="en-US"/>
        </w:rPr>
        <w:fldChar w:fldCharType="end"/>
      </w:r>
      <w:r w:rsidRPr="006E1DF1">
        <w:rPr>
          <w:rStyle w:val="SubtleEmphasis"/>
          <w:b w:val="0"/>
          <w:lang w:val="en-US"/>
        </w:rPr>
        <w:t>.</w:t>
      </w:r>
      <w:r w:rsidRPr="0031730A">
        <w:rPr>
          <w:rStyle w:val="SubtleEmphasis"/>
          <w:lang w:val="en-US"/>
        </w:rPr>
        <w:t xml:space="preserve"> </w:t>
      </w:r>
      <w:r>
        <w:rPr>
          <w:rStyle w:val="SubtleEmphasis"/>
          <w:b w:val="0"/>
          <w:lang w:val="en-US"/>
        </w:rPr>
        <w:t xml:space="preserve">Individuals were grouped into risk groups based on their PGS. </w:t>
      </w:r>
      <w:r w:rsidRPr="00B60EF7">
        <w:rPr>
          <w:rStyle w:val="SubtleEmphasis"/>
          <w:b w:val="0"/>
          <w:lang w:val="en-US"/>
        </w:rPr>
        <w:t xml:space="preserve">Data has been adjusted for first 4 </w:t>
      </w:r>
      <w:r>
        <w:rPr>
          <w:rStyle w:val="SubtleEmphasis"/>
          <w:b w:val="0"/>
          <w:lang w:val="en-US"/>
        </w:rPr>
        <w:t>genetic principal component</w:t>
      </w:r>
      <w:r w:rsidRPr="00B60EF7">
        <w:rPr>
          <w:rStyle w:val="SubtleEmphasis"/>
          <w:b w:val="0"/>
          <w:lang w:val="en-US"/>
        </w:rPr>
        <w:t>s and genotyping batch.</w:t>
      </w:r>
      <w:r>
        <w:rPr>
          <w:rStyle w:val="SubtleEmphasis"/>
          <w:b w:val="0"/>
          <w:lang w:val="en-US"/>
        </w:rPr>
        <w:t xml:space="preserve"> </w:t>
      </w:r>
    </w:p>
    <w:p w14:paraId="0D53244E" w14:textId="77777777" w:rsidR="00754EAF" w:rsidRDefault="00754EAF" w:rsidP="00754EAF">
      <w:pPr>
        <w:rPr>
          <w:lang w:val="en-US"/>
        </w:rPr>
      </w:pPr>
      <w:r>
        <w:rPr>
          <w:lang w:val="en-US"/>
        </w:rPr>
        <w:br w:type="page"/>
      </w:r>
    </w:p>
    <w:p w14:paraId="49A48500" w14:textId="77777777" w:rsidR="00754EAF" w:rsidRDefault="00754EAF" w:rsidP="00754EAF">
      <w:pPr>
        <w:rPr>
          <w:lang w:val="en-US"/>
        </w:rPr>
      </w:pPr>
      <w:r>
        <w:rPr>
          <w:noProof/>
          <w:lang w:val="en-US"/>
        </w:rPr>
        <w:lastRenderedPageBreak/>
        <w:drawing>
          <wp:inline distT="0" distB="0" distL="0" distR="0" wp14:anchorId="05F0582B" wp14:editId="707321BD">
            <wp:extent cx="5715000" cy="17081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15000" cy="1708150"/>
                    </a:xfrm>
                    <a:prstGeom prst="rect">
                      <a:avLst/>
                    </a:prstGeom>
                    <a:noFill/>
                    <a:ln>
                      <a:noFill/>
                    </a:ln>
                  </pic:spPr>
                </pic:pic>
              </a:graphicData>
            </a:graphic>
          </wp:inline>
        </w:drawing>
      </w:r>
    </w:p>
    <w:p w14:paraId="478F2179" w14:textId="77777777" w:rsidR="00754EAF" w:rsidRDefault="00754EAF" w:rsidP="00754EAF">
      <w:pPr>
        <w:rPr>
          <w:lang w:val="en-US"/>
        </w:rPr>
      </w:pPr>
      <w:r w:rsidRPr="00815D82">
        <w:rPr>
          <w:rStyle w:val="SubtleEmphasis"/>
          <w:lang w:val="en-US"/>
        </w:rPr>
        <w:t>Fig</w:t>
      </w:r>
      <w:r>
        <w:rPr>
          <w:rStyle w:val="SubtleEmphasis"/>
          <w:lang w:val="en-US"/>
        </w:rPr>
        <w:t>ure</w:t>
      </w:r>
      <w:r w:rsidRPr="00815D82">
        <w:rPr>
          <w:rStyle w:val="SubtleEmphasis"/>
          <w:lang w:val="en-US"/>
        </w:rPr>
        <w:t xml:space="preserve"> </w:t>
      </w:r>
      <w:r>
        <w:rPr>
          <w:rStyle w:val="SubtleEmphasis"/>
          <w:lang w:val="en-US"/>
        </w:rPr>
        <w:t>7</w:t>
      </w:r>
      <w:r w:rsidRPr="00815D82">
        <w:rPr>
          <w:rStyle w:val="SubtleEmphasis"/>
          <w:lang w:val="en-US"/>
        </w:rPr>
        <w:t xml:space="preserve">. Absolute PGS scores based on different genotyping chips cannot be compared directly. </w:t>
      </w:r>
      <w:r>
        <w:rPr>
          <w:rStyle w:val="SubtleEmphasis"/>
          <w:b w:val="0"/>
          <w:lang w:val="en-US"/>
        </w:rPr>
        <w:t>Left: Raw summed PGS scores; Risk scores calculated based on different genotypes are largely different, making direct comparisons problematic. Right: Raw PGS scores were compared to raw PGS scores of the 500 European individuals of the 1000g cohort to translate them into percentiles. This was done for both PGS scores (based on GWAS summary statistic file including variants with p-value threshold 0.01 and 10</w:t>
      </w:r>
      <w:r>
        <w:rPr>
          <w:rStyle w:val="SubtleEmphasis"/>
          <w:b w:val="0"/>
          <w:vertAlign w:val="superscript"/>
          <w:lang w:val="en-US"/>
        </w:rPr>
        <w:t>-6</w:t>
      </w:r>
      <w:r>
        <w:rPr>
          <w:rStyle w:val="SubtleEmphasis"/>
          <w:b w:val="0"/>
          <w:lang w:val="en-US"/>
        </w:rPr>
        <w:t>). Then the percentiles where summed and the densities plotted. Raw PGS scores UKB diabetes versus Lifelines diabetes are statistically significantly different (p-value &lt; 10</w:t>
      </w:r>
      <w:r>
        <w:rPr>
          <w:rStyle w:val="SubtleEmphasis"/>
          <w:b w:val="0"/>
          <w:vertAlign w:val="superscript"/>
          <w:lang w:val="en-US"/>
        </w:rPr>
        <w:t>-323</w:t>
      </w:r>
      <w:r>
        <w:rPr>
          <w:rStyle w:val="SubtleEmphasis"/>
          <w:b w:val="0"/>
          <w:lang w:val="en-US"/>
        </w:rPr>
        <w:t xml:space="preserve">, </w:t>
      </w:r>
      <w:r w:rsidRPr="006551A5">
        <w:rPr>
          <w:rStyle w:val="SubtleEmphasis"/>
          <w:b w:val="0"/>
          <w:lang w:val="en-US"/>
        </w:rPr>
        <w:t>Mann-Whitney U test test</w:t>
      </w:r>
      <w:r>
        <w:rPr>
          <w:rStyle w:val="SubtleEmphasis"/>
          <w:b w:val="0"/>
          <w:lang w:val="en-US"/>
        </w:rPr>
        <w:t>), but summed PGS for UKB diabetes versus Lifelines diabetes</w:t>
      </w:r>
      <w:r w:rsidRPr="00815D82">
        <w:rPr>
          <w:rStyle w:val="SubtleEmphasis"/>
          <w:lang w:val="en-US"/>
        </w:rPr>
        <w:t xml:space="preserve"> </w:t>
      </w:r>
      <w:r>
        <w:rPr>
          <w:rStyle w:val="SubtleEmphasis"/>
          <w:b w:val="0"/>
          <w:lang w:val="en-US"/>
        </w:rPr>
        <w:t>are not (p-value: 0.51,</w:t>
      </w:r>
      <w:r w:rsidRPr="006551A5">
        <w:rPr>
          <w:rStyle w:val="SubtleEmphasis"/>
          <w:b w:val="0"/>
          <w:lang w:val="en-US"/>
        </w:rPr>
        <w:t xml:space="preserve"> </w:t>
      </w:r>
      <w:r>
        <w:rPr>
          <w:rStyle w:val="SubtleEmphasis"/>
          <w:b w:val="0"/>
          <w:lang w:val="en-US"/>
        </w:rPr>
        <w:t xml:space="preserve">two sided </w:t>
      </w:r>
      <w:r w:rsidRPr="006551A5">
        <w:rPr>
          <w:rStyle w:val="SubtleEmphasis"/>
          <w:b w:val="0"/>
          <w:lang w:val="en-US"/>
        </w:rPr>
        <w:t xml:space="preserve">Mann-Whitney U test </w:t>
      </w:r>
      <w:r>
        <w:rPr>
          <w:rStyle w:val="SubtleEmphasis"/>
          <w:b w:val="0"/>
          <w:lang w:val="en-US"/>
        </w:rPr>
        <w:t>t-test).</w:t>
      </w:r>
    </w:p>
    <w:p w14:paraId="5903FBF1" w14:textId="77777777" w:rsidR="00754EAF" w:rsidRDefault="00754EAF" w:rsidP="00754EAF">
      <w:pPr>
        <w:rPr>
          <w:lang w:val="en-US"/>
        </w:rPr>
      </w:pPr>
      <w:r>
        <w:rPr>
          <w:lang w:val="en-US"/>
        </w:rPr>
        <w:br w:type="page"/>
      </w:r>
    </w:p>
    <w:p w14:paraId="6B02248D" w14:textId="4BF017BD" w:rsidR="006710D9" w:rsidRDefault="006710D9" w:rsidP="006710D9">
      <w:pPr>
        <w:pStyle w:val="Heading1"/>
        <w:rPr>
          <w:lang w:val="en-US"/>
        </w:rPr>
      </w:pPr>
      <w:r>
        <w:rPr>
          <w:lang w:val="en-US"/>
        </w:rPr>
        <w:lastRenderedPageBreak/>
        <w:t>Supplementary tables</w:t>
      </w:r>
    </w:p>
    <w:p w14:paraId="08E5365A" w14:textId="0A9B63C2" w:rsidR="00754EAF" w:rsidRDefault="00754EAF" w:rsidP="00754EAF">
      <w:pPr>
        <w:rPr>
          <w:rStyle w:val="SubtleEmphasis"/>
          <w:b w:val="0"/>
          <w:bCs/>
          <w:lang w:val="en-US"/>
        </w:rPr>
      </w:pPr>
      <w:r w:rsidRPr="007A2FC7">
        <w:rPr>
          <w:rStyle w:val="SubtleEmphasis"/>
          <w:lang w:val="en-US"/>
        </w:rPr>
        <w:t>Supplement table</w:t>
      </w:r>
      <w:r w:rsidR="00A3767F">
        <w:rPr>
          <w:rStyle w:val="SubtleEmphasis"/>
          <w:lang w:val="en-US"/>
        </w:rPr>
        <w:t>s</w:t>
      </w:r>
      <w:r w:rsidRPr="007A2FC7">
        <w:rPr>
          <w:rStyle w:val="SubtleEmphasis"/>
          <w:lang w:val="en-US"/>
        </w:rPr>
        <w:t xml:space="preserve"> 1: </w:t>
      </w:r>
      <w:r>
        <w:rPr>
          <w:rStyle w:val="SubtleEmphasis"/>
          <w:lang w:val="en-US"/>
        </w:rPr>
        <w:t>Comparison</w:t>
      </w:r>
      <w:r w:rsidRPr="007A2FC7">
        <w:rPr>
          <w:rStyle w:val="SubtleEmphasis"/>
          <w:lang w:val="en-US"/>
        </w:rPr>
        <w:t xml:space="preserve"> of models including only PGS or additional variables that can be attained through a questionnaire. </w:t>
      </w:r>
    </w:p>
    <w:p w14:paraId="5C62E074" w14:textId="77777777" w:rsidR="00754EAF" w:rsidRDefault="00754EAF" w:rsidP="00754EAF">
      <w:pPr>
        <w:rPr>
          <w:lang w:val="en-US"/>
        </w:rPr>
      </w:pPr>
      <w:r>
        <w:rPr>
          <w:lang w:val="en-US"/>
        </w:rPr>
        <w:t>Lifelines: T2D model AUCs</w:t>
      </w:r>
      <w:r>
        <w:rPr>
          <w:noProof/>
          <w:lang w:val="en-US"/>
        </w:rPr>
        <w:drawing>
          <wp:inline distT="0" distB="0" distL="0" distR="0" wp14:anchorId="0BE251BD" wp14:editId="04667FBA">
            <wp:extent cx="5728970" cy="514159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8970" cy="5141595"/>
                    </a:xfrm>
                    <a:prstGeom prst="rect">
                      <a:avLst/>
                    </a:prstGeom>
                    <a:noFill/>
                    <a:ln>
                      <a:noFill/>
                    </a:ln>
                  </pic:spPr>
                </pic:pic>
              </a:graphicData>
            </a:graphic>
          </wp:inline>
        </w:drawing>
      </w:r>
    </w:p>
    <w:p w14:paraId="5849A019" w14:textId="77777777" w:rsidR="00754EAF" w:rsidRDefault="00754EAF" w:rsidP="00754EAF">
      <w:pPr>
        <w:rPr>
          <w:lang w:val="en-US"/>
        </w:rPr>
      </w:pPr>
      <w:r>
        <w:rPr>
          <w:lang w:val="en-US"/>
        </w:rPr>
        <w:br w:type="page"/>
      </w:r>
    </w:p>
    <w:p w14:paraId="1B8FD6BF" w14:textId="77777777" w:rsidR="00754EAF" w:rsidRDefault="00754EAF" w:rsidP="00754EAF">
      <w:pPr>
        <w:rPr>
          <w:noProof/>
          <w:lang w:val="en-US"/>
        </w:rPr>
      </w:pPr>
      <w:r>
        <w:rPr>
          <w:lang w:val="en-US"/>
        </w:rPr>
        <w:lastRenderedPageBreak/>
        <w:t>Lifelines: T2D prevalence</w:t>
      </w:r>
      <w:r w:rsidRPr="002B1256">
        <w:rPr>
          <w:lang w:val="en-US"/>
        </w:rPr>
        <w:t xml:space="preserve"> </w:t>
      </w:r>
      <w:r>
        <w:rPr>
          <w:lang w:val="en-US"/>
        </w:rPr>
        <w:t xml:space="preserve">and incidence </w:t>
      </w:r>
    </w:p>
    <w:p w14:paraId="782E13EE" w14:textId="77777777" w:rsidR="00754EAF" w:rsidRDefault="00754EAF" w:rsidP="00754EAF">
      <w:pPr>
        <w:rPr>
          <w:lang w:val="en-US"/>
        </w:rPr>
      </w:pPr>
      <w:r>
        <w:rPr>
          <w:noProof/>
          <w:lang w:val="en-US"/>
        </w:rPr>
        <w:drawing>
          <wp:inline distT="0" distB="0" distL="0" distR="0" wp14:anchorId="6B3EC1A8" wp14:editId="619847FC">
            <wp:extent cx="2249887" cy="8489843"/>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52015" cy="8497873"/>
                    </a:xfrm>
                    <a:prstGeom prst="rect">
                      <a:avLst/>
                    </a:prstGeom>
                    <a:noFill/>
                    <a:ln>
                      <a:noFill/>
                    </a:ln>
                  </pic:spPr>
                </pic:pic>
              </a:graphicData>
            </a:graphic>
          </wp:inline>
        </w:drawing>
      </w:r>
    </w:p>
    <w:p w14:paraId="1ABF9AA8" w14:textId="77777777" w:rsidR="00754EAF" w:rsidRDefault="00754EAF" w:rsidP="00754EAF">
      <w:pPr>
        <w:rPr>
          <w:lang w:val="en-US"/>
        </w:rPr>
      </w:pPr>
      <w:r>
        <w:rPr>
          <w:lang w:val="en-US"/>
        </w:rPr>
        <w:lastRenderedPageBreak/>
        <w:t xml:space="preserve">Lifelines: T2D absolute prevalence and incidence </w:t>
      </w:r>
    </w:p>
    <w:p w14:paraId="439CE8FC" w14:textId="77777777" w:rsidR="00754EAF" w:rsidRDefault="00754EAF" w:rsidP="00754EAF">
      <w:pPr>
        <w:rPr>
          <w:lang w:val="en-US"/>
        </w:rPr>
      </w:pPr>
      <w:r>
        <w:rPr>
          <w:noProof/>
          <w:lang w:val="en-US"/>
        </w:rPr>
        <w:drawing>
          <wp:inline distT="0" distB="0" distL="0" distR="0" wp14:anchorId="2A0E756D" wp14:editId="07BB9923">
            <wp:extent cx="5728970" cy="391731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28970" cy="3917315"/>
                    </a:xfrm>
                    <a:prstGeom prst="rect">
                      <a:avLst/>
                    </a:prstGeom>
                    <a:noFill/>
                    <a:ln>
                      <a:noFill/>
                    </a:ln>
                  </pic:spPr>
                </pic:pic>
              </a:graphicData>
            </a:graphic>
          </wp:inline>
        </w:drawing>
      </w:r>
    </w:p>
    <w:p w14:paraId="75A2F019" w14:textId="77777777" w:rsidR="00754EAF" w:rsidRDefault="00754EAF" w:rsidP="00754EAF">
      <w:pPr>
        <w:rPr>
          <w:lang w:val="en-US"/>
        </w:rPr>
      </w:pPr>
      <w:r>
        <w:rPr>
          <w:lang w:val="en-US"/>
        </w:rPr>
        <w:br w:type="page"/>
      </w:r>
    </w:p>
    <w:p w14:paraId="06E1E626" w14:textId="77777777" w:rsidR="00754EAF" w:rsidRDefault="00754EAF" w:rsidP="00754EAF">
      <w:pPr>
        <w:rPr>
          <w:lang w:val="en-US"/>
        </w:rPr>
      </w:pPr>
      <w:r>
        <w:rPr>
          <w:lang w:val="en-US"/>
        </w:rPr>
        <w:lastRenderedPageBreak/>
        <w:t>Lifelines: CAD model AUCs</w:t>
      </w:r>
    </w:p>
    <w:p w14:paraId="2346E50C" w14:textId="77777777" w:rsidR="00754EAF" w:rsidRDefault="00754EAF" w:rsidP="00754EAF">
      <w:pPr>
        <w:rPr>
          <w:lang w:val="en-US"/>
        </w:rPr>
      </w:pPr>
      <w:r>
        <w:rPr>
          <w:noProof/>
          <w:lang w:val="en-US"/>
        </w:rPr>
        <w:drawing>
          <wp:inline distT="0" distB="0" distL="0" distR="0" wp14:anchorId="42EE9294" wp14:editId="557A20D0">
            <wp:extent cx="5728970" cy="49974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28970" cy="4997450"/>
                    </a:xfrm>
                    <a:prstGeom prst="rect">
                      <a:avLst/>
                    </a:prstGeom>
                    <a:noFill/>
                    <a:ln>
                      <a:noFill/>
                    </a:ln>
                  </pic:spPr>
                </pic:pic>
              </a:graphicData>
            </a:graphic>
          </wp:inline>
        </w:drawing>
      </w:r>
    </w:p>
    <w:p w14:paraId="71CDBB66" w14:textId="77777777" w:rsidR="00754EAF" w:rsidRDefault="00754EAF" w:rsidP="00754EAF">
      <w:pPr>
        <w:rPr>
          <w:lang w:val="en-US"/>
        </w:rPr>
      </w:pPr>
    </w:p>
    <w:p w14:paraId="7C9B212D" w14:textId="77777777" w:rsidR="00754EAF" w:rsidRDefault="00754EAF" w:rsidP="00754EAF">
      <w:pPr>
        <w:rPr>
          <w:lang w:val="en-US"/>
        </w:rPr>
      </w:pPr>
      <w:r>
        <w:rPr>
          <w:lang w:val="en-US"/>
        </w:rPr>
        <w:br w:type="page"/>
      </w:r>
    </w:p>
    <w:p w14:paraId="6654B58E" w14:textId="77777777" w:rsidR="00754EAF" w:rsidRDefault="00754EAF" w:rsidP="00754EAF">
      <w:pPr>
        <w:rPr>
          <w:noProof/>
          <w:lang w:val="en-US"/>
        </w:rPr>
      </w:pPr>
      <w:r>
        <w:rPr>
          <w:lang w:val="en-US"/>
        </w:rPr>
        <w:lastRenderedPageBreak/>
        <w:t>Lifelines: CAD prevalence</w:t>
      </w:r>
      <w:r w:rsidRPr="002B1256">
        <w:rPr>
          <w:lang w:val="en-US"/>
        </w:rPr>
        <w:t xml:space="preserve"> </w:t>
      </w:r>
      <w:r>
        <w:rPr>
          <w:lang w:val="en-US"/>
        </w:rPr>
        <w:t xml:space="preserve">and incidence </w:t>
      </w:r>
    </w:p>
    <w:p w14:paraId="5AC5EC50" w14:textId="77777777" w:rsidR="00754EAF" w:rsidRDefault="00754EAF" w:rsidP="00754EAF">
      <w:pPr>
        <w:rPr>
          <w:lang w:val="en-US"/>
        </w:rPr>
      </w:pPr>
      <w:r>
        <w:rPr>
          <w:noProof/>
          <w:lang w:val="en-US"/>
        </w:rPr>
        <w:drawing>
          <wp:inline distT="0" distB="0" distL="0" distR="0" wp14:anchorId="4949BEBA" wp14:editId="2D26C661">
            <wp:extent cx="2259663" cy="8388987"/>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67689" cy="8418784"/>
                    </a:xfrm>
                    <a:prstGeom prst="rect">
                      <a:avLst/>
                    </a:prstGeom>
                    <a:noFill/>
                    <a:ln>
                      <a:noFill/>
                    </a:ln>
                  </pic:spPr>
                </pic:pic>
              </a:graphicData>
            </a:graphic>
          </wp:inline>
        </w:drawing>
      </w:r>
    </w:p>
    <w:p w14:paraId="7607B032" w14:textId="77777777" w:rsidR="00754EAF" w:rsidRDefault="00754EAF" w:rsidP="00754EAF">
      <w:pPr>
        <w:rPr>
          <w:lang w:val="en-US"/>
        </w:rPr>
      </w:pPr>
      <w:r>
        <w:rPr>
          <w:lang w:val="en-US"/>
        </w:rPr>
        <w:lastRenderedPageBreak/>
        <w:t xml:space="preserve">Lifelines: CAD absolute prevalence and incidence </w:t>
      </w:r>
    </w:p>
    <w:p w14:paraId="1FFF6707" w14:textId="77777777" w:rsidR="00754EAF" w:rsidRDefault="00754EAF" w:rsidP="00754EAF">
      <w:pPr>
        <w:rPr>
          <w:rStyle w:val="SubtleEmphasis"/>
          <w:lang w:val="en-US"/>
        </w:rPr>
      </w:pPr>
    </w:p>
    <w:p w14:paraId="24202A92" w14:textId="77777777" w:rsidR="00754EAF" w:rsidRPr="007A2FC7" w:rsidRDefault="00754EAF" w:rsidP="00754EAF">
      <w:pPr>
        <w:rPr>
          <w:rStyle w:val="SubtleEmphasis"/>
          <w:lang w:val="en-US"/>
        </w:rPr>
      </w:pPr>
      <w:r>
        <w:rPr>
          <w:rStyle w:val="SubtleEmphasis"/>
          <w:noProof/>
          <w:lang w:val="en-US"/>
        </w:rPr>
        <w:drawing>
          <wp:inline distT="0" distB="0" distL="0" distR="0" wp14:anchorId="439544CA" wp14:editId="507CD325">
            <wp:extent cx="5731510" cy="397319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3973195"/>
                    </a:xfrm>
                    <a:prstGeom prst="rect">
                      <a:avLst/>
                    </a:prstGeom>
                    <a:noFill/>
                    <a:ln>
                      <a:noFill/>
                    </a:ln>
                  </pic:spPr>
                </pic:pic>
              </a:graphicData>
            </a:graphic>
          </wp:inline>
        </w:drawing>
      </w:r>
    </w:p>
    <w:p w14:paraId="010DF145" w14:textId="77777777" w:rsidR="00754EAF" w:rsidRDefault="00754EAF" w:rsidP="00754EAF">
      <w:pPr>
        <w:rPr>
          <w:lang w:val="en-US"/>
        </w:rPr>
      </w:pPr>
      <w:r>
        <w:rPr>
          <w:lang w:val="en-US"/>
        </w:rPr>
        <w:br w:type="page"/>
      </w:r>
    </w:p>
    <w:p w14:paraId="0EED8975" w14:textId="77777777" w:rsidR="00754EAF" w:rsidRDefault="00754EAF" w:rsidP="00754EAF">
      <w:pPr>
        <w:rPr>
          <w:lang w:val="en-US"/>
        </w:rPr>
      </w:pPr>
      <w:r>
        <w:rPr>
          <w:lang w:val="en-US"/>
        </w:rPr>
        <w:lastRenderedPageBreak/>
        <w:t>UKB: T2D model AUCs</w:t>
      </w:r>
    </w:p>
    <w:p w14:paraId="49BF197B" w14:textId="77777777" w:rsidR="00754EAF" w:rsidRDefault="00754EAF" w:rsidP="00754EAF">
      <w:pPr>
        <w:rPr>
          <w:lang w:val="en-US"/>
        </w:rPr>
      </w:pPr>
      <w:r>
        <w:rPr>
          <w:noProof/>
          <w:lang w:val="en-US"/>
        </w:rPr>
        <w:drawing>
          <wp:inline distT="0" distB="0" distL="0" distR="0" wp14:anchorId="5FBD2382" wp14:editId="76080FBC">
            <wp:extent cx="5207635" cy="45085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7635" cy="4508500"/>
                    </a:xfrm>
                    <a:prstGeom prst="rect">
                      <a:avLst/>
                    </a:prstGeom>
                    <a:noFill/>
                    <a:ln>
                      <a:noFill/>
                    </a:ln>
                  </pic:spPr>
                </pic:pic>
              </a:graphicData>
            </a:graphic>
          </wp:inline>
        </w:drawing>
      </w:r>
    </w:p>
    <w:p w14:paraId="43417011" w14:textId="77777777" w:rsidR="00754EAF" w:rsidRDefault="00754EAF" w:rsidP="00754EAF">
      <w:pPr>
        <w:rPr>
          <w:lang w:val="en-US"/>
        </w:rPr>
      </w:pPr>
      <w:r>
        <w:rPr>
          <w:lang w:val="en-US"/>
        </w:rPr>
        <w:br w:type="page"/>
      </w:r>
    </w:p>
    <w:p w14:paraId="40751F62" w14:textId="77777777" w:rsidR="00754EAF" w:rsidRDefault="00754EAF" w:rsidP="00754EAF">
      <w:pPr>
        <w:rPr>
          <w:noProof/>
          <w:lang w:val="en-US"/>
        </w:rPr>
      </w:pPr>
      <w:r>
        <w:rPr>
          <w:lang w:val="en-US"/>
        </w:rPr>
        <w:lastRenderedPageBreak/>
        <w:t>UKB: T2D prevalence</w:t>
      </w:r>
      <w:r w:rsidRPr="002B1256">
        <w:rPr>
          <w:lang w:val="en-US"/>
        </w:rPr>
        <w:t xml:space="preserve"> </w:t>
      </w:r>
      <w:r>
        <w:rPr>
          <w:lang w:val="en-US"/>
        </w:rPr>
        <w:t xml:space="preserve">and incidence </w:t>
      </w:r>
    </w:p>
    <w:p w14:paraId="6841B8F5" w14:textId="77777777" w:rsidR="00754EAF" w:rsidRDefault="00754EAF" w:rsidP="00754EAF">
      <w:pPr>
        <w:rPr>
          <w:lang w:val="en-US"/>
        </w:rPr>
      </w:pPr>
    </w:p>
    <w:p w14:paraId="3C617E59" w14:textId="77777777" w:rsidR="00754EAF" w:rsidRDefault="00754EAF" w:rsidP="00754EAF">
      <w:pPr>
        <w:rPr>
          <w:lang w:val="en-US"/>
        </w:rPr>
      </w:pPr>
      <w:r>
        <w:rPr>
          <w:noProof/>
          <w:lang w:val="en-US"/>
        </w:rPr>
        <w:drawing>
          <wp:inline distT="0" distB="0" distL="0" distR="0" wp14:anchorId="2E509383" wp14:editId="6437D7F0">
            <wp:extent cx="2308462" cy="8068623"/>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310650" cy="8076271"/>
                    </a:xfrm>
                    <a:prstGeom prst="rect">
                      <a:avLst/>
                    </a:prstGeom>
                    <a:noFill/>
                    <a:ln>
                      <a:noFill/>
                    </a:ln>
                  </pic:spPr>
                </pic:pic>
              </a:graphicData>
            </a:graphic>
          </wp:inline>
        </w:drawing>
      </w:r>
    </w:p>
    <w:p w14:paraId="0338F307" w14:textId="77777777" w:rsidR="00754EAF" w:rsidRDefault="00754EAF" w:rsidP="00754EAF">
      <w:pPr>
        <w:rPr>
          <w:lang w:val="en-US"/>
        </w:rPr>
      </w:pPr>
      <w:r>
        <w:rPr>
          <w:lang w:val="en-US"/>
        </w:rPr>
        <w:lastRenderedPageBreak/>
        <w:t xml:space="preserve">UKB: T2D absolute prevalence and incidence </w:t>
      </w:r>
    </w:p>
    <w:p w14:paraId="3AD00D17" w14:textId="77777777" w:rsidR="00754EAF" w:rsidRDefault="00754EAF" w:rsidP="00754EAF">
      <w:pPr>
        <w:rPr>
          <w:lang w:val="en-US"/>
        </w:rPr>
      </w:pPr>
    </w:p>
    <w:p w14:paraId="5A92F204" w14:textId="77777777" w:rsidR="00754EAF" w:rsidRDefault="00754EAF" w:rsidP="00754EAF">
      <w:pPr>
        <w:rPr>
          <w:lang w:val="en-US"/>
        </w:rPr>
      </w:pPr>
      <w:r>
        <w:rPr>
          <w:noProof/>
          <w:lang w:val="en-US"/>
        </w:rPr>
        <w:drawing>
          <wp:inline distT="0" distB="0" distL="0" distR="0" wp14:anchorId="4D63F9BD" wp14:editId="0F70A28D">
            <wp:extent cx="5730875" cy="399732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0875" cy="3997325"/>
                    </a:xfrm>
                    <a:prstGeom prst="rect">
                      <a:avLst/>
                    </a:prstGeom>
                    <a:noFill/>
                    <a:ln>
                      <a:noFill/>
                    </a:ln>
                  </pic:spPr>
                </pic:pic>
              </a:graphicData>
            </a:graphic>
          </wp:inline>
        </w:drawing>
      </w:r>
    </w:p>
    <w:p w14:paraId="525B58F2" w14:textId="77777777" w:rsidR="00754EAF" w:rsidRDefault="00754EAF" w:rsidP="00754EAF">
      <w:pPr>
        <w:rPr>
          <w:lang w:val="en-US"/>
        </w:rPr>
      </w:pPr>
      <w:r>
        <w:rPr>
          <w:lang w:val="en-US"/>
        </w:rPr>
        <w:br w:type="page"/>
      </w:r>
    </w:p>
    <w:p w14:paraId="15701F6C" w14:textId="77777777" w:rsidR="00754EAF" w:rsidRDefault="00754EAF" w:rsidP="00754EAF">
      <w:pPr>
        <w:rPr>
          <w:lang w:val="en-US"/>
        </w:rPr>
      </w:pPr>
    </w:p>
    <w:p w14:paraId="09722E1B" w14:textId="77777777" w:rsidR="00754EAF" w:rsidRDefault="00754EAF" w:rsidP="00754EAF">
      <w:pPr>
        <w:rPr>
          <w:lang w:val="en-US"/>
        </w:rPr>
      </w:pPr>
      <w:r>
        <w:rPr>
          <w:lang w:val="en-US"/>
        </w:rPr>
        <w:t>UKB: CAD model AUCs</w:t>
      </w:r>
    </w:p>
    <w:p w14:paraId="7C5F7A4D" w14:textId="77777777" w:rsidR="00754EAF" w:rsidRDefault="00754EAF" w:rsidP="00754EAF">
      <w:pPr>
        <w:rPr>
          <w:lang w:val="en-US"/>
        </w:rPr>
      </w:pPr>
      <w:r>
        <w:rPr>
          <w:noProof/>
          <w:lang w:val="en-US"/>
        </w:rPr>
        <w:drawing>
          <wp:inline distT="0" distB="0" distL="0" distR="0" wp14:anchorId="6F18BB5C" wp14:editId="22D8A4D8">
            <wp:extent cx="5296535" cy="457644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96535" cy="4576445"/>
                    </a:xfrm>
                    <a:prstGeom prst="rect">
                      <a:avLst/>
                    </a:prstGeom>
                    <a:noFill/>
                    <a:ln>
                      <a:noFill/>
                    </a:ln>
                  </pic:spPr>
                </pic:pic>
              </a:graphicData>
            </a:graphic>
          </wp:inline>
        </w:drawing>
      </w:r>
    </w:p>
    <w:p w14:paraId="75E3DA86" w14:textId="77777777" w:rsidR="00754EAF" w:rsidRDefault="00754EAF" w:rsidP="00754EAF">
      <w:pPr>
        <w:rPr>
          <w:lang w:val="en-US"/>
        </w:rPr>
      </w:pPr>
      <w:r>
        <w:rPr>
          <w:lang w:val="en-US"/>
        </w:rPr>
        <w:br w:type="page"/>
      </w:r>
    </w:p>
    <w:p w14:paraId="41433EF1" w14:textId="77777777" w:rsidR="00754EAF" w:rsidRDefault="00754EAF" w:rsidP="00754EAF">
      <w:pPr>
        <w:rPr>
          <w:noProof/>
          <w:lang w:val="en-US"/>
        </w:rPr>
      </w:pPr>
      <w:r>
        <w:rPr>
          <w:lang w:val="en-US"/>
        </w:rPr>
        <w:lastRenderedPageBreak/>
        <w:t>UKB: CAD prevalence</w:t>
      </w:r>
      <w:r w:rsidRPr="002B1256">
        <w:rPr>
          <w:lang w:val="en-US"/>
        </w:rPr>
        <w:t xml:space="preserve"> </w:t>
      </w:r>
      <w:r>
        <w:rPr>
          <w:lang w:val="en-US"/>
        </w:rPr>
        <w:t xml:space="preserve">and incidence </w:t>
      </w:r>
    </w:p>
    <w:p w14:paraId="4BD26B8E" w14:textId="77777777" w:rsidR="00754EAF" w:rsidRDefault="00754EAF" w:rsidP="00754EAF">
      <w:pPr>
        <w:rPr>
          <w:lang w:val="en-US"/>
        </w:rPr>
      </w:pPr>
      <w:r>
        <w:rPr>
          <w:noProof/>
          <w:lang w:val="en-US"/>
        </w:rPr>
        <w:drawing>
          <wp:inline distT="0" distB="0" distL="0" distR="0" wp14:anchorId="6C38C603" wp14:editId="59114F3C">
            <wp:extent cx="2172214" cy="8326722"/>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174016" cy="8333631"/>
                    </a:xfrm>
                    <a:prstGeom prst="rect">
                      <a:avLst/>
                    </a:prstGeom>
                    <a:noFill/>
                    <a:ln>
                      <a:noFill/>
                    </a:ln>
                  </pic:spPr>
                </pic:pic>
              </a:graphicData>
            </a:graphic>
          </wp:inline>
        </w:drawing>
      </w:r>
    </w:p>
    <w:p w14:paraId="627515C7" w14:textId="77777777" w:rsidR="00754EAF" w:rsidRDefault="00754EAF" w:rsidP="00754EAF">
      <w:pPr>
        <w:rPr>
          <w:lang w:val="en-US"/>
        </w:rPr>
      </w:pPr>
      <w:r>
        <w:rPr>
          <w:lang w:val="en-US"/>
        </w:rPr>
        <w:lastRenderedPageBreak/>
        <w:t xml:space="preserve">UKB: CAD absolute prevalence and incidence </w:t>
      </w:r>
    </w:p>
    <w:p w14:paraId="40D16269" w14:textId="77777777" w:rsidR="00754EAF" w:rsidRDefault="00754EAF" w:rsidP="00754EAF">
      <w:pPr>
        <w:rPr>
          <w:lang w:val="en-US"/>
        </w:rPr>
      </w:pPr>
      <w:r>
        <w:rPr>
          <w:noProof/>
          <w:lang w:val="en-US"/>
        </w:rPr>
        <w:drawing>
          <wp:inline distT="0" distB="0" distL="0" distR="0" wp14:anchorId="08198B3D" wp14:editId="56FF5FDA">
            <wp:extent cx="5725795" cy="396049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25795" cy="3960495"/>
                    </a:xfrm>
                    <a:prstGeom prst="rect">
                      <a:avLst/>
                    </a:prstGeom>
                    <a:noFill/>
                    <a:ln>
                      <a:noFill/>
                    </a:ln>
                  </pic:spPr>
                </pic:pic>
              </a:graphicData>
            </a:graphic>
          </wp:inline>
        </w:drawing>
      </w:r>
    </w:p>
    <w:p w14:paraId="3BB93E4C" w14:textId="77777777" w:rsidR="00754EAF" w:rsidRDefault="00754EAF" w:rsidP="00754EAF">
      <w:pPr>
        <w:rPr>
          <w:lang w:val="en-US"/>
        </w:rPr>
      </w:pPr>
      <w:r>
        <w:rPr>
          <w:lang w:val="en-US"/>
        </w:rPr>
        <w:br w:type="page"/>
      </w:r>
    </w:p>
    <w:p w14:paraId="44A13C4E" w14:textId="6A7EB003" w:rsidR="00754EAF" w:rsidRDefault="00754EAF" w:rsidP="00754EAF">
      <w:pPr>
        <w:rPr>
          <w:rStyle w:val="SubtleEmphasis"/>
          <w:b w:val="0"/>
          <w:bCs/>
          <w:lang w:val="en-US"/>
        </w:rPr>
      </w:pPr>
    </w:p>
    <w:p w14:paraId="78934AC8" w14:textId="612D802B" w:rsidR="00754EAF" w:rsidRDefault="00754EAF" w:rsidP="00754EAF">
      <w:pPr>
        <w:rPr>
          <w:rFonts w:ascii="Calibri" w:hAnsi="Calibri" w:cs="Calibri"/>
          <w:lang w:val="en-US"/>
        </w:rPr>
      </w:pPr>
      <w:r w:rsidRPr="001136F8">
        <w:rPr>
          <w:rStyle w:val="SubtleEmphasis"/>
          <w:lang w:val="en-US"/>
        </w:rPr>
        <w:t xml:space="preserve">Supplemental Table </w:t>
      </w:r>
      <w:r w:rsidR="00E04E24">
        <w:rPr>
          <w:rStyle w:val="SubtleEmphasis"/>
          <w:lang w:val="en-US"/>
        </w:rPr>
        <w:t>2</w:t>
      </w:r>
      <w:r w:rsidRPr="001136F8">
        <w:rPr>
          <w:rStyle w:val="SubtleEmphasis"/>
          <w:lang w:val="en-US"/>
        </w:rPr>
        <w:t>.</w:t>
      </w:r>
      <w:r w:rsidRPr="00A365E3">
        <w:rPr>
          <w:rStyle w:val="SubtleEmphasis"/>
          <w:b w:val="0"/>
          <w:bCs/>
          <w:lang w:val="en-US"/>
        </w:rPr>
        <w:t xml:space="preserve"> Data-Fields used for calculating disease incidence and the associated age or date of diagnosis Data-Fields. </w:t>
      </w:r>
    </w:p>
    <w:tbl>
      <w:tblPr>
        <w:tblStyle w:val="TableGrid"/>
        <w:tblW w:w="9224" w:type="dxa"/>
        <w:tblInd w:w="0" w:type="dxa"/>
        <w:tblLook w:val="04A0" w:firstRow="1" w:lastRow="0" w:firstColumn="1" w:lastColumn="0" w:noHBand="0" w:noVBand="1"/>
      </w:tblPr>
      <w:tblGrid>
        <w:gridCol w:w="2305"/>
        <w:gridCol w:w="2306"/>
        <w:gridCol w:w="2305"/>
        <w:gridCol w:w="2308"/>
      </w:tblGrid>
      <w:tr w:rsidR="00754EAF" w:rsidRPr="00393E8E" w14:paraId="7A2E3366" w14:textId="77777777" w:rsidTr="00A2153E">
        <w:trPr>
          <w:trHeight w:val="540"/>
        </w:trPr>
        <w:tc>
          <w:tcPr>
            <w:tcW w:w="4611" w:type="dxa"/>
            <w:gridSpan w:val="2"/>
            <w:tcBorders>
              <w:top w:val="single" w:sz="4" w:space="0" w:color="auto"/>
              <w:left w:val="single" w:sz="4" w:space="0" w:color="auto"/>
              <w:bottom w:val="single" w:sz="4" w:space="0" w:color="auto"/>
              <w:right w:val="single" w:sz="4" w:space="0" w:color="auto"/>
            </w:tcBorders>
            <w:vAlign w:val="center"/>
            <w:hideMark/>
          </w:tcPr>
          <w:p w14:paraId="45A8E1AD" w14:textId="77777777" w:rsidR="00754EAF" w:rsidRDefault="00754EAF" w:rsidP="00A2153E">
            <w:pPr>
              <w:jc w:val="center"/>
              <w:rPr>
                <w:rFonts w:ascii="Calibri" w:hAnsi="Calibri" w:cs="Calibri"/>
                <w:lang w:val="en-US"/>
              </w:rPr>
            </w:pPr>
            <w:r>
              <w:rPr>
                <w:rFonts w:ascii="Calibri" w:hAnsi="Calibri" w:cs="Calibri"/>
                <w:lang w:val="en-US"/>
              </w:rPr>
              <w:t>Diagnosis</w:t>
            </w:r>
          </w:p>
        </w:tc>
        <w:tc>
          <w:tcPr>
            <w:tcW w:w="4613" w:type="dxa"/>
            <w:gridSpan w:val="2"/>
            <w:tcBorders>
              <w:top w:val="single" w:sz="4" w:space="0" w:color="auto"/>
              <w:left w:val="single" w:sz="4" w:space="0" w:color="auto"/>
              <w:bottom w:val="single" w:sz="4" w:space="0" w:color="auto"/>
              <w:right w:val="single" w:sz="4" w:space="0" w:color="auto"/>
            </w:tcBorders>
            <w:vAlign w:val="center"/>
            <w:hideMark/>
          </w:tcPr>
          <w:p w14:paraId="7AE68FF9" w14:textId="77777777" w:rsidR="00754EAF" w:rsidRDefault="00754EAF" w:rsidP="00A2153E">
            <w:pPr>
              <w:jc w:val="center"/>
              <w:rPr>
                <w:rFonts w:ascii="Calibri" w:hAnsi="Calibri" w:cs="Calibri"/>
                <w:lang w:val="en-US"/>
              </w:rPr>
            </w:pPr>
            <w:r>
              <w:rPr>
                <w:rFonts w:ascii="Calibri" w:hAnsi="Calibri" w:cs="Calibri"/>
                <w:lang w:val="en-US"/>
              </w:rPr>
              <w:t>Age or date of diagnosis</w:t>
            </w:r>
          </w:p>
        </w:tc>
      </w:tr>
      <w:tr w:rsidR="00754EAF" w14:paraId="0B9DFCB5" w14:textId="77777777" w:rsidTr="00A2153E">
        <w:trPr>
          <w:trHeight w:val="258"/>
        </w:trPr>
        <w:tc>
          <w:tcPr>
            <w:tcW w:w="2305" w:type="dxa"/>
            <w:tcBorders>
              <w:top w:val="single" w:sz="4" w:space="0" w:color="auto"/>
              <w:left w:val="single" w:sz="4" w:space="0" w:color="auto"/>
              <w:bottom w:val="single" w:sz="4" w:space="0" w:color="auto"/>
              <w:right w:val="single" w:sz="4" w:space="0" w:color="auto"/>
            </w:tcBorders>
            <w:hideMark/>
          </w:tcPr>
          <w:p w14:paraId="5976B847" w14:textId="77777777" w:rsidR="00754EAF" w:rsidRDefault="00754EAF" w:rsidP="00A2153E">
            <w:pPr>
              <w:rPr>
                <w:rFonts w:ascii="Calibri" w:hAnsi="Calibri" w:cs="Calibri"/>
                <w:color w:val="000000" w:themeColor="text1"/>
                <w:lang w:val="en-US"/>
              </w:rPr>
            </w:pPr>
            <w:r>
              <w:rPr>
                <w:rFonts w:ascii="Calibri" w:hAnsi="Calibri" w:cs="Calibri"/>
                <w:color w:val="000000" w:themeColor="text1"/>
                <w:lang w:val="en-US"/>
              </w:rPr>
              <w:t>Description</w:t>
            </w:r>
          </w:p>
        </w:tc>
        <w:tc>
          <w:tcPr>
            <w:tcW w:w="2306" w:type="dxa"/>
            <w:tcBorders>
              <w:top w:val="single" w:sz="4" w:space="0" w:color="auto"/>
              <w:left w:val="single" w:sz="4" w:space="0" w:color="auto"/>
              <w:bottom w:val="single" w:sz="4" w:space="0" w:color="auto"/>
              <w:right w:val="single" w:sz="4" w:space="0" w:color="auto"/>
            </w:tcBorders>
            <w:hideMark/>
          </w:tcPr>
          <w:p w14:paraId="3A886F1C" w14:textId="77777777" w:rsidR="00754EAF" w:rsidRDefault="00754EAF" w:rsidP="00A2153E">
            <w:pPr>
              <w:rPr>
                <w:rFonts w:ascii="Calibri" w:hAnsi="Calibri" w:cs="Calibri"/>
                <w:color w:val="000000" w:themeColor="text1"/>
                <w:lang w:val="en-US"/>
              </w:rPr>
            </w:pPr>
            <w:r>
              <w:rPr>
                <w:rFonts w:ascii="Calibri" w:hAnsi="Calibri" w:cs="Calibri"/>
                <w:color w:val="000000" w:themeColor="text1"/>
                <w:lang w:val="en-US"/>
              </w:rPr>
              <w:t>Data-Fields</w:t>
            </w:r>
          </w:p>
        </w:tc>
        <w:tc>
          <w:tcPr>
            <w:tcW w:w="2305" w:type="dxa"/>
            <w:tcBorders>
              <w:top w:val="single" w:sz="4" w:space="0" w:color="auto"/>
              <w:left w:val="single" w:sz="4" w:space="0" w:color="auto"/>
              <w:bottom w:val="single" w:sz="4" w:space="0" w:color="auto"/>
              <w:right w:val="single" w:sz="4" w:space="0" w:color="auto"/>
            </w:tcBorders>
            <w:hideMark/>
          </w:tcPr>
          <w:p w14:paraId="1F1B4D8E" w14:textId="77777777" w:rsidR="00754EAF" w:rsidRDefault="00754EAF" w:rsidP="00A2153E">
            <w:pPr>
              <w:rPr>
                <w:rFonts w:ascii="Calibri" w:hAnsi="Calibri" w:cs="Calibri"/>
                <w:color w:val="000000" w:themeColor="text1"/>
                <w:lang w:val="en-US"/>
              </w:rPr>
            </w:pPr>
            <w:r>
              <w:rPr>
                <w:rFonts w:ascii="Calibri" w:hAnsi="Calibri" w:cs="Calibri"/>
                <w:color w:val="000000" w:themeColor="text1"/>
                <w:lang w:val="en-US"/>
              </w:rPr>
              <w:t>Description</w:t>
            </w:r>
          </w:p>
        </w:tc>
        <w:tc>
          <w:tcPr>
            <w:tcW w:w="2308" w:type="dxa"/>
            <w:tcBorders>
              <w:top w:val="single" w:sz="4" w:space="0" w:color="auto"/>
              <w:left w:val="single" w:sz="4" w:space="0" w:color="auto"/>
              <w:bottom w:val="single" w:sz="4" w:space="0" w:color="auto"/>
              <w:right w:val="single" w:sz="4" w:space="0" w:color="auto"/>
            </w:tcBorders>
            <w:hideMark/>
          </w:tcPr>
          <w:p w14:paraId="757B05E4" w14:textId="77777777" w:rsidR="00754EAF" w:rsidRDefault="00754EAF" w:rsidP="00A2153E">
            <w:pPr>
              <w:rPr>
                <w:rFonts w:ascii="Calibri" w:hAnsi="Calibri" w:cs="Calibri"/>
                <w:color w:val="000000" w:themeColor="text1"/>
                <w:lang w:val="en-US"/>
              </w:rPr>
            </w:pPr>
            <w:r>
              <w:rPr>
                <w:rFonts w:ascii="Calibri" w:hAnsi="Calibri" w:cs="Calibri"/>
                <w:color w:val="000000" w:themeColor="text1"/>
                <w:lang w:val="en-US"/>
              </w:rPr>
              <w:t>Data-Fields</w:t>
            </w:r>
          </w:p>
        </w:tc>
      </w:tr>
      <w:tr w:rsidR="00754EAF" w14:paraId="04BC8293" w14:textId="77777777" w:rsidTr="00A2153E">
        <w:trPr>
          <w:trHeight w:val="1050"/>
        </w:trPr>
        <w:tc>
          <w:tcPr>
            <w:tcW w:w="2305" w:type="dxa"/>
            <w:tcBorders>
              <w:top w:val="single" w:sz="4" w:space="0" w:color="auto"/>
              <w:left w:val="single" w:sz="4" w:space="0" w:color="auto"/>
              <w:bottom w:val="single" w:sz="4" w:space="0" w:color="auto"/>
              <w:right w:val="single" w:sz="4" w:space="0" w:color="auto"/>
            </w:tcBorders>
            <w:hideMark/>
          </w:tcPr>
          <w:p w14:paraId="46F46F6A" w14:textId="77777777" w:rsidR="00754EAF" w:rsidRDefault="00754EAF" w:rsidP="00A2153E">
            <w:pPr>
              <w:rPr>
                <w:rFonts w:ascii="Calibri" w:hAnsi="Calibri" w:cs="Calibri"/>
                <w:color w:val="000000" w:themeColor="text1"/>
                <w:shd w:val="clear" w:color="auto" w:fill="FFFFFF"/>
                <w:lang w:val="en-US"/>
              </w:rPr>
            </w:pPr>
            <w:r>
              <w:rPr>
                <w:rFonts w:ascii="Calibri" w:hAnsi="Calibri" w:cs="Calibri"/>
                <w:lang w:val="en-US"/>
              </w:rPr>
              <w:t>Non-cancer illness code, self-reported</w:t>
            </w:r>
          </w:p>
        </w:tc>
        <w:tc>
          <w:tcPr>
            <w:tcW w:w="2306" w:type="dxa"/>
            <w:tcBorders>
              <w:top w:val="single" w:sz="4" w:space="0" w:color="auto"/>
              <w:left w:val="single" w:sz="4" w:space="0" w:color="auto"/>
              <w:bottom w:val="single" w:sz="4" w:space="0" w:color="auto"/>
              <w:right w:val="single" w:sz="4" w:space="0" w:color="auto"/>
            </w:tcBorders>
            <w:hideMark/>
          </w:tcPr>
          <w:p w14:paraId="2A63102C" w14:textId="77777777" w:rsidR="00754EAF" w:rsidRDefault="00754EAF" w:rsidP="00A2153E">
            <w:pPr>
              <w:rPr>
                <w:rFonts w:ascii="Calibri" w:hAnsi="Calibri" w:cs="Calibri"/>
                <w:color w:val="000000" w:themeColor="text1"/>
                <w:shd w:val="clear" w:color="auto" w:fill="FFFFFF"/>
              </w:rPr>
            </w:pPr>
            <w:r>
              <w:rPr>
                <w:rFonts w:ascii="Calibri" w:hAnsi="Calibri" w:cs="Calibri"/>
                <w:lang w:val="en-US"/>
              </w:rPr>
              <w:t>20002</w:t>
            </w:r>
          </w:p>
        </w:tc>
        <w:tc>
          <w:tcPr>
            <w:tcW w:w="2305" w:type="dxa"/>
            <w:tcBorders>
              <w:top w:val="single" w:sz="4" w:space="0" w:color="auto"/>
              <w:left w:val="single" w:sz="4" w:space="0" w:color="auto"/>
              <w:bottom w:val="single" w:sz="4" w:space="0" w:color="auto"/>
              <w:right w:val="single" w:sz="4" w:space="0" w:color="auto"/>
            </w:tcBorders>
            <w:hideMark/>
          </w:tcPr>
          <w:p w14:paraId="35703995" w14:textId="77777777" w:rsidR="00754EAF" w:rsidRDefault="00754EAF" w:rsidP="00A2153E">
            <w:pPr>
              <w:rPr>
                <w:rFonts w:ascii="Calibri" w:hAnsi="Calibri" w:cs="Calibri"/>
                <w:color w:val="000000" w:themeColor="text1"/>
                <w:shd w:val="clear" w:color="auto" w:fill="FFFFFF"/>
                <w:lang w:val="en-US"/>
              </w:rPr>
            </w:pPr>
            <w:r>
              <w:rPr>
                <w:rFonts w:ascii="Calibri" w:hAnsi="Calibri" w:cs="Calibri"/>
                <w:lang w:val="en-US"/>
              </w:rPr>
              <w:t>Interpolated Age of participant when non-cancer illness first diagnosed</w:t>
            </w:r>
          </w:p>
        </w:tc>
        <w:tc>
          <w:tcPr>
            <w:tcW w:w="2308" w:type="dxa"/>
            <w:tcBorders>
              <w:top w:val="single" w:sz="4" w:space="0" w:color="auto"/>
              <w:left w:val="single" w:sz="4" w:space="0" w:color="auto"/>
              <w:bottom w:val="single" w:sz="4" w:space="0" w:color="auto"/>
              <w:right w:val="single" w:sz="4" w:space="0" w:color="auto"/>
            </w:tcBorders>
            <w:hideMark/>
          </w:tcPr>
          <w:p w14:paraId="2D5DDB8D" w14:textId="77777777" w:rsidR="00754EAF" w:rsidRDefault="00754EAF" w:rsidP="00A2153E">
            <w:pPr>
              <w:rPr>
                <w:rFonts w:ascii="Calibri" w:hAnsi="Calibri" w:cs="Calibri"/>
                <w:color w:val="000000" w:themeColor="text1"/>
                <w:shd w:val="clear" w:color="auto" w:fill="FFFFFF"/>
              </w:rPr>
            </w:pPr>
            <w:r>
              <w:rPr>
                <w:rFonts w:ascii="Calibri" w:hAnsi="Calibri" w:cs="Calibri"/>
                <w:lang w:val="en-US"/>
              </w:rPr>
              <w:t>20009</w:t>
            </w:r>
          </w:p>
        </w:tc>
      </w:tr>
      <w:tr w:rsidR="00754EAF" w14:paraId="5439633F" w14:textId="77777777" w:rsidTr="00A2153E">
        <w:trPr>
          <w:trHeight w:val="1050"/>
        </w:trPr>
        <w:tc>
          <w:tcPr>
            <w:tcW w:w="2305" w:type="dxa"/>
            <w:tcBorders>
              <w:top w:val="single" w:sz="4" w:space="0" w:color="auto"/>
              <w:left w:val="single" w:sz="4" w:space="0" w:color="auto"/>
              <w:bottom w:val="single" w:sz="4" w:space="0" w:color="auto"/>
              <w:right w:val="single" w:sz="4" w:space="0" w:color="auto"/>
            </w:tcBorders>
            <w:hideMark/>
          </w:tcPr>
          <w:p w14:paraId="4EE9E66B" w14:textId="77777777" w:rsidR="00754EAF" w:rsidRDefault="00754EAF" w:rsidP="00A2153E">
            <w:pPr>
              <w:rPr>
                <w:rFonts w:ascii="Calibri" w:hAnsi="Calibri" w:cs="Calibri"/>
                <w:color w:val="000000" w:themeColor="text1"/>
                <w:shd w:val="clear" w:color="auto" w:fill="FFFFFF"/>
              </w:rPr>
            </w:pPr>
            <w:r>
              <w:rPr>
                <w:rFonts w:ascii="Calibri" w:hAnsi="Calibri" w:cs="Calibri"/>
                <w:lang w:val="en-US"/>
              </w:rPr>
              <w:t>Operation code</w:t>
            </w:r>
          </w:p>
        </w:tc>
        <w:tc>
          <w:tcPr>
            <w:tcW w:w="2306" w:type="dxa"/>
            <w:tcBorders>
              <w:top w:val="single" w:sz="4" w:space="0" w:color="auto"/>
              <w:left w:val="single" w:sz="4" w:space="0" w:color="auto"/>
              <w:bottom w:val="single" w:sz="4" w:space="0" w:color="auto"/>
              <w:right w:val="single" w:sz="4" w:space="0" w:color="auto"/>
            </w:tcBorders>
            <w:hideMark/>
          </w:tcPr>
          <w:p w14:paraId="7E39665E" w14:textId="77777777" w:rsidR="00754EAF" w:rsidRDefault="00754EAF" w:rsidP="00A2153E">
            <w:pPr>
              <w:rPr>
                <w:rFonts w:ascii="Calibri" w:hAnsi="Calibri" w:cs="Calibri"/>
                <w:color w:val="000000" w:themeColor="text1"/>
                <w:shd w:val="clear" w:color="auto" w:fill="FFFFFF"/>
              </w:rPr>
            </w:pPr>
            <w:r>
              <w:rPr>
                <w:rFonts w:ascii="Calibri" w:hAnsi="Calibri" w:cs="Calibri"/>
                <w:lang w:val="en-US"/>
              </w:rPr>
              <w:t>20004</w:t>
            </w:r>
          </w:p>
        </w:tc>
        <w:tc>
          <w:tcPr>
            <w:tcW w:w="2305" w:type="dxa"/>
            <w:tcBorders>
              <w:top w:val="single" w:sz="4" w:space="0" w:color="auto"/>
              <w:left w:val="single" w:sz="4" w:space="0" w:color="auto"/>
              <w:bottom w:val="single" w:sz="4" w:space="0" w:color="auto"/>
              <w:right w:val="single" w:sz="4" w:space="0" w:color="auto"/>
            </w:tcBorders>
            <w:hideMark/>
          </w:tcPr>
          <w:p w14:paraId="7B1919A2" w14:textId="77777777" w:rsidR="00754EAF" w:rsidRDefault="00754EAF" w:rsidP="00A2153E">
            <w:pPr>
              <w:rPr>
                <w:rFonts w:ascii="Calibri" w:hAnsi="Calibri" w:cs="Calibri"/>
                <w:color w:val="000000" w:themeColor="text1"/>
                <w:shd w:val="clear" w:color="auto" w:fill="FFFFFF"/>
                <w:lang w:val="en-US"/>
              </w:rPr>
            </w:pPr>
            <w:r>
              <w:rPr>
                <w:rFonts w:ascii="Calibri" w:hAnsi="Calibri" w:cs="Calibri"/>
                <w:lang w:val="en-US"/>
              </w:rPr>
              <w:t>Interpolated Age of participant when operation took place</w:t>
            </w:r>
          </w:p>
        </w:tc>
        <w:tc>
          <w:tcPr>
            <w:tcW w:w="2308" w:type="dxa"/>
            <w:tcBorders>
              <w:top w:val="single" w:sz="4" w:space="0" w:color="auto"/>
              <w:left w:val="single" w:sz="4" w:space="0" w:color="auto"/>
              <w:bottom w:val="single" w:sz="4" w:space="0" w:color="auto"/>
              <w:right w:val="single" w:sz="4" w:space="0" w:color="auto"/>
            </w:tcBorders>
            <w:hideMark/>
          </w:tcPr>
          <w:p w14:paraId="0CF954DD" w14:textId="77777777" w:rsidR="00754EAF" w:rsidRDefault="00754EAF" w:rsidP="00A2153E">
            <w:pPr>
              <w:rPr>
                <w:rFonts w:ascii="Calibri" w:hAnsi="Calibri" w:cs="Calibri"/>
                <w:color w:val="000000" w:themeColor="text1"/>
                <w:shd w:val="clear" w:color="auto" w:fill="FFFFFF"/>
              </w:rPr>
            </w:pPr>
            <w:r>
              <w:rPr>
                <w:rFonts w:ascii="Calibri" w:hAnsi="Calibri" w:cs="Calibri"/>
                <w:lang w:val="en-US"/>
              </w:rPr>
              <w:t>20011</w:t>
            </w:r>
          </w:p>
        </w:tc>
      </w:tr>
      <w:tr w:rsidR="00754EAF" w14:paraId="26DC99C5" w14:textId="77777777" w:rsidTr="00A2153E">
        <w:trPr>
          <w:trHeight w:val="1050"/>
        </w:trPr>
        <w:tc>
          <w:tcPr>
            <w:tcW w:w="2305" w:type="dxa"/>
            <w:tcBorders>
              <w:top w:val="single" w:sz="4" w:space="0" w:color="auto"/>
              <w:left w:val="single" w:sz="4" w:space="0" w:color="auto"/>
              <w:bottom w:val="single" w:sz="4" w:space="0" w:color="auto"/>
              <w:right w:val="single" w:sz="4" w:space="0" w:color="auto"/>
            </w:tcBorders>
            <w:hideMark/>
          </w:tcPr>
          <w:p w14:paraId="38A1543C" w14:textId="77777777" w:rsidR="00754EAF" w:rsidRDefault="00754EAF" w:rsidP="00A2153E">
            <w:pPr>
              <w:rPr>
                <w:rFonts w:ascii="Calibri" w:hAnsi="Calibri" w:cs="Calibri"/>
                <w:color w:val="000000" w:themeColor="text1"/>
                <w:shd w:val="clear" w:color="auto" w:fill="FFFFFF"/>
                <w:lang w:val="en-US"/>
              </w:rPr>
            </w:pPr>
            <w:r>
              <w:rPr>
                <w:rFonts w:ascii="Calibri" w:hAnsi="Calibri" w:cs="Calibri"/>
                <w:lang w:val="en-US"/>
              </w:rPr>
              <w:t>Vascular/heart problems diagnosed by doctor</w:t>
            </w:r>
          </w:p>
        </w:tc>
        <w:tc>
          <w:tcPr>
            <w:tcW w:w="2306" w:type="dxa"/>
            <w:tcBorders>
              <w:top w:val="single" w:sz="4" w:space="0" w:color="auto"/>
              <w:left w:val="single" w:sz="4" w:space="0" w:color="auto"/>
              <w:bottom w:val="single" w:sz="4" w:space="0" w:color="auto"/>
              <w:right w:val="single" w:sz="4" w:space="0" w:color="auto"/>
            </w:tcBorders>
            <w:hideMark/>
          </w:tcPr>
          <w:p w14:paraId="20294E4D" w14:textId="77777777" w:rsidR="00754EAF" w:rsidRDefault="00754EAF" w:rsidP="00A2153E">
            <w:pPr>
              <w:rPr>
                <w:rFonts w:ascii="Calibri" w:hAnsi="Calibri" w:cs="Calibri"/>
                <w:color w:val="000000" w:themeColor="text1"/>
                <w:shd w:val="clear" w:color="auto" w:fill="FFFFFF"/>
              </w:rPr>
            </w:pPr>
            <w:r>
              <w:rPr>
                <w:rFonts w:ascii="Calibri" w:hAnsi="Calibri" w:cs="Calibri"/>
                <w:lang w:val="en-US"/>
              </w:rPr>
              <w:t>6150</w:t>
            </w:r>
          </w:p>
        </w:tc>
        <w:tc>
          <w:tcPr>
            <w:tcW w:w="2305" w:type="dxa"/>
            <w:tcBorders>
              <w:top w:val="single" w:sz="4" w:space="0" w:color="auto"/>
              <w:left w:val="single" w:sz="4" w:space="0" w:color="auto"/>
              <w:bottom w:val="single" w:sz="4" w:space="0" w:color="auto"/>
              <w:right w:val="single" w:sz="4" w:space="0" w:color="auto"/>
            </w:tcBorders>
            <w:hideMark/>
          </w:tcPr>
          <w:p w14:paraId="6BADA4E8" w14:textId="77777777" w:rsidR="00754EAF" w:rsidRDefault="00754EAF" w:rsidP="00A2153E">
            <w:pPr>
              <w:rPr>
                <w:rFonts w:ascii="Calibri" w:hAnsi="Calibri" w:cs="Calibri"/>
                <w:color w:val="000000" w:themeColor="text1"/>
                <w:shd w:val="clear" w:color="auto" w:fill="FFFFFF"/>
                <w:lang w:val="en-US"/>
              </w:rPr>
            </w:pPr>
            <w:r>
              <w:rPr>
                <w:rFonts w:ascii="Calibri" w:hAnsi="Calibri" w:cs="Calibri"/>
                <w:lang w:val="en-US"/>
              </w:rPr>
              <w:t>Age heart attack diagnosed</w:t>
            </w:r>
          </w:p>
        </w:tc>
        <w:tc>
          <w:tcPr>
            <w:tcW w:w="2308" w:type="dxa"/>
            <w:tcBorders>
              <w:top w:val="single" w:sz="4" w:space="0" w:color="auto"/>
              <w:left w:val="single" w:sz="4" w:space="0" w:color="auto"/>
              <w:bottom w:val="single" w:sz="4" w:space="0" w:color="auto"/>
              <w:right w:val="single" w:sz="4" w:space="0" w:color="auto"/>
            </w:tcBorders>
            <w:hideMark/>
          </w:tcPr>
          <w:p w14:paraId="7F9C3650" w14:textId="77777777" w:rsidR="00754EAF" w:rsidRDefault="00754EAF" w:rsidP="00A2153E">
            <w:pPr>
              <w:rPr>
                <w:rFonts w:ascii="Calibri" w:hAnsi="Calibri" w:cs="Calibri"/>
                <w:color w:val="000000" w:themeColor="text1"/>
                <w:shd w:val="clear" w:color="auto" w:fill="FFFFFF"/>
              </w:rPr>
            </w:pPr>
            <w:r>
              <w:rPr>
                <w:rFonts w:ascii="Calibri" w:hAnsi="Calibri" w:cs="Calibri"/>
                <w:lang w:val="en-US"/>
              </w:rPr>
              <w:t>3894</w:t>
            </w:r>
          </w:p>
        </w:tc>
      </w:tr>
      <w:tr w:rsidR="00754EAF" w14:paraId="610613FA" w14:textId="77777777" w:rsidTr="00A2153E">
        <w:trPr>
          <w:trHeight w:val="1050"/>
        </w:trPr>
        <w:tc>
          <w:tcPr>
            <w:tcW w:w="2305" w:type="dxa"/>
            <w:tcBorders>
              <w:top w:val="single" w:sz="4" w:space="0" w:color="auto"/>
              <w:left w:val="single" w:sz="4" w:space="0" w:color="auto"/>
              <w:bottom w:val="single" w:sz="4" w:space="0" w:color="auto"/>
              <w:right w:val="single" w:sz="4" w:space="0" w:color="auto"/>
            </w:tcBorders>
            <w:hideMark/>
          </w:tcPr>
          <w:p w14:paraId="7803D409" w14:textId="77777777" w:rsidR="00754EAF" w:rsidRDefault="00754EAF" w:rsidP="00A2153E">
            <w:pPr>
              <w:rPr>
                <w:rFonts w:ascii="Calibri" w:hAnsi="Calibri" w:cs="Calibri"/>
                <w:color w:val="000000" w:themeColor="text1"/>
                <w:shd w:val="clear" w:color="auto" w:fill="FFFFFF"/>
              </w:rPr>
            </w:pPr>
            <w:r>
              <w:rPr>
                <w:rFonts w:ascii="Calibri" w:hAnsi="Calibri" w:cs="Calibri"/>
                <w:lang w:val="en-US"/>
              </w:rPr>
              <w:t>Diabetes diagnosed by doctor</w:t>
            </w:r>
          </w:p>
        </w:tc>
        <w:tc>
          <w:tcPr>
            <w:tcW w:w="2306" w:type="dxa"/>
            <w:tcBorders>
              <w:top w:val="single" w:sz="4" w:space="0" w:color="auto"/>
              <w:left w:val="single" w:sz="4" w:space="0" w:color="auto"/>
              <w:bottom w:val="single" w:sz="4" w:space="0" w:color="auto"/>
              <w:right w:val="single" w:sz="4" w:space="0" w:color="auto"/>
            </w:tcBorders>
            <w:hideMark/>
          </w:tcPr>
          <w:p w14:paraId="45EA4352" w14:textId="77777777" w:rsidR="00754EAF" w:rsidRDefault="00754EAF" w:rsidP="00A2153E">
            <w:pPr>
              <w:rPr>
                <w:rFonts w:ascii="Calibri" w:hAnsi="Calibri" w:cs="Calibri"/>
                <w:color w:val="000000" w:themeColor="text1"/>
                <w:shd w:val="clear" w:color="auto" w:fill="FFFFFF"/>
              </w:rPr>
            </w:pPr>
            <w:r>
              <w:rPr>
                <w:rFonts w:ascii="Calibri" w:hAnsi="Calibri" w:cs="Calibri"/>
                <w:lang w:val="en-US"/>
              </w:rPr>
              <w:t>2443</w:t>
            </w:r>
          </w:p>
        </w:tc>
        <w:tc>
          <w:tcPr>
            <w:tcW w:w="2305" w:type="dxa"/>
            <w:tcBorders>
              <w:top w:val="single" w:sz="4" w:space="0" w:color="auto"/>
              <w:left w:val="single" w:sz="4" w:space="0" w:color="auto"/>
              <w:bottom w:val="single" w:sz="4" w:space="0" w:color="auto"/>
              <w:right w:val="single" w:sz="4" w:space="0" w:color="auto"/>
            </w:tcBorders>
            <w:hideMark/>
          </w:tcPr>
          <w:p w14:paraId="472589EA" w14:textId="77777777" w:rsidR="00754EAF" w:rsidRDefault="00754EAF" w:rsidP="00A2153E">
            <w:pPr>
              <w:rPr>
                <w:rFonts w:ascii="Calibri" w:hAnsi="Calibri" w:cs="Calibri"/>
                <w:color w:val="000000" w:themeColor="text1"/>
                <w:shd w:val="clear" w:color="auto" w:fill="FFFFFF"/>
                <w:lang w:val="en-US"/>
              </w:rPr>
            </w:pPr>
            <w:r>
              <w:rPr>
                <w:rFonts w:ascii="Calibri" w:hAnsi="Calibri" w:cs="Calibri"/>
                <w:lang w:val="en-US"/>
              </w:rPr>
              <w:t>Age diabetes diagnosed</w:t>
            </w:r>
          </w:p>
        </w:tc>
        <w:tc>
          <w:tcPr>
            <w:tcW w:w="2308" w:type="dxa"/>
            <w:tcBorders>
              <w:top w:val="single" w:sz="4" w:space="0" w:color="auto"/>
              <w:left w:val="single" w:sz="4" w:space="0" w:color="auto"/>
              <w:bottom w:val="single" w:sz="4" w:space="0" w:color="auto"/>
              <w:right w:val="single" w:sz="4" w:space="0" w:color="auto"/>
            </w:tcBorders>
            <w:hideMark/>
          </w:tcPr>
          <w:p w14:paraId="0628A9C8" w14:textId="77777777" w:rsidR="00754EAF" w:rsidRDefault="00754EAF" w:rsidP="00A2153E">
            <w:pPr>
              <w:rPr>
                <w:rFonts w:ascii="Calibri" w:hAnsi="Calibri" w:cs="Calibri"/>
                <w:color w:val="000000" w:themeColor="text1"/>
                <w:shd w:val="clear" w:color="auto" w:fill="FFFFFF"/>
              </w:rPr>
            </w:pPr>
            <w:r>
              <w:rPr>
                <w:rFonts w:ascii="Calibri" w:hAnsi="Calibri" w:cs="Calibri"/>
                <w:lang w:val="en-US"/>
              </w:rPr>
              <w:t>2976</w:t>
            </w:r>
          </w:p>
        </w:tc>
      </w:tr>
      <w:tr w:rsidR="00754EAF" w14:paraId="22D73C58" w14:textId="77777777" w:rsidTr="00A2153E">
        <w:trPr>
          <w:trHeight w:val="1050"/>
        </w:trPr>
        <w:tc>
          <w:tcPr>
            <w:tcW w:w="2305" w:type="dxa"/>
            <w:tcBorders>
              <w:top w:val="single" w:sz="4" w:space="0" w:color="auto"/>
              <w:left w:val="single" w:sz="4" w:space="0" w:color="auto"/>
              <w:bottom w:val="single" w:sz="4" w:space="0" w:color="auto"/>
              <w:right w:val="single" w:sz="4" w:space="0" w:color="auto"/>
            </w:tcBorders>
          </w:tcPr>
          <w:p w14:paraId="4139521C" w14:textId="77777777" w:rsidR="00754EAF" w:rsidRDefault="00754EAF" w:rsidP="00A2153E">
            <w:pPr>
              <w:rPr>
                <w:rFonts w:ascii="Calibri" w:hAnsi="Calibri" w:cs="Calibri"/>
                <w:color w:val="000000" w:themeColor="text1"/>
              </w:rPr>
            </w:pPr>
            <w:r>
              <w:rPr>
                <w:rFonts w:ascii="Calibri" w:hAnsi="Calibri" w:cs="Calibri"/>
                <w:color w:val="000000" w:themeColor="text1"/>
                <w:shd w:val="clear" w:color="auto" w:fill="FFFFFF"/>
              </w:rPr>
              <w:t>Diagnoses - ICD9</w:t>
            </w:r>
          </w:p>
          <w:p w14:paraId="4F0FD26A" w14:textId="77777777" w:rsidR="00754EAF" w:rsidRDefault="00754EAF" w:rsidP="00A2153E">
            <w:pPr>
              <w:rPr>
                <w:rFonts w:ascii="Calibri" w:hAnsi="Calibri" w:cs="Calibri"/>
                <w:color w:val="000000" w:themeColor="text1"/>
                <w:lang w:val="en-US"/>
              </w:rPr>
            </w:pPr>
          </w:p>
        </w:tc>
        <w:tc>
          <w:tcPr>
            <w:tcW w:w="2306" w:type="dxa"/>
            <w:tcBorders>
              <w:top w:val="single" w:sz="4" w:space="0" w:color="auto"/>
              <w:left w:val="single" w:sz="4" w:space="0" w:color="auto"/>
              <w:bottom w:val="single" w:sz="4" w:space="0" w:color="auto"/>
              <w:right w:val="single" w:sz="4" w:space="0" w:color="auto"/>
            </w:tcBorders>
          </w:tcPr>
          <w:p w14:paraId="2D0808F9" w14:textId="77777777" w:rsidR="00754EAF" w:rsidRDefault="00754EAF" w:rsidP="00A2153E">
            <w:pPr>
              <w:rPr>
                <w:rFonts w:ascii="Calibri" w:hAnsi="Calibri" w:cs="Calibri"/>
                <w:color w:val="000000" w:themeColor="text1"/>
              </w:rPr>
            </w:pPr>
            <w:r>
              <w:rPr>
                <w:rFonts w:ascii="Calibri" w:hAnsi="Calibri" w:cs="Calibri"/>
                <w:color w:val="000000" w:themeColor="text1"/>
                <w:shd w:val="clear" w:color="auto" w:fill="FFFFFF"/>
              </w:rPr>
              <w:t>41271</w:t>
            </w:r>
          </w:p>
          <w:p w14:paraId="284CF17B" w14:textId="77777777" w:rsidR="00754EAF" w:rsidRDefault="00754EAF" w:rsidP="00A2153E">
            <w:pPr>
              <w:rPr>
                <w:rFonts w:ascii="Calibri" w:hAnsi="Calibri" w:cs="Calibri"/>
                <w:color w:val="000000" w:themeColor="text1"/>
                <w:lang w:val="en-GB"/>
              </w:rPr>
            </w:pPr>
          </w:p>
        </w:tc>
        <w:tc>
          <w:tcPr>
            <w:tcW w:w="2305" w:type="dxa"/>
            <w:tcBorders>
              <w:top w:val="single" w:sz="4" w:space="0" w:color="auto"/>
              <w:left w:val="single" w:sz="4" w:space="0" w:color="auto"/>
              <w:bottom w:val="single" w:sz="4" w:space="0" w:color="auto"/>
              <w:right w:val="single" w:sz="4" w:space="0" w:color="auto"/>
            </w:tcBorders>
          </w:tcPr>
          <w:p w14:paraId="2AD8B7ED" w14:textId="77777777" w:rsidR="00754EAF" w:rsidRDefault="00754EAF" w:rsidP="00A2153E">
            <w:pPr>
              <w:rPr>
                <w:rFonts w:ascii="Calibri" w:hAnsi="Calibri" w:cs="Calibri"/>
                <w:color w:val="000000" w:themeColor="text1"/>
                <w:lang w:val="en-US"/>
              </w:rPr>
            </w:pPr>
            <w:r>
              <w:rPr>
                <w:rFonts w:ascii="Calibri" w:hAnsi="Calibri" w:cs="Calibri"/>
                <w:color w:val="000000" w:themeColor="text1"/>
                <w:shd w:val="clear" w:color="auto" w:fill="FFFFFF"/>
                <w:lang w:val="en-US"/>
              </w:rPr>
              <w:t>Date of first in-patient diagnosis - ICD9</w:t>
            </w:r>
          </w:p>
          <w:p w14:paraId="5714DA6F" w14:textId="77777777" w:rsidR="00754EAF" w:rsidRDefault="00754EAF" w:rsidP="00A2153E">
            <w:pPr>
              <w:rPr>
                <w:rFonts w:ascii="Calibri" w:hAnsi="Calibri" w:cs="Calibri"/>
                <w:color w:val="000000" w:themeColor="text1"/>
                <w:lang w:val="en-US"/>
              </w:rPr>
            </w:pPr>
          </w:p>
        </w:tc>
        <w:tc>
          <w:tcPr>
            <w:tcW w:w="2308" w:type="dxa"/>
            <w:tcBorders>
              <w:top w:val="single" w:sz="4" w:space="0" w:color="auto"/>
              <w:left w:val="single" w:sz="4" w:space="0" w:color="auto"/>
              <w:bottom w:val="single" w:sz="4" w:space="0" w:color="auto"/>
              <w:right w:val="single" w:sz="4" w:space="0" w:color="auto"/>
            </w:tcBorders>
          </w:tcPr>
          <w:p w14:paraId="560CBE46" w14:textId="77777777" w:rsidR="00754EAF" w:rsidRDefault="00754EAF" w:rsidP="00A2153E">
            <w:pPr>
              <w:rPr>
                <w:rFonts w:ascii="Calibri" w:hAnsi="Calibri" w:cs="Calibri"/>
                <w:color w:val="000000" w:themeColor="text1"/>
              </w:rPr>
            </w:pPr>
            <w:r>
              <w:rPr>
                <w:rFonts w:ascii="Calibri" w:hAnsi="Calibri" w:cs="Calibri"/>
                <w:color w:val="000000" w:themeColor="text1"/>
                <w:shd w:val="clear" w:color="auto" w:fill="FFFFFF"/>
              </w:rPr>
              <w:t>41281</w:t>
            </w:r>
          </w:p>
          <w:p w14:paraId="41EC5720" w14:textId="77777777" w:rsidR="00754EAF" w:rsidRDefault="00754EAF" w:rsidP="00A2153E">
            <w:pPr>
              <w:rPr>
                <w:rFonts w:ascii="Calibri" w:hAnsi="Calibri" w:cs="Calibri"/>
                <w:color w:val="000000" w:themeColor="text1"/>
                <w:lang w:val="en-GB"/>
              </w:rPr>
            </w:pPr>
          </w:p>
        </w:tc>
      </w:tr>
      <w:tr w:rsidR="00754EAF" w14:paraId="4C9F0965" w14:textId="77777777" w:rsidTr="00A2153E">
        <w:trPr>
          <w:trHeight w:val="1050"/>
        </w:trPr>
        <w:tc>
          <w:tcPr>
            <w:tcW w:w="2305" w:type="dxa"/>
            <w:tcBorders>
              <w:top w:val="single" w:sz="4" w:space="0" w:color="auto"/>
              <w:left w:val="single" w:sz="4" w:space="0" w:color="auto"/>
              <w:bottom w:val="single" w:sz="4" w:space="0" w:color="auto"/>
              <w:right w:val="single" w:sz="4" w:space="0" w:color="auto"/>
            </w:tcBorders>
            <w:hideMark/>
          </w:tcPr>
          <w:p w14:paraId="3632CE04" w14:textId="77777777" w:rsidR="00754EAF" w:rsidRDefault="00754EAF" w:rsidP="00A2153E">
            <w:pPr>
              <w:rPr>
                <w:rFonts w:ascii="Calibri" w:hAnsi="Calibri" w:cs="Calibri"/>
                <w:color w:val="000000" w:themeColor="text1"/>
                <w:lang w:val="en-US"/>
              </w:rPr>
            </w:pPr>
            <w:r>
              <w:rPr>
                <w:rFonts w:ascii="Calibri" w:hAnsi="Calibri" w:cs="Calibri"/>
                <w:color w:val="000000" w:themeColor="text1"/>
                <w:lang w:val="en-US"/>
              </w:rPr>
              <w:t>Diagnoses – main ICD9</w:t>
            </w:r>
          </w:p>
        </w:tc>
        <w:tc>
          <w:tcPr>
            <w:tcW w:w="2306" w:type="dxa"/>
            <w:tcBorders>
              <w:top w:val="single" w:sz="4" w:space="0" w:color="auto"/>
              <w:left w:val="single" w:sz="4" w:space="0" w:color="auto"/>
              <w:bottom w:val="single" w:sz="4" w:space="0" w:color="auto"/>
              <w:right w:val="single" w:sz="4" w:space="0" w:color="auto"/>
            </w:tcBorders>
            <w:hideMark/>
          </w:tcPr>
          <w:p w14:paraId="56164552" w14:textId="77777777" w:rsidR="00754EAF" w:rsidRDefault="00754EAF" w:rsidP="00A2153E">
            <w:pPr>
              <w:rPr>
                <w:rFonts w:ascii="Calibri" w:hAnsi="Calibri" w:cs="Calibri"/>
                <w:color w:val="000000" w:themeColor="text1"/>
                <w:lang w:val="en-US"/>
              </w:rPr>
            </w:pPr>
            <w:r>
              <w:rPr>
                <w:rFonts w:ascii="Calibri" w:hAnsi="Calibri" w:cs="Calibri"/>
                <w:color w:val="000000" w:themeColor="text1"/>
              </w:rPr>
              <w:t>41203</w:t>
            </w:r>
          </w:p>
        </w:tc>
        <w:tc>
          <w:tcPr>
            <w:tcW w:w="2305" w:type="dxa"/>
            <w:tcBorders>
              <w:top w:val="single" w:sz="4" w:space="0" w:color="auto"/>
              <w:left w:val="single" w:sz="4" w:space="0" w:color="auto"/>
              <w:bottom w:val="single" w:sz="4" w:space="0" w:color="auto"/>
              <w:right w:val="single" w:sz="4" w:space="0" w:color="auto"/>
            </w:tcBorders>
          </w:tcPr>
          <w:p w14:paraId="2F6E3AC6" w14:textId="77777777" w:rsidR="00754EAF" w:rsidRDefault="00754EAF" w:rsidP="00A2153E">
            <w:pPr>
              <w:rPr>
                <w:rFonts w:ascii="Calibri" w:hAnsi="Calibri" w:cs="Calibri"/>
                <w:color w:val="000000" w:themeColor="text1"/>
                <w:lang w:val="en-US"/>
              </w:rPr>
            </w:pPr>
            <w:r>
              <w:rPr>
                <w:rFonts w:ascii="Calibri" w:hAnsi="Calibri" w:cs="Calibri"/>
                <w:color w:val="000000" w:themeColor="text1"/>
                <w:shd w:val="clear" w:color="auto" w:fill="FFFFFF"/>
                <w:lang w:val="en-US"/>
              </w:rPr>
              <w:t>Date of first in-patient diagnosis - main ICD9</w:t>
            </w:r>
          </w:p>
          <w:p w14:paraId="32D18B8E" w14:textId="77777777" w:rsidR="00754EAF" w:rsidRDefault="00754EAF" w:rsidP="00A2153E">
            <w:pPr>
              <w:rPr>
                <w:rFonts w:ascii="Calibri" w:hAnsi="Calibri" w:cs="Calibri"/>
                <w:color w:val="000000" w:themeColor="text1"/>
                <w:lang w:val="en-US"/>
              </w:rPr>
            </w:pPr>
          </w:p>
        </w:tc>
        <w:tc>
          <w:tcPr>
            <w:tcW w:w="2308" w:type="dxa"/>
            <w:tcBorders>
              <w:top w:val="single" w:sz="4" w:space="0" w:color="auto"/>
              <w:left w:val="single" w:sz="4" w:space="0" w:color="auto"/>
              <w:bottom w:val="single" w:sz="4" w:space="0" w:color="auto"/>
              <w:right w:val="single" w:sz="4" w:space="0" w:color="auto"/>
            </w:tcBorders>
          </w:tcPr>
          <w:p w14:paraId="2BE3A752" w14:textId="77777777" w:rsidR="00754EAF" w:rsidRDefault="00754EAF" w:rsidP="00A2153E">
            <w:pPr>
              <w:rPr>
                <w:rFonts w:ascii="Calibri" w:hAnsi="Calibri" w:cs="Calibri"/>
                <w:color w:val="000000" w:themeColor="text1"/>
              </w:rPr>
            </w:pPr>
            <w:r>
              <w:rPr>
                <w:rFonts w:ascii="Calibri" w:hAnsi="Calibri" w:cs="Calibri"/>
                <w:color w:val="000000" w:themeColor="text1"/>
                <w:shd w:val="clear" w:color="auto" w:fill="FFFFFF"/>
              </w:rPr>
              <w:t>41263</w:t>
            </w:r>
          </w:p>
          <w:p w14:paraId="5796BB5F" w14:textId="77777777" w:rsidR="00754EAF" w:rsidRDefault="00754EAF" w:rsidP="00A2153E">
            <w:pPr>
              <w:rPr>
                <w:rFonts w:ascii="Calibri" w:hAnsi="Calibri" w:cs="Calibri"/>
                <w:color w:val="000000" w:themeColor="text1"/>
                <w:lang w:val="en-US"/>
              </w:rPr>
            </w:pPr>
          </w:p>
        </w:tc>
      </w:tr>
      <w:tr w:rsidR="00754EAF" w14:paraId="57401E46" w14:textId="77777777" w:rsidTr="00A2153E">
        <w:trPr>
          <w:trHeight w:val="532"/>
        </w:trPr>
        <w:tc>
          <w:tcPr>
            <w:tcW w:w="2305" w:type="dxa"/>
            <w:tcBorders>
              <w:top w:val="single" w:sz="4" w:space="0" w:color="auto"/>
              <w:left w:val="single" w:sz="4" w:space="0" w:color="auto"/>
              <w:bottom w:val="single" w:sz="4" w:space="0" w:color="auto"/>
              <w:right w:val="single" w:sz="4" w:space="0" w:color="auto"/>
            </w:tcBorders>
            <w:hideMark/>
          </w:tcPr>
          <w:p w14:paraId="0C385863" w14:textId="77777777" w:rsidR="00754EAF" w:rsidRDefault="00754EAF" w:rsidP="00A2153E">
            <w:pPr>
              <w:rPr>
                <w:lang w:val="en-US"/>
              </w:rPr>
            </w:pPr>
            <w:r>
              <w:rPr>
                <w:rFonts w:ascii="Calibri" w:hAnsi="Calibri" w:cs="Calibri"/>
                <w:color w:val="000000" w:themeColor="text1"/>
                <w:lang w:val="en-US"/>
              </w:rPr>
              <w:t>Diagnoses – secondary ICD9</w:t>
            </w:r>
          </w:p>
        </w:tc>
        <w:tc>
          <w:tcPr>
            <w:tcW w:w="2306" w:type="dxa"/>
            <w:tcBorders>
              <w:top w:val="single" w:sz="4" w:space="0" w:color="auto"/>
              <w:left w:val="single" w:sz="4" w:space="0" w:color="auto"/>
              <w:bottom w:val="single" w:sz="4" w:space="0" w:color="auto"/>
              <w:right w:val="single" w:sz="4" w:space="0" w:color="auto"/>
            </w:tcBorders>
            <w:hideMark/>
          </w:tcPr>
          <w:p w14:paraId="68A388A2" w14:textId="77777777" w:rsidR="00754EAF" w:rsidRDefault="00754EAF" w:rsidP="00A2153E">
            <w:pPr>
              <w:rPr>
                <w:rFonts w:ascii="Calibri" w:hAnsi="Calibri" w:cs="Calibri"/>
                <w:color w:val="000000" w:themeColor="text1"/>
                <w:lang w:val="en-US"/>
              </w:rPr>
            </w:pPr>
            <w:r>
              <w:rPr>
                <w:rFonts w:ascii="Calibri" w:hAnsi="Calibri" w:cs="Calibri"/>
                <w:color w:val="000000" w:themeColor="text1"/>
              </w:rPr>
              <w:t>41205</w:t>
            </w:r>
          </w:p>
        </w:tc>
        <w:tc>
          <w:tcPr>
            <w:tcW w:w="2305" w:type="dxa"/>
            <w:tcBorders>
              <w:top w:val="single" w:sz="4" w:space="0" w:color="auto"/>
              <w:left w:val="single" w:sz="4" w:space="0" w:color="auto"/>
              <w:bottom w:val="single" w:sz="4" w:space="0" w:color="auto"/>
              <w:right w:val="single" w:sz="4" w:space="0" w:color="auto"/>
            </w:tcBorders>
            <w:hideMark/>
          </w:tcPr>
          <w:p w14:paraId="64BD914E" w14:textId="77777777" w:rsidR="00754EAF" w:rsidRDefault="00754EAF" w:rsidP="00A2153E">
            <w:pPr>
              <w:rPr>
                <w:rFonts w:ascii="Calibri" w:hAnsi="Calibri" w:cs="Calibri"/>
                <w:color w:val="000000" w:themeColor="text1"/>
                <w:lang w:val="en-US"/>
              </w:rPr>
            </w:pPr>
            <w:r>
              <w:rPr>
                <w:rFonts w:ascii="Calibri" w:hAnsi="Calibri" w:cs="Calibri"/>
                <w:color w:val="000000" w:themeColor="text1"/>
                <w:lang w:val="en-US"/>
              </w:rPr>
              <w:t>-</w:t>
            </w:r>
          </w:p>
        </w:tc>
        <w:tc>
          <w:tcPr>
            <w:tcW w:w="2308" w:type="dxa"/>
            <w:tcBorders>
              <w:top w:val="single" w:sz="4" w:space="0" w:color="auto"/>
              <w:left w:val="single" w:sz="4" w:space="0" w:color="auto"/>
              <w:bottom w:val="single" w:sz="4" w:space="0" w:color="auto"/>
              <w:right w:val="single" w:sz="4" w:space="0" w:color="auto"/>
            </w:tcBorders>
            <w:hideMark/>
          </w:tcPr>
          <w:p w14:paraId="577C5119" w14:textId="77777777" w:rsidR="00754EAF" w:rsidRDefault="00754EAF" w:rsidP="00A2153E">
            <w:pPr>
              <w:rPr>
                <w:rFonts w:ascii="Calibri" w:hAnsi="Calibri" w:cs="Calibri"/>
                <w:color w:val="000000" w:themeColor="text1"/>
                <w:lang w:val="en-US"/>
              </w:rPr>
            </w:pPr>
            <w:r>
              <w:rPr>
                <w:rFonts w:ascii="Calibri" w:hAnsi="Calibri" w:cs="Calibri"/>
                <w:color w:val="000000" w:themeColor="text1"/>
                <w:lang w:val="en-US"/>
              </w:rPr>
              <w:t>-</w:t>
            </w:r>
          </w:p>
        </w:tc>
      </w:tr>
      <w:tr w:rsidR="00754EAF" w14:paraId="0435B116" w14:textId="77777777" w:rsidTr="00A2153E">
        <w:trPr>
          <w:trHeight w:val="258"/>
        </w:trPr>
        <w:tc>
          <w:tcPr>
            <w:tcW w:w="2305" w:type="dxa"/>
            <w:tcBorders>
              <w:top w:val="single" w:sz="4" w:space="0" w:color="auto"/>
              <w:left w:val="single" w:sz="4" w:space="0" w:color="auto"/>
              <w:bottom w:val="single" w:sz="4" w:space="0" w:color="auto"/>
              <w:right w:val="single" w:sz="4" w:space="0" w:color="auto"/>
            </w:tcBorders>
            <w:hideMark/>
          </w:tcPr>
          <w:p w14:paraId="51D63660" w14:textId="77777777" w:rsidR="00754EAF" w:rsidRDefault="00754EAF" w:rsidP="00A2153E">
            <w:pPr>
              <w:rPr>
                <w:rFonts w:ascii="Calibri" w:hAnsi="Calibri" w:cs="Calibri"/>
                <w:lang w:val="en-US"/>
              </w:rPr>
            </w:pPr>
            <w:r>
              <w:rPr>
                <w:rFonts w:ascii="Calibri" w:hAnsi="Calibri" w:cs="Calibri"/>
                <w:lang w:val="en-US"/>
              </w:rPr>
              <w:t>Diagnoses - ICD10</w:t>
            </w:r>
          </w:p>
        </w:tc>
        <w:tc>
          <w:tcPr>
            <w:tcW w:w="2306" w:type="dxa"/>
            <w:tcBorders>
              <w:top w:val="single" w:sz="4" w:space="0" w:color="auto"/>
              <w:left w:val="single" w:sz="4" w:space="0" w:color="auto"/>
              <w:bottom w:val="single" w:sz="4" w:space="0" w:color="auto"/>
              <w:right w:val="single" w:sz="4" w:space="0" w:color="auto"/>
            </w:tcBorders>
            <w:hideMark/>
          </w:tcPr>
          <w:p w14:paraId="21F0DDA3" w14:textId="77777777" w:rsidR="00754EAF" w:rsidRDefault="00754EAF" w:rsidP="00A2153E">
            <w:pPr>
              <w:rPr>
                <w:rFonts w:ascii="Calibri" w:hAnsi="Calibri" w:cs="Calibri"/>
                <w:lang w:val="en-US"/>
              </w:rPr>
            </w:pPr>
            <w:r>
              <w:rPr>
                <w:rFonts w:ascii="Calibri" w:hAnsi="Calibri" w:cs="Calibri"/>
                <w:lang w:val="en-US"/>
              </w:rPr>
              <w:t>41270</w:t>
            </w:r>
          </w:p>
        </w:tc>
        <w:tc>
          <w:tcPr>
            <w:tcW w:w="2305" w:type="dxa"/>
            <w:tcBorders>
              <w:top w:val="single" w:sz="4" w:space="0" w:color="auto"/>
              <w:left w:val="single" w:sz="4" w:space="0" w:color="auto"/>
              <w:bottom w:val="single" w:sz="4" w:space="0" w:color="auto"/>
              <w:right w:val="single" w:sz="4" w:space="0" w:color="auto"/>
            </w:tcBorders>
            <w:hideMark/>
          </w:tcPr>
          <w:p w14:paraId="30738B1C" w14:textId="77777777" w:rsidR="00754EAF" w:rsidRDefault="00754EAF" w:rsidP="00A2153E">
            <w:pPr>
              <w:rPr>
                <w:rFonts w:ascii="Calibri" w:hAnsi="Calibri" w:cs="Calibri"/>
                <w:lang w:val="en-US"/>
              </w:rPr>
            </w:pPr>
            <w:r>
              <w:rPr>
                <w:rFonts w:ascii="Calibri" w:hAnsi="Calibri" w:cs="Calibri"/>
                <w:lang w:val="en-US"/>
              </w:rPr>
              <w:t>Date of first in-patient diagnosis - ICD10</w:t>
            </w:r>
          </w:p>
        </w:tc>
        <w:tc>
          <w:tcPr>
            <w:tcW w:w="2308" w:type="dxa"/>
            <w:tcBorders>
              <w:top w:val="single" w:sz="4" w:space="0" w:color="auto"/>
              <w:left w:val="single" w:sz="4" w:space="0" w:color="auto"/>
              <w:bottom w:val="single" w:sz="4" w:space="0" w:color="auto"/>
              <w:right w:val="single" w:sz="4" w:space="0" w:color="auto"/>
            </w:tcBorders>
            <w:hideMark/>
          </w:tcPr>
          <w:p w14:paraId="5BAC834B" w14:textId="77777777" w:rsidR="00754EAF" w:rsidRDefault="00754EAF" w:rsidP="00A2153E">
            <w:pPr>
              <w:rPr>
                <w:rFonts w:ascii="Calibri" w:hAnsi="Calibri" w:cs="Calibri"/>
                <w:lang w:val="en-US"/>
              </w:rPr>
            </w:pPr>
            <w:r>
              <w:rPr>
                <w:rFonts w:ascii="Calibri" w:hAnsi="Calibri" w:cs="Calibri"/>
                <w:lang w:val="en-US"/>
              </w:rPr>
              <w:t>41280</w:t>
            </w:r>
          </w:p>
        </w:tc>
      </w:tr>
      <w:tr w:rsidR="00754EAF" w14:paraId="67D4BBA1" w14:textId="77777777" w:rsidTr="00A2153E">
        <w:trPr>
          <w:trHeight w:val="258"/>
        </w:trPr>
        <w:tc>
          <w:tcPr>
            <w:tcW w:w="2305" w:type="dxa"/>
            <w:tcBorders>
              <w:top w:val="single" w:sz="4" w:space="0" w:color="auto"/>
              <w:left w:val="single" w:sz="4" w:space="0" w:color="auto"/>
              <w:bottom w:val="single" w:sz="4" w:space="0" w:color="auto"/>
              <w:right w:val="single" w:sz="4" w:space="0" w:color="auto"/>
            </w:tcBorders>
            <w:hideMark/>
          </w:tcPr>
          <w:p w14:paraId="1AD74E7E" w14:textId="77777777" w:rsidR="00754EAF" w:rsidRDefault="00754EAF" w:rsidP="00A2153E">
            <w:pPr>
              <w:rPr>
                <w:rFonts w:ascii="Calibri" w:hAnsi="Calibri" w:cs="Calibri"/>
                <w:lang w:val="en-US"/>
              </w:rPr>
            </w:pPr>
            <w:r>
              <w:rPr>
                <w:rFonts w:ascii="Calibri" w:hAnsi="Calibri" w:cs="Calibri"/>
                <w:lang w:val="en-US"/>
              </w:rPr>
              <w:t>Diagnoses - main ICD10</w:t>
            </w:r>
          </w:p>
        </w:tc>
        <w:tc>
          <w:tcPr>
            <w:tcW w:w="2306" w:type="dxa"/>
            <w:tcBorders>
              <w:top w:val="single" w:sz="4" w:space="0" w:color="auto"/>
              <w:left w:val="single" w:sz="4" w:space="0" w:color="auto"/>
              <w:bottom w:val="single" w:sz="4" w:space="0" w:color="auto"/>
              <w:right w:val="single" w:sz="4" w:space="0" w:color="auto"/>
            </w:tcBorders>
            <w:hideMark/>
          </w:tcPr>
          <w:p w14:paraId="50EB05C6" w14:textId="77777777" w:rsidR="00754EAF" w:rsidRDefault="00754EAF" w:rsidP="00A2153E">
            <w:pPr>
              <w:rPr>
                <w:rFonts w:ascii="Calibri" w:hAnsi="Calibri" w:cs="Calibri"/>
                <w:lang w:val="en-US"/>
              </w:rPr>
            </w:pPr>
            <w:r>
              <w:rPr>
                <w:rFonts w:ascii="Calibri" w:hAnsi="Calibri" w:cs="Calibri"/>
                <w:lang w:val="en-US"/>
              </w:rPr>
              <w:t>41202</w:t>
            </w:r>
          </w:p>
        </w:tc>
        <w:tc>
          <w:tcPr>
            <w:tcW w:w="2305" w:type="dxa"/>
            <w:tcBorders>
              <w:top w:val="single" w:sz="4" w:space="0" w:color="auto"/>
              <w:left w:val="single" w:sz="4" w:space="0" w:color="auto"/>
              <w:bottom w:val="single" w:sz="4" w:space="0" w:color="auto"/>
              <w:right w:val="single" w:sz="4" w:space="0" w:color="auto"/>
            </w:tcBorders>
            <w:hideMark/>
          </w:tcPr>
          <w:p w14:paraId="63495A23" w14:textId="77777777" w:rsidR="00754EAF" w:rsidRDefault="00754EAF" w:rsidP="00A2153E">
            <w:pPr>
              <w:rPr>
                <w:rFonts w:ascii="Calibri" w:hAnsi="Calibri" w:cs="Calibri"/>
                <w:lang w:val="en-US"/>
              </w:rPr>
            </w:pPr>
            <w:r>
              <w:rPr>
                <w:rFonts w:ascii="Calibri" w:hAnsi="Calibri" w:cs="Calibri"/>
                <w:lang w:val="en-US"/>
              </w:rPr>
              <w:t>Date of first in-patient diagnosis - main ICD10</w:t>
            </w:r>
          </w:p>
        </w:tc>
        <w:tc>
          <w:tcPr>
            <w:tcW w:w="2308" w:type="dxa"/>
            <w:tcBorders>
              <w:top w:val="single" w:sz="4" w:space="0" w:color="auto"/>
              <w:left w:val="single" w:sz="4" w:space="0" w:color="auto"/>
              <w:bottom w:val="single" w:sz="4" w:space="0" w:color="auto"/>
              <w:right w:val="single" w:sz="4" w:space="0" w:color="auto"/>
            </w:tcBorders>
            <w:hideMark/>
          </w:tcPr>
          <w:p w14:paraId="1013EF6C" w14:textId="77777777" w:rsidR="00754EAF" w:rsidRDefault="00754EAF" w:rsidP="00A2153E">
            <w:pPr>
              <w:rPr>
                <w:rFonts w:ascii="Calibri" w:hAnsi="Calibri" w:cs="Calibri"/>
                <w:lang w:val="en-US"/>
              </w:rPr>
            </w:pPr>
            <w:r>
              <w:rPr>
                <w:rFonts w:ascii="Calibri" w:hAnsi="Calibri" w:cs="Calibri"/>
                <w:lang w:val="en-US"/>
              </w:rPr>
              <w:t>41262</w:t>
            </w:r>
          </w:p>
        </w:tc>
      </w:tr>
      <w:tr w:rsidR="00754EAF" w14:paraId="41FC7C1B" w14:textId="77777777" w:rsidTr="00A2153E">
        <w:trPr>
          <w:trHeight w:val="258"/>
        </w:trPr>
        <w:tc>
          <w:tcPr>
            <w:tcW w:w="2305" w:type="dxa"/>
            <w:tcBorders>
              <w:top w:val="single" w:sz="4" w:space="0" w:color="auto"/>
              <w:left w:val="single" w:sz="4" w:space="0" w:color="auto"/>
              <w:bottom w:val="single" w:sz="4" w:space="0" w:color="auto"/>
              <w:right w:val="single" w:sz="4" w:space="0" w:color="auto"/>
            </w:tcBorders>
            <w:hideMark/>
          </w:tcPr>
          <w:p w14:paraId="672EEE92" w14:textId="77777777" w:rsidR="00754EAF" w:rsidRDefault="00754EAF" w:rsidP="00A2153E">
            <w:pPr>
              <w:rPr>
                <w:rFonts w:ascii="Calibri" w:hAnsi="Calibri" w:cs="Calibri"/>
                <w:lang w:val="en-US"/>
              </w:rPr>
            </w:pPr>
            <w:r>
              <w:rPr>
                <w:rFonts w:ascii="Calibri" w:hAnsi="Calibri" w:cs="Calibri"/>
                <w:lang w:val="en-US"/>
              </w:rPr>
              <w:t>Diagnoses - secondary ICD10</w:t>
            </w:r>
          </w:p>
        </w:tc>
        <w:tc>
          <w:tcPr>
            <w:tcW w:w="2306" w:type="dxa"/>
            <w:tcBorders>
              <w:top w:val="single" w:sz="4" w:space="0" w:color="auto"/>
              <w:left w:val="single" w:sz="4" w:space="0" w:color="auto"/>
              <w:bottom w:val="single" w:sz="4" w:space="0" w:color="auto"/>
              <w:right w:val="single" w:sz="4" w:space="0" w:color="auto"/>
            </w:tcBorders>
            <w:hideMark/>
          </w:tcPr>
          <w:p w14:paraId="0E834423" w14:textId="77777777" w:rsidR="00754EAF" w:rsidRDefault="00754EAF" w:rsidP="00A2153E">
            <w:pPr>
              <w:rPr>
                <w:rFonts w:ascii="Calibri" w:hAnsi="Calibri" w:cs="Calibri"/>
                <w:lang w:val="en-US"/>
              </w:rPr>
            </w:pPr>
            <w:r>
              <w:rPr>
                <w:rFonts w:ascii="Calibri" w:hAnsi="Calibri" w:cs="Calibri"/>
                <w:lang w:val="en-US"/>
              </w:rPr>
              <w:t>41204</w:t>
            </w:r>
          </w:p>
        </w:tc>
        <w:tc>
          <w:tcPr>
            <w:tcW w:w="2305" w:type="dxa"/>
            <w:tcBorders>
              <w:top w:val="single" w:sz="4" w:space="0" w:color="auto"/>
              <w:left w:val="single" w:sz="4" w:space="0" w:color="auto"/>
              <w:bottom w:val="single" w:sz="4" w:space="0" w:color="auto"/>
              <w:right w:val="single" w:sz="4" w:space="0" w:color="auto"/>
            </w:tcBorders>
            <w:hideMark/>
          </w:tcPr>
          <w:p w14:paraId="5CD9B82C" w14:textId="77777777" w:rsidR="00754EAF" w:rsidRDefault="00754EAF" w:rsidP="00A2153E">
            <w:pPr>
              <w:rPr>
                <w:rFonts w:ascii="Calibri" w:hAnsi="Calibri" w:cs="Calibri"/>
                <w:lang w:val="en-US"/>
              </w:rPr>
            </w:pPr>
            <w:r>
              <w:rPr>
                <w:rFonts w:ascii="Calibri" w:hAnsi="Calibri" w:cs="Calibri"/>
                <w:lang w:val="en-US"/>
              </w:rPr>
              <w:t>-</w:t>
            </w:r>
          </w:p>
        </w:tc>
        <w:tc>
          <w:tcPr>
            <w:tcW w:w="2308" w:type="dxa"/>
            <w:tcBorders>
              <w:top w:val="single" w:sz="4" w:space="0" w:color="auto"/>
              <w:left w:val="single" w:sz="4" w:space="0" w:color="auto"/>
              <w:bottom w:val="single" w:sz="4" w:space="0" w:color="auto"/>
              <w:right w:val="single" w:sz="4" w:space="0" w:color="auto"/>
            </w:tcBorders>
            <w:hideMark/>
          </w:tcPr>
          <w:p w14:paraId="277B5870" w14:textId="77777777" w:rsidR="00754EAF" w:rsidRDefault="00754EAF" w:rsidP="00A2153E">
            <w:pPr>
              <w:rPr>
                <w:rFonts w:ascii="Calibri" w:hAnsi="Calibri" w:cs="Calibri"/>
                <w:lang w:val="en-US"/>
              </w:rPr>
            </w:pPr>
            <w:r>
              <w:rPr>
                <w:rFonts w:ascii="Calibri" w:hAnsi="Calibri" w:cs="Calibri"/>
                <w:lang w:val="en-US"/>
              </w:rPr>
              <w:t>-</w:t>
            </w:r>
          </w:p>
        </w:tc>
      </w:tr>
      <w:tr w:rsidR="00754EAF" w14:paraId="72460C0B" w14:textId="77777777" w:rsidTr="00A2153E">
        <w:trPr>
          <w:trHeight w:val="243"/>
        </w:trPr>
        <w:tc>
          <w:tcPr>
            <w:tcW w:w="2305" w:type="dxa"/>
            <w:tcBorders>
              <w:top w:val="single" w:sz="4" w:space="0" w:color="auto"/>
              <w:left w:val="single" w:sz="4" w:space="0" w:color="auto"/>
              <w:bottom w:val="single" w:sz="4" w:space="0" w:color="auto"/>
              <w:right w:val="single" w:sz="4" w:space="0" w:color="auto"/>
            </w:tcBorders>
            <w:hideMark/>
          </w:tcPr>
          <w:p w14:paraId="0E31F339" w14:textId="77777777" w:rsidR="00754EAF" w:rsidRDefault="00754EAF" w:rsidP="00A2153E">
            <w:pPr>
              <w:rPr>
                <w:rFonts w:ascii="Calibri" w:hAnsi="Calibri" w:cs="Calibri"/>
                <w:lang w:val="en-US"/>
              </w:rPr>
            </w:pPr>
            <w:r>
              <w:rPr>
                <w:rFonts w:ascii="Calibri" w:hAnsi="Calibri" w:cs="Calibri"/>
                <w:lang w:val="en-US"/>
              </w:rPr>
              <w:t>Underlying (primary) cause of death: ICD10</w:t>
            </w:r>
          </w:p>
        </w:tc>
        <w:tc>
          <w:tcPr>
            <w:tcW w:w="2306" w:type="dxa"/>
            <w:tcBorders>
              <w:top w:val="single" w:sz="4" w:space="0" w:color="auto"/>
              <w:left w:val="single" w:sz="4" w:space="0" w:color="auto"/>
              <w:bottom w:val="single" w:sz="4" w:space="0" w:color="auto"/>
              <w:right w:val="single" w:sz="4" w:space="0" w:color="auto"/>
            </w:tcBorders>
            <w:hideMark/>
          </w:tcPr>
          <w:p w14:paraId="2D4C9C43" w14:textId="77777777" w:rsidR="00754EAF" w:rsidRDefault="00754EAF" w:rsidP="00A2153E">
            <w:pPr>
              <w:rPr>
                <w:rFonts w:ascii="Calibri" w:hAnsi="Calibri" w:cs="Calibri"/>
                <w:lang w:val="en-US"/>
              </w:rPr>
            </w:pPr>
            <w:r>
              <w:rPr>
                <w:rFonts w:ascii="Calibri" w:hAnsi="Calibri" w:cs="Calibri"/>
                <w:lang w:val="en-US"/>
              </w:rPr>
              <w:t>40001</w:t>
            </w:r>
          </w:p>
        </w:tc>
        <w:tc>
          <w:tcPr>
            <w:tcW w:w="2305" w:type="dxa"/>
            <w:tcBorders>
              <w:top w:val="single" w:sz="4" w:space="0" w:color="auto"/>
              <w:left w:val="single" w:sz="4" w:space="0" w:color="auto"/>
              <w:bottom w:val="single" w:sz="4" w:space="0" w:color="auto"/>
              <w:right w:val="single" w:sz="4" w:space="0" w:color="auto"/>
            </w:tcBorders>
            <w:hideMark/>
          </w:tcPr>
          <w:p w14:paraId="6F1385E9" w14:textId="77777777" w:rsidR="00754EAF" w:rsidRDefault="00754EAF" w:rsidP="00A2153E">
            <w:pPr>
              <w:rPr>
                <w:rFonts w:ascii="Calibri" w:hAnsi="Calibri" w:cs="Calibri"/>
                <w:lang w:val="en-US"/>
              </w:rPr>
            </w:pPr>
            <w:r>
              <w:rPr>
                <w:rFonts w:ascii="Calibri" w:hAnsi="Calibri" w:cs="Calibri"/>
                <w:lang w:val="en-US"/>
              </w:rPr>
              <w:t>Date of death</w:t>
            </w:r>
          </w:p>
        </w:tc>
        <w:tc>
          <w:tcPr>
            <w:tcW w:w="2308" w:type="dxa"/>
            <w:tcBorders>
              <w:top w:val="single" w:sz="4" w:space="0" w:color="auto"/>
              <w:left w:val="single" w:sz="4" w:space="0" w:color="auto"/>
              <w:bottom w:val="single" w:sz="4" w:space="0" w:color="auto"/>
              <w:right w:val="single" w:sz="4" w:space="0" w:color="auto"/>
            </w:tcBorders>
            <w:hideMark/>
          </w:tcPr>
          <w:p w14:paraId="5B053819" w14:textId="77777777" w:rsidR="00754EAF" w:rsidRDefault="00754EAF" w:rsidP="00A2153E">
            <w:pPr>
              <w:rPr>
                <w:rFonts w:ascii="Calibri" w:hAnsi="Calibri" w:cs="Calibri"/>
                <w:lang w:val="en-US"/>
              </w:rPr>
            </w:pPr>
            <w:r>
              <w:rPr>
                <w:rFonts w:ascii="Calibri" w:hAnsi="Calibri" w:cs="Calibri"/>
                <w:lang w:val="en-US"/>
              </w:rPr>
              <w:t>40000</w:t>
            </w:r>
          </w:p>
        </w:tc>
      </w:tr>
      <w:tr w:rsidR="00754EAF" w14:paraId="1211AB5E" w14:textId="77777777" w:rsidTr="00A2153E">
        <w:trPr>
          <w:trHeight w:val="243"/>
        </w:trPr>
        <w:tc>
          <w:tcPr>
            <w:tcW w:w="2305" w:type="dxa"/>
            <w:tcBorders>
              <w:top w:val="single" w:sz="4" w:space="0" w:color="auto"/>
              <w:left w:val="single" w:sz="4" w:space="0" w:color="auto"/>
              <w:bottom w:val="single" w:sz="4" w:space="0" w:color="auto"/>
              <w:right w:val="single" w:sz="4" w:space="0" w:color="auto"/>
            </w:tcBorders>
            <w:hideMark/>
          </w:tcPr>
          <w:p w14:paraId="0448F098" w14:textId="77777777" w:rsidR="00754EAF" w:rsidRDefault="00754EAF" w:rsidP="00A2153E">
            <w:pPr>
              <w:rPr>
                <w:rFonts w:ascii="Calibri" w:hAnsi="Calibri" w:cs="Calibri"/>
                <w:lang w:val="en-US"/>
              </w:rPr>
            </w:pPr>
            <w:r>
              <w:rPr>
                <w:rFonts w:ascii="Calibri" w:hAnsi="Calibri" w:cs="Calibri"/>
                <w:lang w:val="en-US"/>
              </w:rPr>
              <w:t>Contributory (secondary) causes of death: ICD10</w:t>
            </w:r>
          </w:p>
        </w:tc>
        <w:tc>
          <w:tcPr>
            <w:tcW w:w="2306" w:type="dxa"/>
            <w:tcBorders>
              <w:top w:val="single" w:sz="4" w:space="0" w:color="auto"/>
              <w:left w:val="single" w:sz="4" w:space="0" w:color="auto"/>
              <w:bottom w:val="single" w:sz="4" w:space="0" w:color="auto"/>
              <w:right w:val="single" w:sz="4" w:space="0" w:color="auto"/>
            </w:tcBorders>
            <w:hideMark/>
          </w:tcPr>
          <w:p w14:paraId="7D42AE96" w14:textId="77777777" w:rsidR="00754EAF" w:rsidRDefault="00754EAF" w:rsidP="00A2153E">
            <w:pPr>
              <w:rPr>
                <w:rFonts w:ascii="Calibri" w:hAnsi="Calibri" w:cs="Calibri"/>
                <w:lang w:val="en-US"/>
              </w:rPr>
            </w:pPr>
            <w:r>
              <w:rPr>
                <w:rFonts w:ascii="Calibri" w:hAnsi="Calibri" w:cs="Calibri"/>
                <w:lang w:val="en-US"/>
              </w:rPr>
              <w:t>40002</w:t>
            </w:r>
          </w:p>
        </w:tc>
        <w:tc>
          <w:tcPr>
            <w:tcW w:w="2305" w:type="dxa"/>
            <w:tcBorders>
              <w:top w:val="single" w:sz="4" w:space="0" w:color="auto"/>
              <w:left w:val="single" w:sz="4" w:space="0" w:color="auto"/>
              <w:bottom w:val="single" w:sz="4" w:space="0" w:color="auto"/>
              <w:right w:val="single" w:sz="4" w:space="0" w:color="auto"/>
            </w:tcBorders>
            <w:hideMark/>
          </w:tcPr>
          <w:p w14:paraId="0230B99D" w14:textId="77777777" w:rsidR="00754EAF" w:rsidRDefault="00754EAF" w:rsidP="00A2153E">
            <w:pPr>
              <w:rPr>
                <w:rFonts w:ascii="Calibri" w:hAnsi="Calibri" w:cs="Calibri"/>
                <w:lang w:val="en-US"/>
              </w:rPr>
            </w:pPr>
            <w:r>
              <w:rPr>
                <w:rFonts w:ascii="Calibri" w:hAnsi="Calibri" w:cs="Calibri"/>
                <w:lang w:val="en-US"/>
              </w:rPr>
              <w:t>Date of death</w:t>
            </w:r>
          </w:p>
        </w:tc>
        <w:tc>
          <w:tcPr>
            <w:tcW w:w="2308" w:type="dxa"/>
            <w:tcBorders>
              <w:top w:val="single" w:sz="4" w:space="0" w:color="auto"/>
              <w:left w:val="single" w:sz="4" w:space="0" w:color="auto"/>
              <w:bottom w:val="single" w:sz="4" w:space="0" w:color="auto"/>
              <w:right w:val="single" w:sz="4" w:space="0" w:color="auto"/>
            </w:tcBorders>
            <w:hideMark/>
          </w:tcPr>
          <w:p w14:paraId="224D7F19" w14:textId="77777777" w:rsidR="00754EAF" w:rsidRDefault="00754EAF" w:rsidP="00A2153E">
            <w:pPr>
              <w:rPr>
                <w:rFonts w:ascii="Calibri" w:hAnsi="Calibri" w:cs="Calibri"/>
                <w:lang w:val="en-US"/>
              </w:rPr>
            </w:pPr>
            <w:r>
              <w:rPr>
                <w:rFonts w:ascii="Calibri" w:hAnsi="Calibri" w:cs="Calibri"/>
                <w:lang w:val="en-US"/>
              </w:rPr>
              <w:t>40000</w:t>
            </w:r>
          </w:p>
        </w:tc>
      </w:tr>
      <w:tr w:rsidR="00754EAF" w14:paraId="36CAC273" w14:textId="77777777" w:rsidTr="00A2153E">
        <w:trPr>
          <w:trHeight w:val="243"/>
        </w:trPr>
        <w:tc>
          <w:tcPr>
            <w:tcW w:w="2305" w:type="dxa"/>
            <w:tcBorders>
              <w:top w:val="single" w:sz="4" w:space="0" w:color="auto"/>
              <w:left w:val="single" w:sz="4" w:space="0" w:color="auto"/>
              <w:bottom w:val="single" w:sz="4" w:space="0" w:color="auto"/>
              <w:right w:val="single" w:sz="4" w:space="0" w:color="auto"/>
            </w:tcBorders>
            <w:hideMark/>
          </w:tcPr>
          <w:p w14:paraId="4AE7F1FD" w14:textId="77777777" w:rsidR="00754EAF" w:rsidRDefault="00754EAF" w:rsidP="00A2153E">
            <w:pPr>
              <w:rPr>
                <w:rFonts w:ascii="Calibri" w:hAnsi="Calibri" w:cs="Calibri"/>
                <w:lang w:val="en-US"/>
              </w:rPr>
            </w:pPr>
            <w:r>
              <w:rPr>
                <w:rFonts w:ascii="Calibri" w:hAnsi="Calibri" w:cs="Calibri"/>
                <w:lang w:val="en-US"/>
              </w:rPr>
              <w:t>Operative procedures - OPCS4</w:t>
            </w:r>
          </w:p>
        </w:tc>
        <w:tc>
          <w:tcPr>
            <w:tcW w:w="2306" w:type="dxa"/>
            <w:tcBorders>
              <w:top w:val="single" w:sz="4" w:space="0" w:color="auto"/>
              <w:left w:val="single" w:sz="4" w:space="0" w:color="auto"/>
              <w:bottom w:val="single" w:sz="4" w:space="0" w:color="auto"/>
              <w:right w:val="single" w:sz="4" w:space="0" w:color="auto"/>
            </w:tcBorders>
            <w:hideMark/>
          </w:tcPr>
          <w:p w14:paraId="3F3B63A2" w14:textId="77777777" w:rsidR="00754EAF" w:rsidRDefault="00754EAF" w:rsidP="00A2153E">
            <w:pPr>
              <w:rPr>
                <w:rFonts w:ascii="Calibri" w:hAnsi="Calibri" w:cs="Calibri"/>
                <w:lang w:val="en-US"/>
              </w:rPr>
            </w:pPr>
            <w:r>
              <w:rPr>
                <w:rFonts w:ascii="Calibri" w:hAnsi="Calibri" w:cs="Calibri"/>
                <w:lang w:val="en-US"/>
              </w:rPr>
              <w:t>41272</w:t>
            </w:r>
          </w:p>
        </w:tc>
        <w:tc>
          <w:tcPr>
            <w:tcW w:w="2305" w:type="dxa"/>
            <w:tcBorders>
              <w:top w:val="single" w:sz="4" w:space="0" w:color="auto"/>
              <w:left w:val="single" w:sz="4" w:space="0" w:color="auto"/>
              <w:bottom w:val="single" w:sz="4" w:space="0" w:color="auto"/>
              <w:right w:val="single" w:sz="4" w:space="0" w:color="auto"/>
            </w:tcBorders>
            <w:hideMark/>
          </w:tcPr>
          <w:p w14:paraId="646A06D4" w14:textId="77777777" w:rsidR="00754EAF" w:rsidRDefault="00754EAF" w:rsidP="00A2153E">
            <w:pPr>
              <w:rPr>
                <w:rFonts w:ascii="Calibri" w:hAnsi="Calibri" w:cs="Calibri"/>
                <w:lang w:val="en-US"/>
              </w:rPr>
            </w:pPr>
            <w:r>
              <w:rPr>
                <w:rFonts w:ascii="Calibri" w:hAnsi="Calibri" w:cs="Calibri"/>
                <w:lang w:val="en-US"/>
              </w:rPr>
              <w:t>Date of first operative procedure - OPCS4</w:t>
            </w:r>
          </w:p>
        </w:tc>
        <w:tc>
          <w:tcPr>
            <w:tcW w:w="2308" w:type="dxa"/>
            <w:tcBorders>
              <w:top w:val="single" w:sz="4" w:space="0" w:color="auto"/>
              <w:left w:val="single" w:sz="4" w:space="0" w:color="auto"/>
              <w:bottom w:val="single" w:sz="4" w:space="0" w:color="auto"/>
              <w:right w:val="single" w:sz="4" w:space="0" w:color="auto"/>
            </w:tcBorders>
            <w:hideMark/>
          </w:tcPr>
          <w:p w14:paraId="5294F012" w14:textId="77777777" w:rsidR="00754EAF" w:rsidRDefault="00754EAF" w:rsidP="00A2153E">
            <w:pPr>
              <w:rPr>
                <w:rFonts w:ascii="Calibri" w:hAnsi="Calibri" w:cs="Calibri"/>
                <w:lang w:val="en-US"/>
              </w:rPr>
            </w:pPr>
            <w:r>
              <w:rPr>
                <w:rFonts w:ascii="Calibri" w:hAnsi="Calibri" w:cs="Calibri"/>
                <w:lang w:val="en-US"/>
              </w:rPr>
              <w:t>41282</w:t>
            </w:r>
          </w:p>
        </w:tc>
      </w:tr>
      <w:tr w:rsidR="00754EAF" w14:paraId="0CACC23B" w14:textId="77777777" w:rsidTr="00A2153E">
        <w:trPr>
          <w:trHeight w:val="243"/>
        </w:trPr>
        <w:tc>
          <w:tcPr>
            <w:tcW w:w="2305" w:type="dxa"/>
            <w:tcBorders>
              <w:top w:val="single" w:sz="4" w:space="0" w:color="auto"/>
              <w:left w:val="single" w:sz="4" w:space="0" w:color="auto"/>
              <w:bottom w:val="single" w:sz="4" w:space="0" w:color="auto"/>
              <w:right w:val="single" w:sz="4" w:space="0" w:color="auto"/>
            </w:tcBorders>
            <w:hideMark/>
          </w:tcPr>
          <w:p w14:paraId="1B927C70" w14:textId="77777777" w:rsidR="00754EAF" w:rsidRDefault="00754EAF" w:rsidP="00A2153E">
            <w:pPr>
              <w:rPr>
                <w:rFonts w:ascii="Calibri" w:hAnsi="Calibri" w:cs="Calibri"/>
                <w:lang w:val="en-US"/>
              </w:rPr>
            </w:pPr>
            <w:r>
              <w:rPr>
                <w:rFonts w:ascii="Calibri" w:hAnsi="Calibri" w:cs="Calibri"/>
                <w:lang w:val="en-US"/>
              </w:rPr>
              <w:t>Operative procedures - main OPCS4</w:t>
            </w:r>
          </w:p>
        </w:tc>
        <w:tc>
          <w:tcPr>
            <w:tcW w:w="2306" w:type="dxa"/>
            <w:tcBorders>
              <w:top w:val="single" w:sz="4" w:space="0" w:color="auto"/>
              <w:left w:val="single" w:sz="4" w:space="0" w:color="auto"/>
              <w:bottom w:val="single" w:sz="4" w:space="0" w:color="auto"/>
              <w:right w:val="single" w:sz="4" w:space="0" w:color="auto"/>
            </w:tcBorders>
            <w:hideMark/>
          </w:tcPr>
          <w:p w14:paraId="5DBC932D" w14:textId="77777777" w:rsidR="00754EAF" w:rsidRDefault="00754EAF" w:rsidP="00A2153E">
            <w:pPr>
              <w:rPr>
                <w:rFonts w:ascii="Calibri" w:hAnsi="Calibri" w:cs="Calibri"/>
                <w:lang w:val="en-US"/>
              </w:rPr>
            </w:pPr>
            <w:r>
              <w:rPr>
                <w:rFonts w:ascii="Calibri" w:hAnsi="Calibri" w:cs="Calibri"/>
                <w:lang w:val="en-US"/>
              </w:rPr>
              <w:t>41200</w:t>
            </w:r>
          </w:p>
        </w:tc>
        <w:tc>
          <w:tcPr>
            <w:tcW w:w="2305" w:type="dxa"/>
            <w:tcBorders>
              <w:top w:val="single" w:sz="4" w:space="0" w:color="auto"/>
              <w:left w:val="single" w:sz="4" w:space="0" w:color="auto"/>
              <w:bottom w:val="single" w:sz="4" w:space="0" w:color="auto"/>
              <w:right w:val="single" w:sz="4" w:space="0" w:color="auto"/>
            </w:tcBorders>
            <w:hideMark/>
          </w:tcPr>
          <w:p w14:paraId="266711EC" w14:textId="77777777" w:rsidR="00754EAF" w:rsidRDefault="00754EAF" w:rsidP="00A2153E">
            <w:pPr>
              <w:rPr>
                <w:rFonts w:ascii="Calibri" w:hAnsi="Calibri" w:cs="Calibri"/>
                <w:lang w:val="en-US"/>
              </w:rPr>
            </w:pPr>
            <w:r>
              <w:rPr>
                <w:rFonts w:ascii="Calibri" w:hAnsi="Calibri" w:cs="Calibri"/>
                <w:lang w:val="en-US"/>
              </w:rPr>
              <w:t>Date of first operative procedure - main OPCS4</w:t>
            </w:r>
          </w:p>
        </w:tc>
        <w:tc>
          <w:tcPr>
            <w:tcW w:w="2308" w:type="dxa"/>
            <w:tcBorders>
              <w:top w:val="single" w:sz="4" w:space="0" w:color="auto"/>
              <w:left w:val="single" w:sz="4" w:space="0" w:color="auto"/>
              <w:bottom w:val="single" w:sz="4" w:space="0" w:color="auto"/>
              <w:right w:val="single" w:sz="4" w:space="0" w:color="auto"/>
            </w:tcBorders>
            <w:hideMark/>
          </w:tcPr>
          <w:p w14:paraId="5B2745C7" w14:textId="77777777" w:rsidR="00754EAF" w:rsidRDefault="00754EAF" w:rsidP="00A2153E">
            <w:pPr>
              <w:rPr>
                <w:rFonts w:ascii="Calibri" w:hAnsi="Calibri" w:cs="Calibri"/>
                <w:lang w:val="en-US"/>
              </w:rPr>
            </w:pPr>
            <w:r>
              <w:rPr>
                <w:rFonts w:ascii="Calibri" w:hAnsi="Calibri" w:cs="Calibri"/>
                <w:lang w:val="en-US"/>
              </w:rPr>
              <w:t>41260</w:t>
            </w:r>
          </w:p>
        </w:tc>
      </w:tr>
      <w:tr w:rsidR="00754EAF" w14:paraId="5E71CB1E" w14:textId="77777777" w:rsidTr="00A2153E">
        <w:trPr>
          <w:trHeight w:val="243"/>
        </w:trPr>
        <w:tc>
          <w:tcPr>
            <w:tcW w:w="2305" w:type="dxa"/>
            <w:tcBorders>
              <w:top w:val="single" w:sz="4" w:space="0" w:color="auto"/>
              <w:left w:val="single" w:sz="4" w:space="0" w:color="auto"/>
              <w:bottom w:val="single" w:sz="4" w:space="0" w:color="auto"/>
              <w:right w:val="single" w:sz="4" w:space="0" w:color="auto"/>
            </w:tcBorders>
            <w:hideMark/>
          </w:tcPr>
          <w:p w14:paraId="5AA40A3A" w14:textId="77777777" w:rsidR="00754EAF" w:rsidRDefault="00754EAF" w:rsidP="00A2153E">
            <w:pPr>
              <w:rPr>
                <w:rFonts w:ascii="Calibri" w:hAnsi="Calibri" w:cs="Calibri"/>
                <w:lang w:val="en-US"/>
              </w:rPr>
            </w:pPr>
            <w:r>
              <w:rPr>
                <w:rFonts w:ascii="Calibri" w:hAnsi="Calibri" w:cs="Calibri"/>
                <w:lang w:val="en-US"/>
              </w:rPr>
              <w:t>Operative procedures - secondary OPCS4</w:t>
            </w:r>
          </w:p>
        </w:tc>
        <w:tc>
          <w:tcPr>
            <w:tcW w:w="2306" w:type="dxa"/>
            <w:tcBorders>
              <w:top w:val="single" w:sz="4" w:space="0" w:color="auto"/>
              <w:left w:val="single" w:sz="4" w:space="0" w:color="auto"/>
              <w:bottom w:val="single" w:sz="4" w:space="0" w:color="auto"/>
              <w:right w:val="single" w:sz="4" w:space="0" w:color="auto"/>
            </w:tcBorders>
            <w:hideMark/>
          </w:tcPr>
          <w:p w14:paraId="62294722" w14:textId="77777777" w:rsidR="00754EAF" w:rsidRDefault="00754EAF" w:rsidP="00A2153E">
            <w:pPr>
              <w:rPr>
                <w:rFonts w:ascii="Calibri" w:hAnsi="Calibri" w:cs="Calibri"/>
                <w:lang w:val="en-US"/>
              </w:rPr>
            </w:pPr>
            <w:r>
              <w:rPr>
                <w:rFonts w:ascii="Calibri" w:hAnsi="Calibri" w:cs="Calibri"/>
                <w:lang w:val="en-US"/>
              </w:rPr>
              <w:t>41210</w:t>
            </w:r>
          </w:p>
        </w:tc>
        <w:tc>
          <w:tcPr>
            <w:tcW w:w="2305" w:type="dxa"/>
            <w:tcBorders>
              <w:top w:val="single" w:sz="4" w:space="0" w:color="auto"/>
              <w:left w:val="single" w:sz="4" w:space="0" w:color="auto"/>
              <w:bottom w:val="single" w:sz="4" w:space="0" w:color="auto"/>
              <w:right w:val="single" w:sz="4" w:space="0" w:color="auto"/>
            </w:tcBorders>
            <w:hideMark/>
          </w:tcPr>
          <w:p w14:paraId="649ACB0D" w14:textId="77777777" w:rsidR="00754EAF" w:rsidRDefault="00754EAF" w:rsidP="00A2153E">
            <w:pPr>
              <w:rPr>
                <w:rFonts w:ascii="Calibri" w:hAnsi="Calibri" w:cs="Calibri"/>
                <w:lang w:val="en-US"/>
              </w:rPr>
            </w:pPr>
            <w:r>
              <w:rPr>
                <w:rFonts w:ascii="Calibri" w:hAnsi="Calibri" w:cs="Calibri"/>
                <w:lang w:val="en-US"/>
              </w:rPr>
              <w:t>-</w:t>
            </w:r>
          </w:p>
        </w:tc>
        <w:tc>
          <w:tcPr>
            <w:tcW w:w="2308" w:type="dxa"/>
            <w:tcBorders>
              <w:top w:val="single" w:sz="4" w:space="0" w:color="auto"/>
              <w:left w:val="single" w:sz="4" w:space="0" w:color="auto"/>
              <w:bottom w:val="single" w:sz="4" w:space="0" w:color="auto"/>
              <w:right w:val="single" w:sz="4" w:space="0" w:color="auto"/>
            </w:tcBorders>
            <w:hideMark/>
          </w:tcPr>
          <w:p w14:paraId="216C9A8D" w14:textId="77777777" w:rsidR="00754EAF" w:rsidRDefault="00754EAF" w:rsidP="00A2153E">
            <w:pPr>
              <w:rPr>
                <w:rFonts w:ascii="Calibri" w:hAnsi="Calibri" w:cs="Calibri"/>
                <w:lang w:val="en-US"/>
              </w:rPr>
            </w:pPr>
            <w:r>
              <w:rPr>
                <w:rFonts w:ascii="Calibri" w:hAnsi="Calibri" w:cs="Calibri"/>
                <w:lang w:val="en-US"/>
              </w:rPr>
              <w:t>-</w:t>
            </w:r>
          </w:p>
        </w:tc>
      </w:tr>
    </w:tbl>
    <w:p w14:paraId="60E7BCA5" w14:textId="4F9B934F" w:rsidR="006C5673" w:rsidRDefault="00393E8E" w:rsidP="00E04E24">
      <w:pPr>
        <w:rPr>
          <w:lang w:val="en-US"/>
        </w:rPr>
      </w:pPr>
      <w:r>
        <w:rPr>
          <w:lang w:val="en-US"/>
        </w:rPr>
        <w:lastRenderedPageBreak/>
        <w:t>References</w:t>
      </w:r>
    </w:p>
    <w:p w14:paraId="020E7200" w14:textId="65784B92" w:rsidR="00393E8E" w:rsidRPr="00393E8E" w:rsidRDefault="00393E8E" w:rsidP="00393E8E">
      <w:pPr>
        <w:widowControl w:val="0"/>
        <w:autoSpaceDE w:val="0"/>
        <w:autoSpaceDN w:val="0"/>
        <w:adjustRightInd w:val="0"/>
        <w:spacing w:line="240" w:lineRule="auto"/>
        <w:ind w:left="640" w:hanging="640"/>
        <w:rPr>
          <w:rFonts w:ascii="Calibri" w:hAnsi="Calibri" w:cs="Calibri"/>
          <w:noProof/>
          <w:szCs w:val="24"/>
        </w:rPr>
      </w:pPr>
      <w:r>
        <w:rPr>
          <w:lang w:val="en-US"/>
        </w:rPr>
        <w:fldChar w:fldCharType="begin" w:fldLock="1"/>
      </w:r>
      <w:r>
        <w:rPr>
          <w:lang w:val="en-US"/>
        </w:rPr>
        <w:instrText xml:space="preserve">ADDIN Mendeley Bibliography CSL_BIBLIOGRAPHY </w:instrText>
      </w:r>
      <w:r>
        <w:rPr>
          <w:lang w:val="en-US"/>
        </w:rPr>
        <w:fldChar w:fldCharType="separate"/>
      </w:r>
      <w:r w:rsidRPr="00393E8E">
        <w:rPr>
          <w:rFonts w:ascii="Calibri" w:hAnsi="Calibri" w:cs="Calibri"/>
          <w:noProof/>
          <w:szCs w:val="24"/>
        </w:rPr>
        <w:t>1.</w:t>
      </w:r>
      <w:r w:rsidRPr="00393E8E">
        <w:rPr>
          <w:rFonts w:ascii="Calibri" w:hAnsi="Calibri" w:cs="Calibri"/>
          <w:noProof/>
          <w:szCs w:val="24"/>
        </w:rPr>
        <w:tab/>
        <w:t xml:space="preserve">Liu, W., Zhuang, Z., Wang, W., Huang, T. &amp; Liu, Z. An Improved Genome-Wide Polygenic Score Model for Predicting the Risk of Type 2 Diabetes. </w:t>
      </w:r>
      <w:r w:rsidRPr="00393E8E">
        <w:rPr>
          <w:rFonts w:ascii="Calibri" w:hAnsi="Calibri" w:cs="Calibri"/>
          <w:i/>
          <w:iCs/>
          <w:noProof/>
          <w:szCs w:val="24"/>
        </w:rPr>
        <w:t>Front. Genet.</w:t>
      </w:r>
      <w:r w:rsidRPr="00393E8E">
        <w:rPr>
          <w:rFonts w:ascii="Calibri" w:hAnsi="Calibri" w:cs="Calibri"/>
          <w:noProof/>
          <w:szCs w:val="24"/>
        </w:rPr>
        <w:t xml:space="preserve"> </w:t>
      </w:r>
      <w:r w:rsidRPr="00393E8E">
        <w:rPr>
          <w:rFonts w:ascii="Calibri" w:hAnsi="Calibri" w:cs="Calibri"/>
          <w:b/>
          <w:bCs/>
          <w:noProof/>
          <w:szCs w:val="24"/>
        </w:rPr>
        <w:t>0</w:t>
      </w:r>
      <w:r w:rsidRPr="00393E8E">
        <w:rPr>
          <w:rFonts w:ascii="Calibri" w:hAnsi="Calibri" w:cs="Calibri"/>
          <w:noProof/>
          <w:szCs w:val="24"/>
        </w:rPr>
        <w:t>, 63 (2021).</w:t>
      </w:r>
    </w:p>
    <w:p w14:paraId="7F3810A9" w14:textId="77777777" w:rsidR="00393E8E" w:rsidRPr="00393E8E" w:rsidRDefault="00393E8E" w:rsidP="00393E8E">
      <w:pPr>
        <w:widowControl w:val="0"/>
        <w:autoSpaceDE w:val="0"/>
        <w:autoSpaceDN w:val="0"/>
        <w:adjustRightInd w:val="0"/>
        <w:spacing w:line="240" w:lineRule="auto"/>
        <w:ind w:left="640" w:hanging="640"/>
        <w:rPr>
          <w:rFonts w:ascii="Calibri" w:hAnsi="Calibri" w:cs="Calibri"/>
          <w:noProof/>
          <w:szCs w:val="24"/>
        </w:rPr>
      </w:pPr>
      <w:r w:rsidRPr="00393E8E">
        <w:rPr>
          <w:rFonts w:ascii="Calibri" w:hAnsi="Calibri" w:cs="Calibri"/>
          <w:noProof/>
          <w:szCs w:val="24"/>
        </w:rPr>
        <w:t>2.</w:t>
      </w:r>
      <w:r w:rsidRPr="00393E8E">
        <w:rPr>
          <w:rFonts w:ascii="Calibri" w:hAnsi="Calibri" w:cs="Calibri"/>
          <w:noProof/>
          <w:szCs w:val="24"/>
        </w:rPr>
        <w:tab/>
        <w:t xml:space="preserve">Privé, F., Vilhjálmsson, B. J., Aschard, H. &amp; Blum, M. G. B. Making the Most of Clumping and Thresholding for Polygenic Scores. </w:t>
      </w:r>
      <w:r w:rsidRPr="00393E8E">
        <w:rPr>
          <w:rFonts w:ascii="Calibri" w:hAnsi="Calibri" w:cs="Calibri"/>
          <w:i/>
          <w:iCs/>
          <w:noProof/>
          <w:szCs w:val="24"/>
        </w:rPr>
        <w:t>Am. J. Hum. Genet.</w:t>
      </w:r>
      <w:r w:rsidRPr="00393E8E">
        <w:rPr>
          <w:rFonts w:ascii="Calibri" w:hAnsi="Calibri" w:cs="Calibri"/>
          <w:noProof/>
          <w:szCs w:val="24"/>
        </w:rPr>
        <w:t xml:space="preserve"> </w:t>
      </w:r>
      <w:r w:rsidRPr="00393E8E">
        <w:rPr>
          <w:rFonts w:ascii="Calibri" w:hAnsi="Calibri" w:cs="Calibri"/>
          <w:b/>
          <w:bCs/>
          <w:noProof/>
          <w:szCs w:val="24"/>
        </w:rPr>
        <w:t>105</w:t>
      </w:r>
      <w:r w:rsidRPr="00393E8E">
        <w:rPr>
          <w:rFonts w:ascii="Calibri" w:hAnsi="Calibri" w:cs="Calibri"/>
          <w:noProof/>
          <w:szCs w:val="24"/>
        </w:rPr>
        <w:t>, 1213–1221 (2019).</w:t>
      </w:r>
    </w:p>
    <w:p w14:paraId="24E4191C" w14:textId="77777777" w:rsidR="00393E8E" w:rsidRPr="00393E8E" w:rsidRDefault="00393E8E" w:rsidP="00393E8E">
      <w:pPr>
        <w:widowControl w:val="0"/>
        <w:autoSpaceDE w:val="0"/>
        <w:autoSpaceDN w:val="0"/>
        <w:adjustRightInd w:val="0"/>
        <w:spacing w:line="240" w:lineRule="auto"/>
        <w:ind w:left="640" w:hanging="640"/>
        <w:rPr>
          <w:rFonts w:ascii="Calibri" w:hAnsi="Calibri" w:cs="Calibri"/>
          <w:noProof/>
          <w:szCs w:val="24"/>
        </w:rPr>
      </w:pPr>
      <w:r w:rsidRPr="00393E8E">
        <w:rPr>
          <w:rFonts w:ascii="Calibri" w:hAnsi="Calibri" w:cs="Calibri"/>
          <w:noProof/>
          <w:szCs w:val="24"/>
        </w:rPr>
        <w:t>3.</w:t>
      </w:r>
      <w:r w:rsidRPr="00393E8E">
        <w:rPr>
          <w:rFonts w:ascii="Calibri" w:hAnsi="Calibri" w:cs="Calibri"/>
          <w:noProof/>
          <w:szCs w:val="24"/>
        </w:rPr>
        <w:tab/>
        <w:t xml:space="preserve">Shin Heng Mak, T. </w:t>
      </w:r>
      <w:r w:rsidRPr="00393E8E">
        <w:rPr>
          <w:rFonts w:ascii="Calibri" w:hAnsi="Calibri" w:cs="Calibri"/>
          <w:i/>
          <w:iCs/>
          <w:noProof/>
          <w:szCs w:val="24"/>
        </w:rPr>
        <w:t>et al.</w:t>
      </w:r>
      <w:r w:rsidRPr="00393E8E">
        <w:rPr>
          <w:rFonts w:ascii="Calibri" w:hAnsi="Calibri" w:cs="Calibri"/>
          <w:noProof/>
          <w:szCs w:val="24"/>
        </w:rPr>
        <w:t xml:space="preserve"> Polygenic scores via penalized regression on summary statistics. (2017) doi:10.1002/gepi.22050.</w:t>
      </w:r>
    </w:p>
    <w:p w14:paraId="5DA41F5C" w14:textId="77777777" w:rsidR="00393E8E" w:rsidRPr="00393E8E" w:rsidRDefault="00393E8E" w:rsidP="00393E8E">
      <w:pPr>
        <w:widowControl w:val="0"/>
        <w:autoSpaceDE w:val="0"/>
        <w:autoSpaceDN w:val="0"/>
        <w:adjustRightInd w:val="0"/>
        <w:spacing w:line="240" w:lineRule="auto"/>
        <w:ind w:left="640" w:hanging="640"/>
        <w:rPr>
          <w:rFonts w:ascii="Calibri" w:hAnsi="Calibri" w:cs="Calibri"/>
          <w:noProof/>
          <w:szCs w:val="24"/>
        </w:rPr>
      </w:pPr>
      <w:r w:rsidRPr="00393E8E">
        <w:rPr>
          <w:rFonts w:ascii="Calibri" w:hAnsi="Calibri" w:cs="Calibri"/>
          <w:noProof/>
          <w:szCs w:val="24"/>
        </w:rPr>
        <w:t>4.</w:t>
      </w:r>
      <w:r w:rsidRPr="00393E8E">
        <w:rPr>
          <w:rFonts w:ascii="Calibri" w:hAnsi="Calibri" w:cs="Calibri"/>
          <w:noProof/>
          <w:szCs w:val="24"/>
        </w:rPr>
        <w:tab/>
        <w:t xml:space="preserve">Privé, F., Arbel, J. &amp; Vilhjálmsson, B. J. LDpred2: better, faster, stronger. </w:t>
      </w:r>
      <w:r w:rsidRPr="00393E8E">
        <w:rPr>
          <w:rFonts w:ascii="Calibri" w:hAnsi="Calibri" w:cs="Calibri"/>
          <w:i/>
          <w:iCs/>
          <w:noProof/>
          <w:szCs w:val="24"/>
        </w:rPr>
        <w:t>Bioinformatics</w:t>
      </w:r>
      <w:r w:rsidRPr="00393E8E">
        <w:rPr>
          <w:rFonts w:ascii="Calibri" w:hAnsi="Calibri" w:cs="Calibri"/>
          <w:noProof/>
          <w:szCs w:val="24"/>
        </w:rPr>
        <w:t xml:space="preserve"> </w:t>
      </w:r>
      <w:r w:rsidRPr="00393E8E">
        <w:rPr>
          <w:rFonts w:ascii="Calibri" w:hAnsi="Calibri" w:cs="Calibri"/>
          <w:b/>
          <w:bCs/>
          <w:noProof/>
          <w:szCs w:val="24"/>
        </w:rPr>
        <w:t>36</w:t>
      </w:r>
      <w:r w:rsidRPr="00393E8E">
        <w:rPr>
          <w:rFonts w:ascii="Calibri" w:hAnsi="Calibri" w:cs="Calibri"/>
          <w:noProof/>
          <w:szCs w:val="24"/>
        </w:rPr>
        <w:t>, 5424–5431 (2021).</w:t>
      </w:r>
    </w:p>
    <w:p w14:paraId="7C54049A" w14:textId="77777777" w:rsidR="00393E8E" w:rsidRPr="00393E8E" w:rsidRDefault="00393E8E" w:rsidP="00393E8E">
      <w:pPr>
        <w:widowControl w:val="0"/>
        <w:autoSpaceDE w:val="0"/>
        <w:autoSpaceDN w:val="0"/>
        <w:adjustRightInd w:val="0"/>
        <w:spacing w:line="240" w:lineRule="auto"/>
        <w:ind w:left="640" w:hanging="640"/>
        <w:rPr>
          <w:rFonts w:ascii="Calibri" w:hAnsi="Calibri" w:cs="Calibri"/>
          <w:noProof/>
          <w:szCs w:val="24"/>
        </w:rPr>
      </w:pPr>
      <w:r w:rsidRPr="00393E8E">
        <w:rPr>
          <w:rFonts w:ascii="Calibri" w:hAnsi="Calibri" w:cs="Calibri"/>
          <w:noProof/>
          <w:szCs w:val="24"/>
        </w:rPr>
        <w:t>5.</w:t>
      </w:r>
      <w:r w:rsidRPr="00393E8E">
        <w:rPr>
          <w:rFonts w:ascii="Calibri" w:hAnsi="Calibri" w:cs="Calibri"/>
          <w:noProof/>
          <w:szCs w:val="24"/>
        </w:rPr>
        <w:tab/>
        <w:t xml:space="preserve">Lloyd-Jones, L. R. </w:t>
      </w:r>
      <w:r w:rsidRPr="00393E8E">
        <w:rPr>
          <w:rFonts w:ascii="Calibri" w:hAnsi="Calibri" w:cs="Calibri"/>
          <w:i/>
          <w:iCs/>
          <w:noProof/>
          <w:szCs w:val="24"/>
        </w:rPr>
        <w:t>et al.</w:t>
      </w:r>
      <w:r w:rsidRPr="00393E8E">
        <w:rPr>
          <w:rFonts w:ascii="Calibri" w:hAnsi="Calibri" w:cs="Calibri"/>
          <w:noProof/>
          <w:szCs w:val="24"/>
        </w:rPr>
        <w:t xml:space="preserve"> Improved polygenic prediction by Bayesian multiple regression on summary statistics. </w:t>
      </w:r>
      <w:r w:rsidRPr="00393E8E">
        <w:rPr>
          <w:rFonts w:ascii="Calibri" w:hAnsi="Calibri" w:cs="Calibri"/>
          <w:i/>
          <w:iCs/>
          <w:noProof/>
          <w:szCs w:val="24"/>
        </w:rPr>
        <w:t>Nat. Commun. 2019 101</w:t>
      </w:r>
      <w:r w:rsidRPr="00393E8E">
        <w:rPr>
          <w:rFonts w:ascii="Calibri" w:hAnsi="Calibri" w:cs="Calibri"/>
          <w:noProof/>
          <w:szCs w:val="24"/>
        </w:rPr>
        <w:t xml:space="preserve"> </w:t>
      </w:r>
      <w:r w:rsidRPr="00393E8E">
        <w:rPr>
          <w:rFonts w:ascii="Calibri" w:hAnsi="Calibri" w:cs="Calibri"/>
          <w:b/>
          <w:bCs/>
          <w:noProof/>
          <w:szCs w:val="24"/>
        </w:rPr>
        <w:t>10</w:t>
      </w:r>
      <w:r w:rsidRPr="00393E8E">
        <w:rPr>
          <w:rFonts w:ascii="Calibri" w:hAnsi="Calibri" w:cs="Calibri"/>
          <w:noProof/>
          <w:szCs w:val="24"/>
        </w:rPr>
        <w:t>, 1–11 (2019).</w:t>
      </w:r>
    </w:p>
    <w:p w14:paraId="3E4195A3" w14:textId="77777777" w:rsidR="00393E8E" w:rsidRPr="00393E8E" w:rsidRDefault="00393E8E" w:rsidP="00393E8E">
      <w:pPr>
        <w:widowControl w:val="0"/>
        <w:autoSpaceDE w:val="0"/>
        <w:autoSpaceDN w:val="0"/>
        <w:adjustRightInd w:val="0"/>
        <w:spacing w:line="240" w:lineRule="auto"/>
        <w:ind w:left="640" w:hanging="640"/>
        <w:rPr>
          <w:rFonts w:ascii="Calibri" w:hAnsi="Calibri" w:cs="Calibri"/>
          <w:noProof/>
          <w:szCs w:val="24"/>
        </w:rPr>
      </w:pPr>
      <w:r w:rsidRPr="00393E8E">
        <w:rPr>
          <w:rFonts w:ascii="Calibri" w:hAnsi="Calibri" w:cs="Calibri"/>
          <w:noProof/>
          <w:szCs w:val="24"/>
        </w:rPr>
        <w:t>6.</w:t>
      </w:r>
      <w:r w:rsidRPr="00393E8E">
        <w:rPr>
          <w:rFonts w:ascii="Calibri" w:hAnsi="Calibri" w:cs="Calibri"/>
          <w:noProof/>
          <w:szCs w:val="24"/>
        </w:rPr>
        <w:tab/>
        <w:t xml:space="preserve">Kulm, S., Marderstein, A., Mezey, J. &amp; Elemento, O. A Systematic Framework for Assessing the Clinical Impact of Polygenic Risk Scores. </w:t>
      </w:r>
      <w:r w:rsidRPr="00393E8E">
        <w:rPr>
          <w:rFonts w:ascii="Calibri" w:hAnsi="Calibri" w:cs="Calibri"/>
          <w:i/>
          <w:iCs/>
          <w:noProof/>
          <w:szCs w:val="24"/>
        </w:rPr>
        <w:t>SSRN Electron. J.</w:t>
      </w:r>
      <w:r w:rsidRPr="00393E8E">
        <w:rPr>
          <w:rFonts w:ascii="Calibri" w:hAnsi="Calibri" w:cs="Calibri"/>
          <w:noProof/>
          <w:szCs w:val="24"/>
        </w:rPr>
        <w:t xml:space="preserve"> (2021) doi:10.2139/SSRN.3808292.</w:t>
      </w:r>
    </w:p>
    <w:p w14:paraId="75165445" w14:textId="77777777" w:rsidR="00393E8E" w:rsidRPr="00393E8E" w:rsidRDefault="00393E8E" w:rsidP="00393E8E">
      <w:pPr>
        <w:widowControl w:val="0"/>
        <w:autoSpaceDE w:val="0"/>
        <w:autoSpaceDN w:val="0"/>
        <w:adjustRightInd w:val="0"/>
        <w:spacing w:line="240" w:lineRule="auto"/>
        <w:ind w:left="640" w:hanging="640"/>
        <w:rPr>
          <w:rFonts w:ascii="Calibri" w:hAnsi="Calibri" w:cs="Calibri"/>
          <w:noProof/>
          <w:szCs w:val="24"/>
        </w:rPr>
      </w:pPr>
      <w:r w:rsidRPr="00393E8E">
        <w:rPr>
          <w:rFonts w:ascii="Calibri" w:hAnsi="Calibri" w:cs="Calibri"/>
          <w:noProof/>
          <w:szCs w:val="24"/>
        </w:rPr>
        <w:t>7.</w:t>
      </w:r>
      <w:r w:rsidRPr="00393E8E">
        <w:rPr>
          <w:rFonts w:ascii="Calibri" w:hAnsi="Calibri" w:cs="Calibri"/>
          <w:noProof/>
          <w:szCs w:val="24"/>
        </w:rPr>
        <w:tab/>
        <w:t xml:space="preserve">Mostafavi, H. </w:t>
      </w:r>
      <w:r w:rsidRPr="00393E8E">
        <w:rPr>
          <w:rFonts w:ascii="Calibri" w:hAnsi="Calibri" w:cs="Calibri"/>
          <w:i/>
          <w:iCs/>
          <w:noProof/>
          <w:szCs w:val="24"/>
        </w:rPr>
        <w:t>et al.</w:t>
      </w:r>
      <w:r w:rsidRPr="00393E8E">
        <w:rPr>
          <w:rFonts w:ascii="Calibri" w:hAnsi="Calibri" w:cs="Calibri"/>
          <w:noProof/>
          <w:szCs w:val="24"/>
        </w:rPr>
        <w:t xml:space="preserve"> Variable prediction accuracy of polygenic scores within an ancestry group. </w:t>
      </w:r>
      <w:r w:rsidRPr="00393E8E">
        <w:rPr>
          <w:rFonts w:ascii="Calibri" w:hAnsi="Calibri" w:cs="Calibri"/>
          <w:i/>
          <w:iCs/>
          <w:noProof/>
          <w:szCs w:val="24"/>
        </w:rPr>
        <w:t>Elife</w:t>
      </w:r>
      <w:r w:rsidRPr="00393E8E">
        <w:rPr>
          <w:rFonts w:ascii="Calibri" w:hAnsi="Calibri" w:cs="Calibri"/>
          <w:noProof/>
          <w:szCs w:val="24"/>
        </w:rPr>
        <w:t xml:space="preserve"> </w:t>
      </w:r>
      <w:r w:rsidRPr="00393E8E">
        <w:rPr>
          <w:rFonts w:ascii="Calibri" w:hAnsi="Calibri" w:cs="Calibri"/>
          <w:b/>
          <w:bCs/>
          <w:noProof/>
          <w:szCs w:val="24"/>
        </w:rPr>
        <w:t>9</w:t>
      </w:r>
      <w:r w:rsidRPr="00393E8E">
        <w:rPr>
          <w:rFonts w:ascii="Calibri" w:hAnsi="Calibri" w:cs="Calibri"/>
          <w:noProof/>
          <w:szCs w:val="24"/>
        </w:rPr>
        <w:t>, (2020).</w:t>
      </w:r>
    </w:p>
    <w:p w14:paraId="74ABD4E6" w14:textId="77777777" w:rsidR="00393E8E" w:rsidRPr="00393E8E" w:rsidRDefault="00393E8E" w:rsidP="00393E8E">
      <w:pPr>
        <w:widowControl w:val="0"/>
        <w:autoSpaceDE w:val="0"/>
        <w:autoSpaceDN w:val="0"/>
        <w:adjustRightInd w:val="0"/>
        <w:spacing w:line="240" w:lineRule="auto"/>
        <w:ind w:left="640" w:hanging="640"/>
        <w:rPr>
          <w:rFonts w:ascii="Calibri" w:hAnsi="Calibri" w:cs="Calibri"/>
          <w:noProof/>
          <w:szCs w:val="24"/>
        </w:rPr>
      </w:pPr>
      <w:r w:rsidRPr="00393E8E">
        <w:rPr>
          <w:rFonts w:ascii="Calibri" w:hAnsi="Calibri" w:cs="Calibri"/>
          <w:noProof/>
          <w:szCs w:val="24"/>
        </w:rPr>
        <w:t>8.</w:t>
      </w:r>
      <w:r w:rsidRPr="00393E8E">
        <w:rPr>
          <w:rFonts w:ascii="Calibri" w:hAnsi="Calibri" w:cs="Calibri"/>
          <w:noProof/>
          <w:szCs w:val="24"/>
        </w:rPr>
        <w:tab/>
        <w:t xml:space="preserve">Khera, A. V. </w:t>
      </w:r>
      <w:r w:rsidRPr="00393E8E">
        <w:rPr>
          <w:rFonts w:ascii="Calibri" w:hAnsi="Calibri" w:cs="Calibri"/>
          <w:i/>
          <w:iCs/>
          <w:noProof/>
          <w:szCs w:val="24"/>
        </w:rPr>
        <w:t>et al.</w:t>
      </w:r>
      <w:r w:rsidRPr="00393E8E">
        <w:rPr>
          <w:rFonts w:ascii="Calibri" w:hAnsi="Calibri" w:cs="Calibri"/>
          <w:noProof/>
          <w:szCs w:val="24"/>
        </w:rPr>
        <w:t xml:space="preserve"> Genome-wide polygenic scores for common diseases identify individuals with risk equivalent to monogenic mutations. </w:t>
      </w:r>
      <w:r w:rsidRPr="00393E8E">
        <w:rPr>
          <w:rFonts w:ascii="Calibri" w:hAnsi="Calibri" w:cs="Calibri"/>
          <w:i/>
          <w:iCs/>
          <w:noProof/>
          <w:szCs w:val="24"/>
        </w:rPr>
        <w:t>Nature Genetics</w:t>
      </w:r>
      <w:r w:rsidRPr="00393E8E">
        <w:rPr>
          <w:rFonts w:ascii="Calibri" w:hAnsi="Calibri" w:cs="Calibri"/>
          <w:noProof/>
          <w:szCs w:val="24"/>
        </w:rPr>
        <w:t xml:space="preserve"> vol. 50 1219–1224 (2018).</w:t>
      </w:r>
    </w:p>
    <w:p w14:paraId="7F1362E1" w14:textId="77777777" w:rsidR="00393E8E" w:rsidRPr="00393E8E" w:rsidRDefault="00393E8E" w:rsidP="00393E8E">
      <w:pPr>
        <w:widowControl w:val="0"/>
        <w:autoSpaceDE w:val="0"/>
        <w:autoSpaceDN w:val="0"/>
        <w:adjustRightInd w:val="0"/>
        <w:spacing w:line="240" w:lineRule="auto"/>
        <w:ind w:left="640" w:hanging="640"/>
        <w:rPr>
          <w:rFonts w:ascii="Calibri" w:hAnsi="Calibri" w:cs="Calibri"/>
          <w:noProof/>
          <w:szCs w:val="24"/>
        </w:rPr>
      </w:pPr>
      <w:r w:rsidRPr="00393E8E">
        <w:rPr>
          <w:rFonts w:ascii="Calibri" w:hAnsi="Calibri" w:cs="Calibri"/>
          <w:noProof/>
          <w:szCs w:val="24"/>
        </w:rPr>
        <w:t>9.</w:t>
      </w:r>
      <w:r w:rsidRPr="00393E8E">
        <w:rPr>
          <w:rFonts w:ascii="Calibri" w:hAnsi="Calibri" w:cs="Calibri"/>
          <w:noProof/>
          <w:szCs w:val="24"/>
        </w:rPr>
        <w:tab/>
        <w:t xml:space="preserve">Mars, N. J. </w:t>
      </w:r>
      <w:r w:rsidRPr="00393E8E">
        <w:rPr>
          <w:rFonts w:ascii="Calibri" w:hAnsi="Calibri" w:cs="Calibri"/>
          <w:i/>
          <w:iCs/>
          <w:noProof/>
          <w:szCs w:val="24"/>
        </w:rPr>
        <w:t>et al.</w:t>
      </w:r>
      <w:r w:rsidRPr="00393E8E">
        <w:rPr>
          <w:rFonts w:ascii="Calibri" w:hAnsi="Calibri" w:cs="Calibri"/>
          <w:noProof/>
          <w:szCs w:val="24"/>
        </w:rPr>
        <w:t xml:space="preserve"> Polygenic and clinical risk scores and their impact on age at onset of cardiometabolic diseases and common cancers. </w:t>
      </w:r>
      <w:r w:rsidRPr="00393E8E">
        <w:rPr>
          <w:rFonts w:ascii="Calibri" w:hAnsi="Calibri" w:cs="Calibri"/>
          <w:i/>
          <w:iCs/>
          <w:noProof/>
          <w:szCs w:val="24"/>
        </w:rPr>
        <w:t>bioRxiv</w:t>
      </w:r>
      <w:r w:rsidRPr="00393E8E">
        <w:rPr>
          <w:rFonts w:ascii="Calibri" w:hAnsi="Calibri" w:cs="Calibri"/>
          <w:noProof/>
          <w:szCs w:val="24"/>
        </w:rPr>
        <w:t xml:space="preserve"> 727057 (2019) doi:10.1101/727057.</w:t>
      </w:r>
    </w:p>
    <w:p w14:paraId="25C53E29" w14:textId="77777777" w:rsidR="00393E8E" w:rsidRPr="00393E8E" w:rsidRDefault="00393E8E" w:rsidP="00393E8E">
      <w:pPr>
        <w:widowControl w:val="0"/>
        <w:autoSpaceDE w:val="0"/>
        <w:autoSpaceDN w:val="0"/>
        <w:adjustRightInd w:val="0"/>
        <w:spacing w:line="240" w:lineRule="auto"/>
        <w:ind w:left="640" w:hanging="640"/>
        <w:rPr>
          <w:rFonts w:ascii="Calibri" w:hAnsi="Calibri" w:cs="Calibri"/>
          <w:noProof/>
          <w:szCs w:val="24"/>
        </w:rPr>
      </w:pPr>
      <w:r w:rsidRPr="00393E8E">
        <w:rPr>
          <w:rFonts w:ascii="Calibri" w:hAnsi="Calibri" w:cs="Calibri"/>
          <w:noProof/>
          <w:szCs w:val="24"/>
        </w:rPr>
        <w:t>10.</w:t>
      </w:r>
      <w:r w:rsidRPr="00393E8E">
        <w:rPr>
          <w:rFonts w:ascii="Calibri" w:hAnsi="Calibri" w:cs="Calibri"/>
          <w:noProof/>
          <w:szCs w:val="24"/>
        </w:rPr>
        <w:tab/>
        <w:t xml:space="preserve">Dudbridge, F. Power and Predictive Accuracy of Polygenic Risk Scores. </w:t>
      </w:r>
      <w:r w:rsidRPr="00393E8E">
        <w:rPr>
          <w:rFonts w:ascii="Calibri" w:hAnsi="Calibri" w:cs="Calibri"/>
          <w:i/>
          <w:iCs/>
          <w:noProof/>
          <w:szCs w:val="24"/>
        </w:rPr>
        <w:t>PLOS Genet.</w:t>
      </w:r>
      <w:r w:rsidRPr="00393E8E">
        <w:rPr>
          <w:rFonts w:ascii="Calibri" w:hAnsi="Calibri" w:cs="Calibri"/>
          <w:noProof/>
          <w:szCs w:val="24"/>
        </w:rPr>
        <w:t xml:space="preserve"> </w:t>
      </w:r>
      <w:r w:rsidRPr="00393E8E">
        <w:rPr>
          <w:rFonts w:ascii="Calibri" w:hAnsi="Calibri" w:cs="Calibri"/>
          <w:b/>
          <w:bCs/>
          <w:noProof/>
          <w:szCs w:val="24"/>
        </w:rPr>
        <w:t>9</w:t>
      </w:r>
      <w:r w:rsidRPr="00393E8E">
        <w:rPr>
          <w:rFonts w:ascii="Calibri" w:hAnsi="Calibri" w:cs="Calibri"/>
          <w:noProof/>
          <w:szCs w:val="24"/>
        </w:rPr>
        <w:t>, e1003348 (2013).</w:t>
      </w:r>
    </w:p>
    <w:p w14:paraId="1AEE7E71" w14:textId="77777777" w:rsidR="00393E8E" w:rsidRPr="00393E8E" w:rsidRDefault="00393E8E" w:rsidP="00393E8E">
      <w:pPr>
        <w:widowControl w:val="0"/>
        <w:autoSpaceDE w:val="0"/>
        <w:autoSpaceDN w:val="0"/>
        <w:adjustRightInd w:val="0"/>
        <w:spacing w:line="240" w:lineRule="auto"/>
        <w:ind w:left="640" w:hanging="640"/>
        <w:rPr>
          <w:rFonts w:ascii="Calibri" w:hAnsi="Calibri" w:cs="Calibri"/>
          <w:noProof/>
          <w:szCs w:val="24"/>
        </w:rPr>
      </w:pPr>
      <w:r w:rsidRPr="00393E8E">
        <w:rPr>
          <w:rFonts w:ascii="Calibri" w:hAnsi="Calibri" w:cs="Calibri"/>
          <w:noProof/>
          <w:szCs w:val="24"/>
        </w:rPr>
        <w:t>11.</w:t>
      </w:r>
      <w:r w:rsidRPr="00393E8E">
        <w:rPr>
          <w:rFonts w:ascii="Calibri" w:hAnsi="Calibri" w:cs="Calibri"/>
          <w:noProof/>
          <w:szCs w:val="24"/>
        </w:rPr>
        <w:tab/>
        <w:t xml:space="preserve">McCarthy, S. </w:t>
      </w:r>
      <w:r w:rsidRPr="00393E8E">
        <w:rPr>
          <w:rFonts w:ascii="Calibri" w:hAnsi="Calibri" w:cs="Calibri"/>
          <w:i/>
          <w:iCs/>
          <w:noProof/>
          <w:szCs w:val="24"/>
        </w:rPr>
        <w:t>et al.</w:t>
      </w:r>
      <w:r w:rsidRPr="00393E8E">
        <w:rPr>
          <w:rFonts w:ascii="Calibri" w:hAnsi="Calibri" w:cs="Calibri"/>
          <w:noProof/>
          <w:szCs w:val="24"/>
        </w:rPr>
        <w:t xml:space="preserve"> A reference panel of 64,976 haplotypes for genotype imputation. </w:t>
      </w:r>
      <w:r w:rsidRPr="00393E8E">
        <w:rPr>
          <w:rFonts w:ascii="Calibri" w:hAnsi="Calibri" w:cs="Calibri"/>
          <w:i/>
          <w:iCs/>
          <w:noProof/>
          <w:szCs w:val="24"/>
        </w:rPr>
        <w:t>Nat. Genet.</w:t>
      </w:r>
      <w:r w:rsidRPr="00393E8E">
        <w:rPr>
          <w:rFonts w:ascii="Calibri" w:hAnsi="Calibri" w:cs="Calibri"/>
          <w:noProof/>
          <w:szCs w:val="24"/>
        </w:rPr>
        <w:t xml:space="preserve"> </w:t>
      </w:r>
      <w:r w:rsidRPr="00393E8E">
        <w:rPr>
          <w:rFonts w:ascii="Calibri" w:hAnsi="Calibri" w:cs="Calibri"/>
          <w:b/>
          <w:bCs/>
          <w:noProof/>
          <w:szCs w:val="24"/>
        </w:rPr>
        <w:t>48</w:t>
      </w:r>
      <w:r w:rsidRPr="00393E8E">
        <w:rPr>
          <w:rFonts w:ascii="Calibri" w:hAnsi="Calibri" w:cs="Calibri"/>
          <w:noProof/>
          <w:szCs w:val="24"/>
        </w:rPr>
        <w:t>, 1279–1283 (2016).</w:t>
      </w:r>
    </w:p>
    <w:p w14:paraId="4A757CD5" w14:textId="77777777" w:rsidR="00393E8E" w:rsidRPr="00393E8E" w:rsidRDefault="00393E8E" w:rsidP="00393E8E">
      <w:pPr>
        <w:widowControl w:val="0"/>
        <w:autoSpaceDE w:val="0"/>
        <w:autoSpaceDN w:val="0"/>
        <w:adjustRightInd w:val="0"/>
        <w:spacing w:line="240" w:lineRule="auto"/>
        <w:ind w:left="640" w:hanging="640"/>
        <w:rPr>
          <w:rFonts w:ascii="Calibri" w:hAnsi="Calibri" w:cs="Calibri"/>
          <w:noProof/>
          <w:szCs w:val="24"/>
        </w:rPr>
      </w:pPr>
      <w:r w:rsidRPr="00393E8E">
        <w:rPr>
          <w:rFonts w:ascii="Calibri" w:hAnsi="Calibri" w:cs="Calibri"/>
          <w:noProof/>
          <w:szCs w:val="24"/>
        </w:rPr>
        <w:t>12.</w:t>
      </w:r>
      <w:r w:rsidRPr="00393E8E">
        <w:rPr>
          <w:rFonts w:ascii="Calibri" w:hAnsi="Calibri" w:cs="Calibri"/>
          <w:noProof/>
          <w:szCs w:val="24"/>
        </w:rPr>
        <w:tab/>
        <w:t xml:space="preserve">Duncan, L. </w:t>
      </w:r>
      <w:r w:rsidRPr="00393E8E">
        <w:rPr>
          <w:rFonts w:ascii="Calibri" w:hAnsi="Calibri" w:cs="Calibri"/>
          <w:i/>
          <w:iCs/>
          <w:noProof/>
          <w:szCs w:val="24"/>
        </w:rPr>
        <w:t>et al.</w:t>
      </w:r>
      <w:r w:rsidRPr="00393E8E">
        <w:rPr>
          <w:rFonts w:ascii="Calibri" w:hAnsi="Calibri" w:cs="Calibri"/>
          <w:noProof/>
          <w:szCs w:val="24"/>
        </w:rPr>
        <w:t xml:space="preserve"> Analysis of polygenic risk score usage and performance in diverse human populations. </w:t>
      </w:r>
      <w:r w:rsidRPr="00393E8E">
        <w:rPr>
          <w:rFonts w:ascii="Calibri" w:hAnsi="Calibri" w:cs="Calibri"/>
          <w:i/>
          <w:iCs/>
          <w:noProof/>
          <w:szCs w:val="24"/>
        </w:rPr>
        <w:t>Nat. Commun.</w:t>
      </w:r>
      <w:r w:rsidRPr="00393E8E">
        <w:rPr>
          <w:rFonts w:ascii="Calibri" w:hAnsi="Calibri" w:cs="Calibri"/>
          <w:noProof/>
          <w:szCs w:val="24"/>
        </w:rPr>
        <w:t xml:space="preserve"> </w:t>
      </w:r>
      <w:r w:rsidRPr="00393E8E">
        <w:rPr>
          <w:rFonts w:ascii="Calibri" w:hAnsi="Calibri" w:cs="Calibri"/>
          <w:b/>
          <w:bCs/>
          <w:noProof/>
          <w:szCs w:val="24"/>
        </w:rPr>
        <w:t>10</w:t>
      </w:r>
      <w:r w:rsidRPr="00393E8E">
        <w:rPr>
          <w:rFonts w:ascii="Calibri" w:hAnsi="Calibri" w:cs="Calibri"/>
          <w:noProof/>
          <w:szCs w:val="24"/>
        </w:rPr>
        <w:t>, 1–9 (2019).</w:t>
      </w:r>
    </w:p>
    <w:p w14:paraId="1842D1AC" w14:textId="77777777" w:rsidR="00393E8E" w:rsidRPr="00393E8E" w:rsidRDefault="00393E8E" w:rsidP="00393E8E">
      <w:pPr>
        <w:widowControl w:val="0"/>
        <w:autoSpaceDE w:val="0"/>
        <w:autoSpaceDN w:val="0"/>
        <w:adjustRightInd w:val="0"/>
        <w:spacing w:line="240" w:lineRule="auto"/>
        <w:ind w:left="640" w:hanging="640"/>
        <w:rPr>
          <w:rFonts w:ascii="Calibri" w:hAnsi="Calibri" w:cs="Calibri"/>
          <w:noProof/>
          <w:szCs w:val="24"/>
        </w:rPr>
      </w:pPr>
      <w:r w:rsidRPr="00393E8E">
        <w:rPr>
          <w:rFonts w:ascii="Calibri" w:hAnsi="Calibri" w:cs="Calibri"/>
          <w:noProof/>
          <w:szCs w:val="24"/>
        </w:rPr>
        <w:t>13.</w:t>
      </w:r>
      <w:r w:rsidRPr="00393E8E">
        <w:rPr>
          <w:rFonts w:ascii="Calibri" w:hAnsi="Calibri" w:cs="Calibri"/>
          <w:noProof/>
          <w:szCs w:val="24"/>
        </w:rPr>
        <w:tab/>
        <w:t xml:space="preserve">Marnetto, D. </w:t>
      </w:r>
      <w:r w:rsidRPr="00393E8E">
        <w:rPr>
          <w:rFonts w:ascii="Calibri" w:hAnsi="Calibri" w:cs="Calibri"/>
          <w:i/>
          <w:iCs/>
          <w:noProof/>
          <w:szCs w:val="24"/>
        </w:rPr>
        <w:t>et al.</w:t>
      </w:r>
      <w:r w:rsidRPr="00393E8E">
        <w:rPr>
          <w:rFonts w:ascii="Calibri" w:hAnsi="Calibri" w:cs="Calibri"/>
          <w:noProof/>
          <w:szCs w:val="24"/>
        </w:rPr>
        <w:t xml:space="preserve"> Ancestry deconvolution and partial polygenic score can improve susceptibility predictions in recently admixed individuals. </w:t>
      </w:r>
      <w:r w:rsidRPr="00393E8E">
        <w:rPr>
          <w:rFonts w:ascii="Calibri" w:hAnsi="Calibri" w:cs="Calibri"/>
          <w:i/>
          <w:iCs/>
          <w:noProof/>
          <w:szCs w:val="24"/>
        </w:rPr>
        <w:t>Nat. Commun. 2020 111</w:t>
      </w:r>
      <w:r w:rsidRPr="00393E8E">
        <w:rPr>
          <w:rFonts w:ascii="Calibri" w:hAnsi="Calibri" w:cs="Calibri"/>
          <w:noProof/>
          <w:szCs w:val="24"/>
        </w:rPr>
        <w:t xml:space="preserve"> </w:t>
      </w:r>
      <w:r w:rsidRPr="00393E8E">
        <w:rPr>
          <w:rFonts w:ascii="Calibri" w:hAnsi="Calibri" w:cs="Calibri"/>
          <w:b/>
          <w:bCs/>
          <w:noProof/>
          <w:szCs w:val="24"/>
        </w:rPr>
        <w:t>11</w:t>
      </w:r>
      <w:r w:rsidRPr="00393E8E">
        <w:rPr>
          <w:rFonts w:ascii="Calibri" w:hAnsi="Calibri" w:cs="Calibri"/>
          <w:noProof/>
          <w:szCs w:val="24"/>
        </w:rPr>
        <w:t>, 1–9 (2020).</w:t>
      </w:r>
    </w:p>
    <w:p w14:paraId="5672623D" w14:textId="77777777" w:rsidR="00393E8E" w:rsidRPr="00393E8E" w:rsidRDefault="00393E8E" w:rsidP="00393E8E">
      <w:pPr>
        <w:widowControl w:val="0"/>
        <w:autoSpaceDE w:val="0"/>
        <w:autoSpaceDN w:val="0"/>
        <w:adjustRightInd w:val="0"/>
        <w:spacing w:line="240" w:lineRule="auto"/>
        <w:ind w:left="640" w:hanging="640"/>
        <w:rPr>
          <w:rFonts w:ascii="Calibri" w:hAnsi="Calibri" w:cs="Calibri"/>
          <w:noProof/>
          <w:szCs w:val="24"/>
        </w:rPr>
      </w:pPr>
      <w:r w:rsidRPr="00393E8E">
        <w:rPr>
          <w:rFonts w:ascii="Calibri" w:hAnsi="Calibri" w:cs="Calibri"/>
          <w:noProof/>
          <w:szCs w:val="24"/>
        </w:rPr>
        <w:t>14.</w:t>
      </w:r>
      <w:r w:rsidRPr="00393E8E">
        <w:rPr>
          <w:rFonts w:ascii="Calibri" w:hAnsi="Calibri" w:cs="Calibri"/>
          <w:noProof/>
          <w:szCs w:val="24"/>
        </w:rPr>
        <w:tab/>
        <w:t xml:space="preserve">Scott, R. A. </w:t>
      </w:r>
      <w:r w:rsidRPr="00393E8E">
        <w:rPr>
          <w:rFonts w:ascii="Calibri" w:hAnsi="Calibri" w:cs="Calibri"/>
          <w:i/>
          <w:iCs/>
          <w:noProof/>
          <w:szCs w:val="24"/>
        </w:rPr>
        <w:t>et al.</w:t>
      </w:r>
      <w:r w:rsidRPr="00393E8E">
        <w:rPr>
          <w:rFonts w:ascii="Calibri" w:hAnsi="Calibri" w:cs="Calibri"/>
          <w:noProof/>
          <w:szCs w:val="24"/>
        </w:rPr>
        <w:t xml:space="preserve"> An Expanded Genome-Wide Association Study of Type 2 Diabetes in Europeans. </w:t>
      </w:r>
      <w:r w:rsidRPr="00393E8E">
        <w:rPr>
          <w:rFonts w:ascii="Calibri" w:hAnsi="Calibri" w:cs="Calibri"/>
          <w:i/>
          <w:iCs/>
          <w:noProof/>
          <w:szCs w:val="24"/>
        </w:rPr>
        <w:t>Diabetes</w:t>
      </w:r>
      <w:r w:rsidRPr="00393E8E">
        <w:rPr>
          <w:rFonts w:ascii="Calibri" w:hAnsi="Calibri" w:cs="Calibri"/>
          <w:noProof/>
          <w:szCs w:val="24"/>
        </w:rPr>
        <w:t xml:space="preserve"> </w:t>
      </w:r>
      <w:r w:rsidRPr="00393E8E">
        <w:rPr>
          <w:rFonts w:ascii="Calibri" w:hAnsi="Calibri" w:cs="Calibri"/>
          <w:b/>
          <w:bCs/>
          <w:noProof/>
          <w:szCs w:val="24"/>
        </w:rPr>
        <w:t>66</w:t>
      </w:r>
      <w:r w:rsidRPr="00393E8E">
        <w:rPr>
          <w:rFonts w:ascii="Calibri" w:hAnsi="Calibri" w:cs="Calibri"/>
          <w:noProof/>
          <w:szCs w:val="24"/>
        </w:rPr>
        <w:t>, 2888–2902 (2017).</w:t>
      </w:r>
    </w:p>
    <w:p w14:paraId="7D2FA52F" w14:textId="77777777" w:rsidR="00393E8E" w:rsidRPr="00393E8E" w:rsidRDefault="00393E8E" w:rsidP="00393E8E">
      <w:pPr>
        <w:widowControl w:val="0"/>
        <w:autoSpaceDE w:val="0"/>
        <w:autoSpaceDN w:val="0"/>
        <w:adjustRightInd w:val="0"/>
        <w:spacing w:line="240" w:lineRule="auto"/>
        <w:ind w:left="640" w:hanging="640"/>
        <w:rPr>
          <w:rFonts w:ascii="Calibri" w:hAnsi="Calibri" w:cs="Calibri"/>
          <w:noProof/>
        </w:rPr>
      </w:pPr>
      <w:r w:rsidRPr="00393E8E">
        <w:rPr>
          <w:rFonts w:ascii="Calibri" w:hAnsi="Calibri" w:cs="Calibri"/>
          <w:noProof/>
          <w:szCs w:val="24"/>
        </w:rPr>
        <w:t>15.</w:t>
      </w:r>
      <w:r w:rsidRPr="00393E8E">
        <w:rPr>
          <w:rFonts w:ascii="Calibri" w:hAnsi="Calibri" w:cs="Calibri"/>
          <w:noProof/>
          <w:szCs w:val="24"/>
        </w:rPr>
        <w:tab/>
        <w:t xml:space="preserve">Nikpay, M. </w:t>
      </w:r>
      <w:r w:rsidRPr="00393E8E">
        <w:rPr>
          <w:rFonts w:ascii="Calibri" w:hAnsi="Calibri" w:cs="Calibri"/>
          <w:i/>
          <w:iCs/>
          <w:noProof/>
          <w:szCs w:val="24"/>
        </w:rPr>
        <w:t>et al.</w:t>
      </w:r>
      <w:r w:rsidRPr="00393E8E">
        <w:rPr>
          <w:rFonts w:ascii="Calibri" w:hAnsi="Calibri" w:cs="Calibri"/>
          <w:noProof/>
          <w:szCs w:val="24"/>
        </w:rPr>
        <w:t xml:space="preserve"> A comprehensive 1000 Genomes-based genome-wide association meta-analysis of coronary artery disease. </w:t>
      </w:r>
      <w:r w:rsidRPr="00393E8E">
        <w:rPr>
          <w:rFonts w:ascii="Calibri" w:hAnsi="Calibri" w:cs="Calibri"/>
          <w:i/>
          <w:iCs/>
          <w:noProof/>
          <w:szCs w:val="24"/>
        </w:rPr>
        <w:t>Nat. Genet.</w:t>
      </w:r>
      <w:r w:rsidRPr="00393E8E">
        <w:rPr>
          <w:rFonts w:ascii="Calibri" w:hAnsi="Calibri" w:cs="Calibri"/>
          <w:noProof/>
          <w:szCs w:val="24"/>
        </w:rPr>
        <w:t xml:space="preserve"> </w:t>
      </w:r>
      <w:r w:rsidRPr="00393E8E">
        <w:rPr>
          <w:rFonts w:ascii="Calibri" w:hAnsi="Calibri" w:cs="Calibri"/>
          <w:b/>
          <w:bCs/>
          <w:noProof/>
          <w:szCs w:val="24"/>
        </w:rPr>
        <w:t>47</w:t>
      </w:r>
      <w:r w:rsidRPr="00393E8E">
        <w:rPr>
          <w:rFonts w:ascii="Calibri" w:hAnsi="Calibri" w:cs="Calibri"/>
          <w:noProof/>
          <w:szCs w:val="24"/>
        </w:rPr>
        <w:t>, 1121–1130 (2015).</w:t>
      </w:r>
    </w:p>
    <w:p w14:paraId="1E6F0CFA" w14:textId="03581708" w:rsidR="00393E8E" w:rsidRPr="009C68B6" w:rsidRDefault="00393E8E" w:rsidP="00E04E24">
      <w:pPr>
        <w:rPr>
          <w:lang w:val="en-US"/>
        </w:rPr>
      </w:pPr>
      <w:r>
        <w:rPr>
          <w:lang w:val="en-US"/>
        </w:rPr>
        <w:fldChar w:fldCharType="end"/>
      </w:r>
    </w:p>
    <w:sectPr w:rsidR="00393E8E" w:rsidRPr="009C68B6">
      <w:footerReference w:type="defaul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E8C9CB" w14:textId="77777777" w:rsidR="000A513E" w:rsidRDefault="000A513E" w:rsidP="002B1256">
      <w:pPr>
        <w:spacing w:after="0" w:line="240" w:lineRule="auto"/>
      </w:pPr>
      <w:r>
        <w:separator/>
      </w:r>
    </w:p>
  </w:endnote>
  <w:endnote w:type="continuationSeparator" w:id="0">
    <w:p w14:paraId="7B1044FB" w14:textId="77777777" w:rsidR="000A513E" w:rsidRDefault="000A513E" w:rsidP="002B12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1730640"/>
      <w:docPartObj>
        <w:docPartGallery w:val="Page Numbers (Bottom of Page)"/>
        <w:docPartUnique/>
      </w:docPartObj>
    </w:sdtPr>
    <w:sdtEndPr/>
    <w:sdtContent>
      <w:p w14:paraId="4AA70752" w14:textId="57578AAC" w:rsidR="003B66D9" w:rsidRDefault="003B66D9">
        <w:pPr>
          <w:pStyle w:val="Footer"/>
          <w:jc w:val="right"/>
        </w:pPr>
        <w:r>
          <w:fldChar w:fldCharType="begin"/>
        </w:r>
        <w:r>
          <w:instrText>PAGE   \* MERGEFORMAT</w:instrText>
        </w:r>
        <w:r>
          <w:fldChar w:fldCharType="separate"/>
        </w:r>
        <w:r>
          <w:t>2</w:t>
        </w:r>
        <w:r>
          <w:fldChar w:fldCharType="end"/>
        </w:r>
      </w:p>
    </w:sdtContent>
  </w:sdt>
  <w:p w14:paraId="1520313E" w14:textId="77777777" w:rsidR="003B66D9" w:rsidRDefault="003B66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FDDF41" w14:textId="77777777" w:rsidR="000A513E" w:rsidRDefault="000A513E" w:rsidP="002B1256">
      <w:pPr>
        <w:spacing w:after="0" w:line="240" w:lineRule="auto"/>
      </w:pPr>
      <w:r>
        <w:separator/>
      </w:r>
    </w:p>
  </w:footnote>
  <w:footnote w:type="continuationSeparator" w:id="0">
    <w:p w14:paraId="537A5174" w14:textId="77777777" w:rsidR="000A513E" w:rsidRDefault="000A513E" w:rsidP="002B12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707547"/>
    <w:multiLevelType w:val="hybridMultilevel"/>
    <w:tmpl w:val="6F2C606C"/>
    <w:lvl w:ilvl="0" w:tplc="BB9261E2">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441A67A7"/>
    <w:multiLevelType w:val="hybridMultilevel"/>
    <w:tmpl w:val="EB70E3E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364749743">
    <w:abstractNumId w:val="0"/>
  </w:num>
  <w:num w:numId="2" w16cid:durableId="16988933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42D14"/>
    <w:rsid w:val="0004181F"/>
    <w:rsid w:val="0004478E"/>
    <w:rsid w:val="00047570"/>
    <w:rsid w:val="000A513E"/>
    <w:rsid w:val="000C25A7"/>
    <w:rsid w:val="000D6330"/>
    <w:rsid w:val="000D7264"/>
    <w:rsid w:val="000E2B2A"/>
    <w:rsid w:val="001110BB"/>
    <w:rsid w:val="001136F8"/>
    <w:rsid w:val="00130EEE"/>
    <w:rsid w:val="00131735"/>
    <w:rsid w:val="001433EE"/>
    <w:rsid w:val="00161ECF"/>
    <w:rsid w:val="001802FF"/>
    <w:rsid w:val="00182793"/>
    <w:rsid w:val="001849EA"/>
    <w:rsid w:val="001A40C6"/>
    <w:rsid w:val="001B7369"/>
    <w:rsid w:val="001C3FEA"/>
    <w:rsid w:val="001D0D88"/>
    <w:rsid w:val="001D6677"/>
    <w:rsid w:val="001D7129"/>
    <w:rsid w:val="001D7616"/>
    <w:rsid w:val="001E5107"/>
    <w:rsid w:val="002022C8"/>
    <w:rsid w:val="00212FE5"/>
    <w:rsid w:val="00230F54"/>
    <w:rsid w:val="00233D26"/>
    <w:rsid w:val="00252D34"/>
    <w:rsid w:val="002606A3"/>
    <w:rsid w:val="002A712D"/>
    <w:rsid w:val="002B1256"/>
    <w:rsid w:val="002B5880"/>
    <w:rsid w:val="002C2A7B"/>
    <w:rsid w:val="002C41E2"/>
    <w:rsid w:val="002C6AA2"/>
    <w:rsid w:val="002D07A7"/>
    <w:rsid w:val="002D145E"/>
    <w:rsid w:val="002D2EDB"/>
    <w:rsid w:val="002D32FF"/>
    <w:rsid w:val="002E1A53"/>
    <w:rsid w:val="002F1686"/>
    <w:rsid w:val="002F6319"/>
    <w:rsid w:val="002F711E"/>
    <w:rsid w:val="002F75D7"/>
    <w:rsid w:val="003004E0"/>
    <w:rsid w:val="003107F1"/>
    <w:rsid w:val="00320360"/>
    <w:rsid w:val="00325E06"/>
    <w:rsid w:val="0033750D"/>
    <w:rsid w:val="00342D2E"/>
    <w:rsid w:val="00377DE6"/>
    <w:rsid w:val="00390C3C"/>
    <w:rsid w:val="00391C79"/>
    <w:rsid w:val="00393E8E"/>
    <w:rsid w:val="003A5D01"/>
    <w:rsid w:val="003B13C6"/>
    <w:rsid w:val="003B66D9"/>
    <w:rsid w:val="003D162A"/>
    <w:rsid w:val="003D53FC"/>
    <w:rsid w:val="0040384A"/>
    <w:rsid w:val="004136AA"/>
    <w:rsid w:val="00423388"/>
    <w:rsid w:val="00432D80"/>
    <w:rsid w:val="004424FC"/>
    <w:rsid w:val="00447D74"/>
    <w:rsid w:val="00451BA5"/>
    <w:rsid w:val="00474EBB"/>
    <w:rsid w:val="00486D66"/>
    <w:rsid w:val="00492976"/>
    <w:rsid w:val="00493A5D"/>
    <w:rsid w:val="004A09A7"/>
    <w:rsid w:val="004A0E16"/>
    <w:rsid w:val="004B7EE2"/>
    <w:rsid w:val="004C7BC0"/>
    <w:rsid w:val="004F6D29"/>
    <w:rsid w:val="00505478"/>
    <w:rsid w:val="00533A8B"/>
    <w:rsid w:val="00546996"/>
    <w:rsid w:val="005760E6"/>
    <w:rsid w:val="005B4D81"/>
    <w:rsid w:val="005C47F0"/>
    <w:rsid w:val="005C6042"/>
    <w:rsid w:val="005E26DB"/>
    <w:rsid w:val="005E2EA4"/>
    <w:rsid w:val="005E4D3A"/>
    <w:rsid w:val="005F46B1"/>
    <w:rsid w:val="00611780"/>
    <w:rsid w:val="00613E78"/>
    <w:rsid w:val="006617D7"/>
    <w:rsid w:val="00667981"/>
    <w:rsid w:val="006710D9"/>
    <w:rsid w:val="00683167"/>
    <w:rsid w:val="006C5673"/>
    <w:rsid w:val="006D06AB"/>
    <w:rsid w:val="006D24A3"/>
    <w:rsid w:val="006F1436"/>
    <w:rsid w:val="00727CC4"/>
    <w:rsid w:val="00733DC1"/>
    <w:rsid w:val="00742D14"/>
    <w:rsid w:val="00754EAF"/>
    <w:rsid w:val="00775FC8"/>
    <w:rsid w:val="00776C60"/>
    <w:rsid w:val="007920A2"/>
    <w:rsid w:val="0079527A"/>
    <w:rsid w:val="007A2FC7"/>
    <w:rsid w:val="007B4CCE"/>
    <w:rsid w:val="007C1182"/>
    <w:rsid w:val="007C68F7"/>
    <w:rsid w:val="007D4DA0"/>
    <w:rsid w:val="007F0F6C"/>
    <w:rsid w:val="007F7D1A"/>
    <w:rsid w:val="00815DB8"/>
    <w:rsid w:val="008171DC"/>
    <w:rsid w:val="00845C6C"/>
    <w:rsid w:val="008D62EB"/>
    <w:rsid w:val="00905FD7"/>
    <w:rsid w:val="00917369"/>
    <w:rsid w:val="009527F8"/>
    <w:rsid w:val="009763E8"/>
    <w:rsid w:val="00977CB8"/>
    <w:rsid w:val="00981DF5"/>
    <w:rsid w:val="00983EAD"/>
    <w:rsid w:val="00993AF5"/>
    <w:rsid w:val="009A00D3"/>
    <w:rsid w:val="009A1AAF"/>
    <w:rsid w:val="009C1390"/>
    <w:rsid w:val="009C672C"/>
    <w:rsid w:val="009C68B6"/>
    <w:rsid w:val="009E254D"/>
    <w:rsid w:val="00A2153E"/>
    <w:rsid w:val="00A365E3"/>
    <w:rsid w:val="00A3767F"/>
    <w:rsid w:val="00A66A64"/>
    <w:rsid w:val="00A87EB5"/>
    <w:rsid w:val="00A909A1"/>
    <w:rsid w:val="00A961F4"/>
    <w:rsid w:val="00A96CFB"/>
    <w:rsid w:val="00AA1137"/>
    <w:rsid w:val="00AA75D7"/>
    <w:rsid w:val="00AC6D95"/>
    <w:rsid w:val="00AD0DEB"/>
    <w:rsid w:val="00AD2C87"/>
    <w:rsid w:val="00AD7B56"/>
    <w:rsid w:val="00AE798F"/>
    <w:rsid w:val="00B04084"/>
    <w:rsid w:val="00B13C3C"/>
    <w:rsid w:val="00B16763"/>
    <w:rsid w:val="00B57D57"/>
    <w:rsid w:val="00B60094"/>
    <w:rsid w:val="00B925FD"/>
    <w:rsid w:val="00BA1660"/>
    <w:rsid w:val="00BB01AE"/>
    <w:rsid w:val="00BC2A1E"/>
    <w:rsid w:val="00BD0285"/>
    <w:rsid w:val="00C027F5"/>
    <w:rsid w:val="00C1617A"/>
    <w:rsid w:val="00C319CA"/>
    <w:rsid w:val="00C40161"/>
    <w:rsid w:val="00C4297F"/>
    <w:rsid w:val="00C44046"/>
    <w:rsid w:val="00C5095A"/>
    <w:rsid w:val="00C60A89"/>
    <w:rsid w:val="00C87C09"/>
    <w:rsid w:val="00C9757A"/>
    <w:rsid w:val="00CB22F8"/>
    <w:rsid w:val="00CE5BFA"/>
    <w:rsid w:val="00CE79D7"/>
    <w:rsid w:val="00D169E4"/>
    <w:rsid w:val="00D1791A"/>
    <w:rsid w:val="00D256FE"/>
    <w:rsid w:val="00D2625C"/>
    <w:rsid w:val="00D4288B"/>
    <w:rsid w:val="00D55F94"/>
    <w:rsid w:val="00DA3178"/>
    <w:rsid w:val="00DA66D9"/>
    <w:rsid w:val="00DC2405"/>
    <w:rsid w:val="00DC60F7"/>
    <w:rsid w:val="00DD6609"/>
    <w:rsid w:val="00DD6B8B"/>
    <w:rsid w:val="00DE74EC"/>
    <w:rsid w:val="00DF050B"/>
    <w:rsid w:val="00E04E24"/>
    <w:rsid w:val="00E1087E"/>
    <w:rsid w:val="00E46F06"/>
    <w:rsid w:val="00E52D4F"/>
    <w:rsid w:val="00E65557"/>
    <w:rsid w:val="00E674C1"/>
    <w:rsid w:val="00E80877"/>
    <w:rsid w:val="00E82829"/>
    <w:rsid w:val="00EA1080"/>
    <w:rsid w:val="00EA2388"/>
    <w:rsid w:val="00F11F66"/>
    <w:rsid w:val="00F47316"/>
    <w:rsid w:val="00F549DF"/>
    <w:rsid w:val="00F72424"/>
    <w:rsid w:val="00F75FAB"/>
    <w:rsid w:val="00F80937"/>
    <w:rsid w:val="00F94263"/>
    <w:rsid w:val="00FA63E2"/>
    <w:rsid w:val="00FB629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D5EFC4"/>
  <w15:docId w15:val="{CC640C24-4E05-4CDE-8462-4E75A01AB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68B6"/>
  </w:style>
  <w:style w:type="paragraph" w:styleId="Heading1">
    <w:name w:val="heading 1"/>
    <w:basedOn w:val="Normal"/>
    <w:next w:val="Normal"/>
    <w:link w:val="Heading1Char"/>
    <w:uiPriority w:val="9"/>
    <w:qFormat/>
    <w:rsid w:val="0033750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C68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A00D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C68B6"/>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9C68B6"/>
    <w:rPr>
      <w:sz w:val="16"/>
      <w:szCs w:val="16"/>
    </w:rPr>
  </w:style>
  <w:style w:type="paragraph" w:styleId="CommentText">
    <w:name w:val="annotation text"/>
    <w:basedOn w:val="Normal"/>
    <w:link w:val="CommentTextChar"/>
    <w:uiPriority w:val="99"/>
    <w:unhideWhenUsed/>
    <w:rsid w:val="009C68B6"/>
    <w:pPr>
      <w:spacing w:line="240" w:lineRule="auto"/>
    </w:pPr>
    <w:rPr>
      <w:sz w:val="20"/>
      <w:szCs w:val="20"/>
    </w:rPr>
  </w:style>
  <w:style w:type="character" w:customStyle="1" w:styleId="CommentTextChar">
    <w:name w:val="Comment Text Char"/>
    <w:basedOn w:val="DefaultParagraphFont"/>
    <w:link w:val="CommentText"/>
    <w:uiPriority w:val="99"/>
    <w:rsid w:val="009C68B6"/>
    <w:rPr>
      <w:sz w:val="20"/>
      <w:szCs w:val="20"/>
    </w:rPr>
  </w:style>
  <w:style w:type="character" w:styleId="SubtleEmphasis">
    <w:name w:val="Subtle Emphasis"/>
    <w:aliases w:val="TableFigureFormat"/>
    <w:basedOn w:val="DefaultParagraphFont"/>
    <w:uiPriority w:val="19"/>
    <w:qFormat/>
    <w:rsid w:val="009C68B6"/>
    <w:rPr>
      <w:rFonts w:ascii="Calibri" w:hAnsi="Calibri"/>
      <w:b/>
      <w:i w:val="0"/>
      <w:iCs/>
      <w:color w:val="404040" w:themeColor="text1" w:themeTint="BF"/>
      <w:sz w:val="18"/>
    </w:rPr>
  </w:style>
  <w:style w:type="paragraph" w:styleId="CommentSubject">
    <w:name w:val="annotation subject"/>
    <w:basedOn w:val="CommentText"/>
    <w:next w:val="CommentText"/>
    <w:link w:val="CommentSubjectChar"/>
    <w:uiPriority w:val="99"/>
    <w:semiHidden/>
    <w:unhideWhenUsed/>
    <w:rsid w:val="00D4288B"/>
    <w:rPr>
      <w:b/>
      <w:bCs/>
    </w:rPr>
  </w:style>
  <w:style w:type="character" w:customStyle="1" w:styleId="CommentSubjectChar">
    <w:name w:val="Comment Subject Char"/>
    <w:basedOn w:val="CommentTextChar"/>
    <w:link w:val="CommentSubject"/>
    <w:uiPriority w:val="99"/>
    <w:semiHidden/>
    <w:rsid w:val="00D4288B"/>
    <w:rPr>
      <w:b/>
      <w:bCs/>
      <w:sz w:val="20"/>
      <w:szCs w:val="20"/>
    </w:rPr>
  </w:style>
  <w:style w:type="character" w:customStyle="1" w:styleId="Heading3Char">
    <w:name w:val="Heading 3 Char"/>
    <w:basedOn w:val="DefaultParagraphFont"/>
    <w:link w:val="Heading3"/>
    <w:uiPriority w:val="9"/>
    <w:rsid w:val="009A00D3"/>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33750D"/>
    <w:pPr>
      <w:ind w:left="720"/>
      <w:contextualSpacing/>
    </w:pPr>
  </w:style>
  <w:style w:type="character" w:customStyle="1" w:styleId="Heading1Char">
    <w:name w:val="Heading 1 Char"/>
    <w:basedOn w:val="DefaultParagraphFont"/>
    <w:link w:val="Heading1"/>
    <w:uiPriority w:val="9"/>
    <w:rsid w:val="0033750D"/>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2B12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1256"/>
  </w:style>
  <w:style w:type="paragraph" w:styleId="Footer">
    <w:name w:val="footer"/>
    <w:basedOn w:val="Normal"/>
    <w:link w:val="FooterChar"/>
    <w:uiPriority w:val="99"/>
    <w:unhideWhenUsed/>
    <w:rsid w:val="002B12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1256"/>
  </w:style>
  <w:style w:type="table" w:styleId="TableGrid">
    <w:name w:val="Table Grid"/>
    <w:basedOn w:val="TableNormal"/>
    <w:uiPriority w:val="39"/>
    <w:rsid w:val="00A365E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2153E"/>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2153E"/>
    <w:rPr>
      <w:rFonts w:ascii="Times New Roman" w:hAnsi="Times New Roman" w:cs="Times New Roman"/>
      <w:sz w:val="18"/>
      <w:szCs w:val="18"/>
    </w:rPr>
  </w:style>
  <w:style w:type="paragraph" w:styleId="Revision">
    <w:name w:val="Revision"/>
    <w:hidden/>
    <w:uiPriority w:val="99"/>
    <w:semiHidden/>
    <w:rsid w:val="002F75D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214138">
      <w:bodyDiv w:val="1"/>
      <w:marLeft w:val="0"/>
      <w:marRight w:val="0"/>
      <w:marTop w:val="0"/>
      <w:marBottom w:val="0"/>
      <w:divBdr>
        <w:top w:val="none" w:sz="0" w:space="0" w:color="auto"/>
        <w:left w:val="none" w:sz="0" w:space="0" w:color="auto"/>
        <w:bottom w:val="none" w:sz="0" w:space="0" w:color="auto"/>
        <w:right w:val="none" w:sz="0" w:space="0" w:color="auto"/>
      </w:divBdr>
    </w:div>
    <w:div w:id="988944639">
      <w:bodyDiv w:val="1"/>
      <w:marLeft w:val="0"/>
      <w:marRight w:val="0"/>
      <w:marTop w:val="0"/>
      <w:marBottom w:val="0"/>
      <w:divBdr>
        <w:top w:val="none" w:sz="0" w:space="0" w:color="auto"/>
        <w:left w:val="none" w:sz="0" w:space="0" w:color="auto"/>
        <w:bottom w:val="none" w:sz="0" w:space="0" w:color="auto"/>
        <w:right w:val="none" w:sz="0" w:space="0" w:color="auto"/>
      </w:divBdr>
    </w:div>
    <w:div w:id="1067537832">
      <w:bodyDiv w:val="1"/>
      <w:marLeft w:val="0"/>
      <w:marRight w:val="0"/>
      <w:marTop w:val="0"/>
      <w:marBottom w:val="0"/>
      <w:divBdr>
        <w:top w:val="none" w:sz="0" w:space="0" w:color="auto"/>
        <w:left w:val="none" w:sz="0" w:space="0" w:color="auto"/>
        <w:bottom w:val="none" w:sz="0" w:space="0" w:color="auto"/>
        <w:right w:val="none" w:sz="0" w:space="0" w:color="auto"/>
      </w:divBdr>
    </w:div>
    <w:div w:id="1177496841">
      <w:bodyDiv w:val="1"/>
      <w:marLeft w:val="0"/>
      <w:marRight w:val="0"/>
      <w:marTop w:val="0"/>
      <w:marBottom w:val="0"/>
      <w:divBdr>
        <w:top w:val="none" w:sz="0" w:space="0" w:color="auto"/>
        <w:left w:val="none" w:sz="0" w:space="0" w:color="auto"/>
        <w:bottom w:val="none" w:sz="0" w:space="0" w:color="auto"/>
        <w:right w:val="none" w:sz="0" w:space="0" w:color="auto"/>
      </w:divBdr>
    </w:div>
    <w:div w:id="1373769577">
      <w:bodyDiv w:val="1"/>
      <w:marLeft w:val="0"/>
      <w:marRight w:val="0"/>
      <w:marTop w:val="0"/>
      <w:marBottom w:val="0"/>
      <w:divBdr>
        <w:top w:val="none" w:sz="0" w:space="0" w:color="auto"/>
        <w:left w:val="none" w:sz="0" w:space="0" w:color="auto"/>
        <w:bottom w:val="none" w:sz="0" w:space="0" w:color="auto"/>
        <w:right w:val="none" w:sz="0" w:space="0" w:color="auto"/>
      </w:divBdr>
    </w:div>
    <w:div w:id="1812168104">
      <w:bodyDiv w:val="1"/>
      <w:marLeft w:val="0"/>
      <w:marRight w:val="0"/>
      <w:marTop w:val="0"/>
      <w:marBottom w:val="0"/>
      <w:divBdr>
        <w:top w:val="none" w:sz="0" w:space="0" w:color="auto"/>
        <w:left w:val="none" w:sz="0" w:space="0" w:color="auto"/>
        <w:bottom w:val="none" w:sz="0" w:space="0" w:color="auto"/>
        <w:right w:val="none" w:sz="0" w:space="0" w:color="auto"/>
      </w:divBdr>
    </w:div>
    <w:div w:id="2009627747">
      <w:bodyDiv w:val="1"/>
      <w:marLeft w:val="0"/>
      <w:marRight w:val="0"/>
      <w:marTop w:val="0"/>
      <w:marBottom w:val="0"/>
      <w:divBdr>
        <w:top w:val="none" w:sz="0" w:space="0" w:color="auto"/>
        <w:left w:val="none" w:sz="0" w:space="0" w:color="auto"/>
        <w:bottom w:val="none" w:sz="0" w:space="0" w:color="auto"/>
        <w:right w:val="none" w:sz="0" w:space="0" w:color="auto"/>
      </w:divBdr>
    </w:div>
    <w:div w:id="20581620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glossaryDocument" Target="glossary/document.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6ECFD04AF6949BCA18C034389C1E95F"/>
        <w:category>
          <w:name w:val="General"/>
          <w:gallery w:val="placeholder"/>
        </w:category>
        <w:types>
          <w:type w:val="bbPlcHdr"/>
        </w:types>
        <w:behaviors>
          <w:behavior w:val="content"/>
        </w:behaviors>
        <w:guid w:val="{BC5B7CE1-9421-40CB-B0B2-F63368C0FA6C}"/>
      </w:docPartPr>
      <w:docPartBody>
        <w:p w:rsidR="001E39BA" w:rsidRDefault="005A38DC" w:rsidP="005A38DC">
          <w:pPr>
            <w:pStyle w:val="66ECFD04AF6949BCA18C034389C1E95F"/>
          </w:pPr>
          <w:r w:rsidRPr="003653F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FAF"/>
    <w:rsid w:val="001A4647"/>
    <w:rsid w:val="001E39BA"/>
    <w:rsid w:val="00325A19"/>
    <w:rsid w:val="00537570"/>
    <w:rsid w:val="00561110"/>
    <w:rsid w:val="005A38DC"/>
    <w:rsid w:val="00715657"/>
    <w:rsid w:val="007C23F7"/>
    <w:rsid w:val="007F14C6"/>
    <w:rsid w:val="008D0127"/>
    <w:rsid w:val="008E51E9"/>
    <w:rsid w:val="00945B9A"/>
    <w:rsid w:val="00C914D5"/>
    <w:rsid w:val="00D10FA4"/>
    <w:rsid w:val="00D41951"/>
    <w:rsid w:val="00D90B8B"/>
    <w:rsid w:val="00E05F85"/>
    <w:rsid w:val="00EF2030"/>
    <w:rsid w:val="00F97E4F"/>
    <w:rsid w:val="00FC4FA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A38DC"/>
    <w:rPr>
      <w:color w:val="808080"/>
    </w:rPr>
  </w:style>
  <w:style w:type="paragraph" w:customStyle="1" w:styleId="66ECFD04AF6949BCA18C034389C1E95F">
    <w:name w:val="66ECFD04AF6949BCA18C034389C1E95F"/>
    <w:rsid w:val="005A38D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1E7D00-62B9-4FA3-AF97-CAE0139C5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6647</TotalTime>
  <Pages>27</Pages>
  <Words>26481</Words>
  <Characters>145648</Characters>
  <Application>Microsoft Office Word</Application>
  <DocSecurity>0</DocSecurity>
  <Lines>1213</Lines>
  <Paragraphs>343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Sipko van Dam</dc:creator>
  <cp:keywords/>
  <dc:description/>
  <cp:lastModifiedBy>Sipko van Dam</cp:lastModifiedBy>
  <cp:revision>122</cp:revision>
  <dcterms:created xsi:type="dcterms:W3CDTF">2021-11-02T12:38:00Z</dcterms:created>
  <dcterms:modified xsi:type="dcterms:W3CDTF">2022-04-06T10:11:00Z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e9f4d8cd-80da-33df-ae12-c12953a9d9a9</vt:lpwstr>
  </property>
  <property fmtid="{D5CDD505-2E9C-101B-9397-08002B2CF9AE}" pid="24" name="Mendeley Citation Style_1">
    <vt:lpwstr>http://www.zotero.org/styles/nature</vt:lpwstr>
  </property>
</Properties>
</file>