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BF23B" w14:textId="6E415F84" w:rsidR="003E43D6" w:rsidRPr="001560F9" w:rsidRDefault="003E43D6" w:rsidP="003E43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</w:t>
      </w:r>
      <w:r w:rsidRPr="001560F9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1560F9">
        <w:rPr>
          <w:rFonts w:ascii="Times New Roman" w:hAnsi="Times New Roman" w:cs="Times New Roman"/>
          <w:bCs/>
          <w:sz w:val="24"/>
          <w:szCs w:val="24"/>
        </w:rPr>
        <w:t>GLA:D</w:t>
      </w:r>
      <w:r w:rsidRPr="002B0139">
        <w:rPr>
          <w:rFonts w:ascii="Times New Roman" w:hAnsi="Times New Roman" w:cs="Times New Roman"/>
          <w:bCs/>
          <w:sz w:val="24"/>
          <w:szCs w:val="24"/>
          <w:vertAlign w:val="superscript"/>
        </w:rPr>
        <w:t>®</w:t>
      </w:r>
      <w:r w:rsidRPr="001560F9">
        <w:rPr>
          <w:rFonts w:ascii="Times New Roman" w:hAnsi="Times New Roman" w:cs="Times New Roman"/>
          <w:bCs/>
          <w:sz w:val="24"/>
          <w:szCs w:val="24"/>
        </w:rPr>
        <w:t xml:space="preserve"> Australia program logic model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F8214ED" w14:textId="77777777" w:rsidR="008C4A6D" w:rsidRPr="001560F9" w:rsidRDefault="008C4A6D" w:rsidP="008C4A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64"/>
        <w:gridCol w:w="2264"/>
        <w:gridCol w:w="2265"/>
        <w:gridCol w:w="2265"/>
        <w:gridCol w:w="2265"/>
        <w:gridCol w:w="2265"/>
      </w:tblGrid>
      <w:tr w:rsidR="008C4A6D" w:rsidRPr="001560F9" w14:paraId="17EB510E" w14:textId="77777777" w:rsidTr="001B1032">
        <w:tc>
          <w:tcPr>
            <w:tcW w:w="2264" w:type="dxa"/>
            <w:shd w:val="clear" w:color="auto" w:fill="FFE599" w:themeFill="accent4" w:themeFillTint="66"/>
          </w:tcPr>
          <w:p w14:paraId="5C69907A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Inputs</w:t>
            </w:r>
          </w:p>
        </w:tc>
        <w:tc>
          <w:tcPr>
            <w:tcW w:w="4529" w:type="dxa"/>
            <w:gridSpan w:val="2"/>
            <w:shd w:val="clear" w:color="auto" w:fill="C5E0B3" w:themeFill="accent6" w:themeFillTint="66"/>
          </w:tcPr>
          <w:p w14:paraId="58D89261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Outputs</w:t>
            </w:r>
          </w:p>
        </w:tc>
        <w:tc>
          <w:tcPr>
            <w:tcW w:w="6795" w:type="dxa"/>
            <w:gridSpan w:val="3"/>
            <w:shd w:val="clear" w:color="auto" w:fill="B4C6E7" w:themeFill="accent1" w:themeFillTint="66"/>
          </w:tcPr>
          <w:p w14:paraId="077468F6" w14:textId="77777777" w:rsidR="008C4A6D" w:rsidRPr="001560F9" w:rsidRDefault="008C4A6D" w:rsidP="001B1032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Outcomes – impact</w:t>
            </w:r>
          </w:p>
        </w:tc>
      </w:tr>
      <w:tr w:rsidR="008C4A6D" w:rsidRPr="001560F9" w14:paraId="76509EDC" w14:textId="77777777" w:rsidTr="001B1032">
        <w:tc>
          <w:tcPr>
            <w:tcW w:w="2264" w:type="dxa"/>
            <w:shd w:val="clear" w:color="auto" w:fill="FFE599" w:themeFill="accent4" w:themeFillTint="66"/>
          </w:tcPr>
          <w:p w14:paraId="39913597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</w:p>
        </w:tc>
        <w:tc>
          <w:tcPr>
            <w:tcW w:w="2264" w:type="dxa"/>
            <w:shd w:val="clear" w:color="auto" w:fill="C5E0B3" w:themeFill="accent6" w:themeFillTint="66"/>
          </w:tcPr>
          <w:p w14:paraId="12C1C1D7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Activities</w:t>
            </w:r>
          </w:p>
        </w:tc>
        <w:tc>
          <w:tcPr>
            <w:tcW w:w="2265" w:type="dxa"/>
            <w:shd w:val="clear" w:color="auto" w:fill="C5E0B3" w:themeFill="accent6" w:themeFillTint="66"/>
          </w:tcPr>
          <w:p w14:paraId="2E3622B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Participation</w:t>
            </w:r>
          </w:p>
        </w:tc>
        <w:tc>
          <w:tcPr>
            <w:tcW w:w="2265" w:type="dxa"/>
            <w:shd w:val="clear" w:color="auto" w:fill="B4C6E7" w:themeFill="accent1" w:themeFillTint="66"/>
          </w:tcPr>
          <w:p w14:paraId="6DDF40AA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Short term</w:t>
            </w:r>
          </w:p>
        </w:tc>
        <w:tc>
          <w:tcPr>
            <w:tcW w:w="2265" w:type="dxa"/>
            <w:shd w:val="clear" w:color="auto" w:fill="B4C6E7" w:themeFill="accent1" w:themeFillTint="66"/>
          </w:tcPr>
          <w:p w14:paraId="28C0A6B5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Medium term</w:t>
            </w:r>
          </w:p>
        </w:tc>
        <w:tc>
          <w:tcPr>
            <w:tcW w:w="2265" w:type="dxa"/>
            <w:shd w:val="clear" w:color="auto" w:fill="B4C6E7" w:themeFill="accent1" w:themeFillTint="66"/>
          </w:tcPr>
          <w:p w14:paraId="01C8256E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color w:val="373A3C"/>
                <w:sz w:val="24"/>
                <w:szCs w:val="24"/>
                <w:lang w:eastAsia="en-AU"/>
              </w:rPr>
              <w:t>Long term</w:t>
            </w:r>
          </w:p>
        </w:tc>
      </w:tr>
      <w:tr w:rsidR="008C4A6D" w:rsidRPr="001560F9" w14:paraId="191A6903" w14:textId="77777777" w:rsidTr="001B1032">
        <w:tc>
          <w:tcPr>
            <w:tcW w:w="2264" w:type="dxa"/>
          </w:tcPr>
          <w:p w14:paraId="0DEB5D15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 xml:space="preserve">Compelling evidence for education and exercise-therapy to treat knee osteoarthritis </w:t>
            </w:r>
          </w:p>
          <w:p w14:paraId="195E9C1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5D97C1D3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Education and exercise-therapy are guideline recommend first line treatments</w:t>
            </w:r>
          </w:p>
          <w:p w14:paraId="21F3ABD2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1C136DE9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 xml:space="preserve"> developed in Denmark, and adapted to Australian context</w:t>
            </w:r>
          </w:p>
          <w:p w14:paraId="306C3639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4268F37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Supported by La Trobe University, including physical and personnel infrastructure</w:t>
            </w:r>
          </w:p>
          <w:p w14:paraId="4F51C086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</w:tc>
        <w:tc>
          <w:tcPr>
            <w:tcW w:w="2264" w:type="dxa"/>
          </w:tcPr>
          <w:p w14:paraId="0E53C4C7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  <w:t>Core element 1</w:t>
            </w:r>
          </w:p>
          <w:p w14:paraId="3EB0AF94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 xml:space="preserve">Train clinical tutors to facilitate workshops for physiotherapists </w:t>
            </w:r>
          </w:p>
          <w:p w14:paraId="1B4C9DD4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654F986B" w14:textId="4E26D008" w:rsidR="008C4A6D" w:rsidRPr="001560F9" w:rsidRDefault="000F57B0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2</w:t>
            </w:r>
            <w:r w:rsidR="008C4A6D"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-day Workshops for physiotherapists held around Australia</w:t>
            </w:r>
          </w:p>
          <w:p w14:paraId="399728DF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7707D158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Ongoing email and phone support for implementation</w:t>
            </w:r>
          </w:p>
          <w:p w14:paraId="01F7111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7E5827A0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  <w:t>Core element 3</w:t>
            </w:r>
          </w:p>
          <w:p w14:paraId="16F517C5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Develop data registry to evaluate patient outcomes</w:t>
            </w:r>
          </w:p>
          <w:p w14:paraId="539DA7A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623659C8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Government and private health funding lobbying (media and communications related to program outcomes)</w:t>
            </w:r>
          </w:p>
        </w:tc>
        <w:tc>
          <w:tcPr>
            <w:tcW w:w="2265" w:type="dxa"/>
          </w:tcPr>
          <w:p w14:paraId="5A1F47D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  <w:t>Core element 1</w:t>
            </w:r>
          </w:p>
          <w:p w14:paraId="7D14CCF0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Physiotherapists complete training to implement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 xml:space="preserve"> as intended</w:t>
            </w:r>
          </w:p>
          <w:p w14:paraId="2207035B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021890C1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Public and private settings provide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 xml:space="preserve">® </w:t>
            </w:r>
          </w:p>
          <w:p w14:paraId="0375F5AA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</w:pPr>
          </w:p>
          <w:p w14:paraId="5F5E1B0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73A3C"/>
                <w:sz w:val="24"/>
                <w:szCs w:val="24"/>
                <w:lang w:eastAsia="en-AU"/>
              </w:rPr>
              <w:t>Core element 2</w:t>
            </w:r>
          </w:p>
          <w:p w14:paraId="3840BD92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People with osteoarthritis participate in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</w:p>
          <w:p w14:paraId="26B55E43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16EDEA1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</w:tc>
        <w:tc>
          <w:tcPr>
            <w:tcW w:w="2265" w:type="dxa"/>
          </w:tcPr>
          <w:p w14:paraId="403B0FB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>Physiotherapists are willing to participate in GLA:D</w:t>
            </w:r>
            <w:r w:rsidRPr="002B013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 xml:space="preserve"> Australia training</w:t>
            </w:r>
          </w:p>
          <w:p w14:paraId="34D777CA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</w:p>
          <w:p w14:paraId="491B47B7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>Physiotherapy workforce have improved capacity and willingness to implement education and exercise-therapy</w:t>
            </w:r>
          </w:p>
          <w:p w14:paraId="369B0E53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</w:p>
          <w:p w14:paraId="75814DA2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>GLA:D</w:t>
            </w:r>
            <w:r w:rsidRPr="002B013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 xml:space="preserve"> is implemented in public and private settings across Australia</w:t>
            </w:r>
          </w:p>
          <w:p w14:paraId="7C8C24A0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</w:p>
          <w:p w14:paraId="27661A2B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>Australians with osteoarthritis participate in GLA:D</w:t>
            </w:r>
            <w:r w:rsidRPr="002B013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 xml:space="preserve"> to assist the management of their OA</w:t>
            </w:r>
          </w:p>
        </w:tc>
        <w:tc>
          <w:tcPr>
            <w:tcW w:w="2265" w:type="dxa"/>
          </w:tcPr>
          <w:p w14:paraId="1306A9D5" w14:textId="2B786854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 xml:space="preserve">Patient outcomes following program participation reflect evidence base </w:t>
            </w:r>
            <w:r w:rsidR="00091E25">
              <w:rPr>
                <w:rFonts w:ascii="Times New Roman" w:eastAsia="Times New Roman" w:hAnsi="Times New Roman" w:cs="Times New Roman"/>
                <w:b/>
                <w:bCs/>
                <w:color w:val="373A3C"/>
                <w:sz w:val="24"/>
                <w:szCs w:val="24"/>
                <w:lang w:eastAsia="en-AU"/>
              </w:rPr>
              <w:t>(i.e. moderate effect on pain and joint-related quality of life; and small effect on health-related quality of life)</w:t>
            </w:r>
            <w:bookmarkStart w:id="0" w:name="_GoBack"/>
            <w:bookmarkEnd w:id="0"/>
          </w:p>
          <w:p w14:paraId="01AE0B6D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0CF90D2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Referrals from other health professionals (e.g. GPs) to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 xml:space="preserve"> occur frequently</w:t>
            </w:r>
          </w:p>
          <w:p w14:paraId="497B09C8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1033225B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Widespread public awareness of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</w:p>
          <w:p w14:paraId="14B9A60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3123DB8C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General public believe that exercise is beneficial, and not harmful, for osteoarthritis</w:t>
            </w:r>
          </w:p>
        </w:tc>
        <w:tc>
          <w:tcPr>
            <w:tcW w:w="2265" w:type="dxa"/>
          </w:tcPr>
          <w:p w14:paraId="47AA64BF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Improved funding in public and private health settings to facilitate equitable access to GLA:D</w:t>
            </w:r>
            <w:r w:rsidRPr="002B013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vertAlign w:val="superscript"/>
                <w:lang w:eastAsia="en-AU"/>
              </w:rPr>
              <w:t>®</w:t>
            </w:r>
          </w:p>
          <w:p w14:paraId="6EE7D9E3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</w:p>
          <w:p w14:paraId="4F9EC5E3" w14:textId="77777777" w:rsidR="008C4A6D" w:rsidRPr="001560F9" w:rsidRDefault="008C4A6D" w:rsidP="001B1032">
            <w:pPr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</w:pPr>
            <w:r w:rsidRPr="001560F9">
              <w:rPr>
                <w:rFonts w:ascii="Times New Roman" w:eastAsia="Times New Roman" w:hAnsi="Times New Roman" w:cs="Times New Roman"/>
                <w:color w:val="373A3C"/>
                <w:sz w:val="24"/>
                <w:szCs w:val="24"/>
                <w:lang w:eastAsia="en-AU"/>
              </w:rPr>
              <w:t>Improved cost-effectiveness of health system (reduced need for surgery and other medical expenses)</w:t>
            </w:r>
          </w:p>
        </w:tc>
      </w:tr>
    </w:tbl>
    <w:p w14:paraId="25A9DE84" w14:textId="4AE60717" w:rsidR="003E43D6" w:rsidRDefault="008C4A6D" w:rsidP="008C4A6D">
      <w:pPr>
        <w:spacing w:after="0" w:line="240" w:lineRule="auto"/>
      </w:pPr>
      <w:r w:rsidRPr="001560F9">
        <w:rPr>
          <w:rFonts w:ascii="Times New Roman" w:hAnsi="Times New Roman" w:cs="Times New Roman"/>
          <w:b/>
          <w:sz w:val="24"/>
          <w:szCs w:val="24"/>
        </w:rPr>
        <w:t xml:space="preserve">Bolded text = </w:t>
      </w:r>
      <w:r w:rsidRPr="001560F9">
        <w:rPr>
          <w:rFonts w:ascii="Times New Roman" w:hAnsi="Times New Roman" w:cs="Times New Roman"/>
          <w:bCs/>
          <w:sz w:val="24"/>
          <w:szCs w:val="24"/>
        </w:rPr>
        <w:t>focus of program evaluation questions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3E43D6" w:rsidSect="008C4A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D6"/>
    <w:rsid w:val="00091E25"/>
    <w:rsid w:val="000F57B0"/>
    <w:rsid w:val="002B0139"/>
    <w:rsid w:val="003E43D6"/>
    <w:rsid w:val="008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23D3D"/>
  <w15:chartTrackingRefBased/>
  <w15:docId w15:val="{C7CCF478-7F37-4C4A-932E-212FF317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3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Barton</dc:creator>
  <cp:keywords/>
  <dc:description/>
  <cp:lastModifiedBy>Christian Barton</cp:lastModifiedBy>
  <cp:revision>5</cp:revision>
  <dcterms:created xsi:type="dcterms:W3CDTF">2020-09-27T04:39:00Z</dcterms:created>
  <dcterms:modified xsi:type="dcterms:W3CDTF">2020-12-05T10:07:00Z</dcterms:modified>
</cp:coreProperties>
</file>