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665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F0EF5" w:rsidRPr="003C09D1" w14:paraId="4CC2D3ED" w14:textId="77777777" w:rsidTr="004F0EF5">
        <w:tc>
          <w:tcPr>
            <w:tcW w:w="4675" w:type="dxa"/>
          </w:tcPr>
          <w:p w14:paraId="599B432C" w14:textId="77777777" w:rsidR="004F0EF5" w:rsidRPr="003C09D1" w:rsidRDefault="004F0EF5" w:rsidP="004F0E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9D1">
              <w:rPr>
                <w:rFonts w:ascii="Times New Roman" w:hAnsi="Times New Roman" w:cs="Times New Roman"/>
                <w:b/>
                <w:bCs/>
              </w:rPr>
              <w:t>Reaction History and Characteristics</w:t>
            </w:r>
          </w:p>
        </w:tc>
        <w:tc>
          <w:tcPr>
            <w:tcW w:w="4675" w:type="dxa"/>
          </w:tcPr>
          <w:p w14:paraId="346CCB5F" w14:textId="66794FC2" w:rsidR="004F0EF5" w:rsidRPr="003C09D1" w:rsidRDefault="004F0EF5" w:rsidP="004F0E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9D1">
              <w:rPr>
                <w:rFonts w:ascii="Times New Roman" w:hAnsi="Times New Roman" w:cs="Times New Roman"/>
                <w:b/>
                <w:bCs/>
              </w:rPr>
              <w:t xml:space="preserve">Proportion of Patients </w:t>
            </w:r>
          </w:p>
        </w:tc>
      </w:tr>
      <w:tr w:rsidR="004F0EF5" w:rsidRPr="003C09D1" w14:paraId="5F2DC281" w14:textId="77777777" w:rsidTr="004F0EF5">
        <w:tc>
          <w:tcPr>
            <w:tcW w:w="4675" w:type="dxa"/>
          </w:tcPr>
          <w:p w14:paraId="694911D2" w14:textId="77777777" w:rsidR="004F0EF5" w:rsidRPr="003C09D1" w:rsidRDefault="004F0EF5" w:rsidP="004F0EF5">
            <w:p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Symptoms concerning for cytopenia, serum sickness-like reactions, severe cutaneous adverse reactions</w:t>
            </w:r>
          </w:p>
        </w:tc>
        <w:tc>
          <w:tcPr>
            <w:tcW w:w="4675" w:type="dxa"/>
          </w:tcPr>
          <w:p w14:paraId="333DA69E" w14:textId="77777777" w:rsidR="004F0EF5" w:rsidRPr="003C09D1" w:rsidRDefault="004F0EF5" w:rsidP="004F0EF5">
            <w:p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 xml:space="preserve">        None </w:t>
            </w:r>
          </w:p>
        </w:tc>
      </w:tr>
      <w:tr w:rsidR="004F0EF5" w:rsidRPr="003C09D1" w14:paraId="1D130959" w14:textId="77777777" w:rsidTr="004F0EF5">
        <w:tc>
          <w:tcPr>
            <w:tcW w:w="4675" w:type="dxa"/>
          </w:tcPr>
          <w:p w14:paraId="798BB729" w14:textId="77777777" w:rsidR="004F0EF5" w:rsidRPr="003C09D1" w:rsidRDefault="004F0EF5" w:rsidP="004F0EF5">
            <w:p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Timing to reaction from first dose</w:t>
            </w:r>
          </w:p>
          <w:p w14:paraId="7FFE9A19" w14:textId="77777777" w:rsidR="004F0EF5" w:rsidRPr="003C09D1" w:rsidRDefault="004F0EF5" w:rsidP="004F0E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Immediate (&lt;6 hours)</w:t>
            </w:r>
          </w:p>
          <w:p w14:paraId="656ABB2C" w14:textId="77777777" w:rsidR="004F0EF5" w:rsidRPr="003C09D1" w:rsidRDefault="004F0EF5" w:rsidP="004F0E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Delayed (&gt;24 hours)</w:t>
            </w:r>
          </w:p>
          <w:p w14:paraId="4A9B7E32" w14:textId="77777777" w:rsidR="004F0EF5" w:rsidRPr="003C09D1" w:rsidRDefault="004F0EF5" w:rsidP="004F0E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Unknown</w:t>
            </w:r>
          </w:p>
          <w:p w14:paraId="4A451DA1" w14:textId="77777777" w:rsidR="004F0EF5" w:rsidRPr="003C09D1" w:rsidRDefault="004F0EF5" w:rsidP="004F0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588E7EAE" w14:textId="77777777" w:rsidR="004F0EF5" w:rsidRPr="003C09D1" w:rsidRDefault="004F0EF5" w:rsidP="004F0EF5">
            <w:pPr>
              <w:rPr>
                <w:rFonts w:ascii="Times New Roman" w:hAnsi="Times New Roman" w:cs="Times New Roman"/>
              </w:rPr>
            </w:pPr>
          </w:p>
          <w:p w14:paraId="6D9EC734" w14:textId="5CF9ACF8" w:rsidR="004F0EF5" w:rsidRPr="003C09D1" w:rsidRDefault="004F0EF5" w:rsidP="004F0E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(4.3%)</w:t>
            </w:r>
          </w:p>
          <w:p w14:paraId="7F4D089A" w14:textId="2D545668" w:rsidR="004F0EF5" w:rsidRPr="003C09D1" w:rsidRDefault="004F0EF5" w:rsidP="004F0E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(69.6)</w:t>
            </w:r>
          </w:p>
          <w:p w14:paraId="494FFFBE" w14:textId="7A808F7D" w:rsidR="004F0EF5" w:rsidRPr="003C09D1" w:rsidRDefault="004F0EF5" w:rsidP="004F0E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(26.1%)</w:t>
            </w:r>
          </w:p>
        </w:tc>
      </w:tr>
      <w:tr w:rsidR="004F0EF5" w:rsidRPr="003C09D1" w14:paraId="572B4F73" w14:textId="77777777" w:rsidTr="004F0EF5">
        <w:tc>
          <w:tcPr>
            <w:tcW w:w="4675" w:type="dxa"/>
          </w:tcPr>
          <w:p w14:paraId="7E5A4F54" w14:textId="77777777" w:rsidR="004F0EF5" w:rsidRPr="003C09D1" w:rsidRDefault="004F0EF5" w:rsidP="004F0EF5">
            <w:p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Cutaneous involvement only*</w:t>
            </w:r>
          </w:p>
          <w:p w14:paraId="69A24BF7" w14:textId="77777777" w:rsidR="004F0EF5" w:rsidRPr="003C09D1" w:rsidRDefault="004F0EF5" w:rsidP="004F0E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 xml:space="preserve">Generalized urticaria </w:t>
            </w:r>
          </w:p>
          <w:p w14:paraId="124925B7" w14:textId="77777777" w:rsidR="004F0EF5" w:rsidRPr="003C09D1" w:rsidRDefault="004F0EF5" w:rsidP="004F0E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 xml:space="preserve">Non-urticarial exanthem </w:t>
            </w:r>
          </w:p>
          <w:p w14:paraId="1B388EF0" w14:textId="77777777" w:rsidR="004F0EF5" w:rsidRPr="003C09D1" w:rsidRDefault="004F0EF5" w:rsidP="004F0E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Angioedema</w:t>
            </w:r>
          </w:p>
          <w:p w14:paraId="63D03C2A" w14:textId="77777777" w:rsidR="004F0EF5" w:rsidRPr="003C09D1" w:rsidRDefault="004F0EF5" w:rsidP="004F0E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Remote, unknown</w:t>
            </w:r>
          </w:p>
        </w:tc>
        <w:tc>
          <w:tcPr>
            <w:tcW w:w="4675" w:type="dxa"/>
          </w:tcPr>
          <w:p w14:paraId="46A11330" w14:textId="77777777" w:rsidR="004F0EF5" w:rsidRPr="003C09D1" w:rsidRDefault="004F0EF5" w:rsidP="004F0EF5">
            <w:p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19 (83%)</w:t>
            </w:r>
          </w:p>
          <w:p w14:paraId="2C6A02EA" w14:textId="77777777" w:rsidR="004F0EF5" w:rsidRPr="003C09D1" w:rsidRDefault="004F0EF5" w:rsidP="004F0E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7 (30.4%)</w:t>
            </w:r>
          </w:p>
          <w:p w14:paraId="79FE82C0" w14:textId="77777777" w:rsidR="004F0EF5" w:rsidRPr="003C09D1" w:rsidRDefault="004F0EF5" w:rsidP="004F0E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11(47.8%)</w:t>
            </w:r>
          </w:p>
          <w:p w14:paraId="33EB0559" w14:textId="77777777" w:rsidR="004F0EF5" w:rsidRPr="003C09D1" w:rsidRDefault="004F0EF5" w:rsidP="004F0E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1 (4.3%)</w:t>
            </w:r>
          </w:p>
          <w:p w14:paraId="5A38FC13" w14:textId="77777777" w:rsidR="004F0EF5" w:rsidRPr="003C09D1" w:rsidRDefault="004F0EF5" w:rsidP="004F0E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1 (4.3%)</w:t>
            </w:r>
          </w:p>
        </w:tc>
      </w:tr>
      <w:tr w:rsidR="004F0EF5" w:rsidRPr="003C09D1" w14:paraId="511DC287" w14:textId="77777777" w:rsidTr="004F0EF5">
        <w:tc>
          <w:tcPr>
            <w:tcW w:w="4675" w:type="dxa"/>
          </w:tcPr>
          <w:p w14:paraId="3393D3DB" w14:textId="77777777" w:rsidR="004F0EF5" w:rsidRPr="003C09D1" w:rsidRDefault="004F0EF5" w:rsidP="004F0EF5">
            <w:p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Index reaction prior to age 18</w:t>
            </w:r>
          </w:p>
        </w:tc>
        <w:tc>
          <w:tcPr>
            <w:tcW w:w="4675" w:type="dxa"/>
          </w:tcPr>
          <w:p w14:paraId="493353AC" w14:textId="77777777" w:rsidR="004F0EF5" w:rsidRPr="003C09D1" w:rsidRDefault="004F0EF5" w:rsidP="004F0EF5">
            <w:p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15 (65.2 %)</w:t>
            </w:r>
          </w:p>
        </w:tc>
      </w:tr>
      <w:tr w:rsidR="004F0EF5" w:rsidRPr="003C09D1" w14:paraId="1BFAF779" w14:textId="77777777" w:rsidTr="004F0EF5">
        <w:tc>
          <w:tcPr>
            <w:tcW w:w="4675" w:type="dxa"/>
          </w:tcPr>
          <w:p w14:paraId="7DBC9519" w14:textId="77777777" w:rsidR="004F0EF5" w:rsidRPr="003C09D1" w:rsidRDefault="004F0EF5" w:rsidP="004F0EF5">
            <w:p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Time elapsed since index reaction</w:t>
            </w:r>
          </w:p>
          <w:p w14:paraId="46B0DB0A" w14:textId="77777777" w:rsidR="004F0EF5" w:rsidRPr="003C09D1" w:rsidRDefault="004F0EF5" w:rsidP="004F0E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&gt;1 year</w:t>
            </w:r>
          </w:p>
          <w:p w14:paraId="09CFEB53" w14:textId="77777777" w:rsidR="004F0EF5" w:rsidRPr="003C09D1" w:rsidRDefault="004F0EF5" w:rsidP="004F0E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 xml:space="preserve">&lt;1 year </w:t>
            </w:r>
          </w:p>
          <w:p w14:paraId="088376B8" w14:textId="77777777" w:rsidR="004F0EF5" w:rsidRPr="003C09D1" w:rsidRDefault="004F0EF5" w:rsidP="004F0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366E20B9" w14:textId="77777777" w:rsidR="004F0EF5" w:rsidRPr="003C09D1" w:rsidRDefault="004F0EF5" w:rsidP="004F0EF5">
            <w:pPr>
              <w:rPr>
                <w:rFonts w:ascii="Times New Roman" w:hAnsi="Times New Roman" w:cs="Times New Roman"/>
              </w:rPr>
            </w:pPr>
          </w:p>
          <w:p w14:paraId="39EA35AB" w14:textId="77777777" w:rsidR="004F0EF5" w:rsidRPr="003C09D1" w:rsidRDefault="004F0EF5" w:rsidP="004F0E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21 (91.3%)</w:t>
            </w:r>
          </w:p>
          <w:p w14:paraId="6919C081" w14:textId="77777777" w:rsidR="004F0EF5" w:rsidRPr="003C09D1" w:rsidRDefault="004F0EF5" w:rsidP="004F0E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C09D1">
              <w:rPr>
                <w:rFonts w:ascii="Times New Roman" w:hAnsi="Times New Roman" w:cs="Times New Roman"/>
              </w:rPr>
              <w:t>2 (8.7%)</w:t>
            </w:r>
          </w:p>
        </w:tc>
      </w:tr>
    </w:tbl>
    <w:p w14:paraId="02BDC188" w14:textId="77777777" w:rsidR="004F0EF5" w:rsidRDefault="003C09D1">
      <w:pPr>
        <w:rPr>
          <w:rFonts w:ascii="Times New Roman" w:hAnsi="Times New Roman" w:cs="Times New Roman"/>
          <w:sz w:val="16"/>
          <w:szCs w:val="16"/>
        </w:rPr>
      </w:pPr>
      <w:r w:rsidRPr="004F0EF5">
        <w:rPr>
          <w:rFonts w:ascii="Times New Roman" w:hAnsi="Times New Roman" w:cs="Times New Roman"/>
          <w:b/>
          <w:bCs/>
          <w:sz w:val="16"/>
          <w:szCs w:val="16"/>
        </w:rPr>
        <w:t xml:space="preserve">Table 2: </w:t>
      </w:r>
      <w:r w:rsidR="004F0EF5">
        <w:rPr>
          <w:rFonts w:ascii="Times New Roman" w:hAnsi="Times New Roman" w:cs="Times New Roman"/>
          <w:sz w:val="16"/>
          <w:szCs w:val="16"/>
        </w:rPr>
        <w:t>Reaction history and characteristics of patients who underwent the virtually supervised oral amoxicillin challenge.</w:t>
      </w:r>
    </w:p>
    <w:p w14:paraId="2E52771E" w14:textId="011E4EB2" w:rsidR="002944AD" w:rsidRPr="003C09D1" w:rsidRDefault="004F0EF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834C4E" w:rsidRPr="003C09D1">
        <w:rPr>
          <w:rFonts w:ascii="Times New Roman" w:hAnsi="Times New Roman" w:cs="Times New Roman"/>
          <w:sz w:val="16"/>
          <w:szCs w:val="16"/>
        </w:rPr>
        <w:t xml:space="preserve">*With no history of severe cutaneous adverse reactions </w:t>
      </w:r>
    </w:p>
    <w:sectPr w:rsidR="002944AD" w:rsidRPr="003C09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166"/>
    <w:multiLevelType w:val="hybridMultilevel"/>
    <w:tmpl w:val="F1C6E7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62D12"/>
    <w:multiLevelType w:val="hybridMultilevel"/>
    <w:tmpl w:val="19CC03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C0715"/>
    <w:multiLevelType w:val="hybridMultilevel"/>
    <w:tmpl w:val="4BFEAB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988744">
    <w:abstractNumId w:val="0"/>
  </w:num>
  <w:num w:numId="2" w16cid:durableId="1641619275">
    <w:abstractNumId w:val="1"/>
  </w:num>
  <w:num w:numId="3" w16cid:durableId="9141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4E"/>
    <w:rsid w:val="00014884"/>
    <w:rsid w:val="002944AD"/>
    <w:rsid w:val="003C09D1"/>
    <w:rsid w:val="004F0EF5"/>
    <w:rsid w:val="006906A7"/>
    <w:rsid w:val="00834C4E"/>
    <w:rsid w:val="00F1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14E2E"/>
  <w15:chartTrackingRefBased/>
  <w15:docId w15:val="{9E93DEE7-0B9D-4E45-971F-D05F8038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4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4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Ghassemian</dc:creator>
  <cp:keywords/>
  <dc:description/>
  <cp:lastModifiedBy>Arian Ghassemian</cp:lastModifiedBy>
  <cp:revision>2</cp:revision>
  <dcterms:created xsi:type="dcterms:W3CDTF">2022-05-23T16:19:00Z</dcterms:created>
  <dcterms:modified xsi:type="dcterms:W3CDTF">2022-05-23T16:19:00Z</dcterms:modified>
</cp:coreProperties>
</file>