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6E" w:rsidRPr="00A66B38" w:rsidRDefault="00DB736E" w:rsidP="00DB736E">
      <w:pPr>
        <w:spacing w:after="0" w:line="480" w:lineRule="auto"/>
        <w:jc w:val="both"/>
        <w:rPr>
          <w:rFonts w:ascii="Times New Roman" w:hAnsi="Times New Roman" w:cs="Times New Roman"/>
          <w:b/>
          <w:sz w:val="20"/>
          <w:szCs w:val="20"/>
        </w:rPr>
      </w:pPr>
      <w:r w:rsidRPr="00A66B38">
        <w:rPr>
          <w:rFonts w:ascii="Times New Roman" w:hAnsi="Times New Roman" w:cs="Times New Roman"/>
          <w:b/>
          <w:sz w:val="20"/>
          <w:szCs w:val="20"/>
        </w:rPr>
        <w:t>APPENDIX</w:t>
      </w:r>
    </w:p>
    <w:p w:rsidR="00DB736E" w:rsidRPr="00B06DF5" w:rsidRDefault="00DB736E" w:rsidP="00DB736E">
      <w:pPr>
        <w:spacing w:after="0" w:line="480" w:lineRule="auto"/>
        <w:jc w:val="both"/>
        <w:rPr>
          <w:rFonts w:ascii="Times New Roman" w:hAnsi="Times New Roman" w:cs="Times New Roman"/>
          <w:sz w:val="20"/>
        </w:rPr>
      </w:pPr>
      <w:r w:rsidRPr="00281F88">
        <w:rPr>
          <w:rFonts w:ascii="Times New Roman" w:hAnsi="Times New Roman" w:cs="Times New Roman"/>
          <w:b/>
          <w:sz w:val="20"/>
        </w:rPr>
        <w:t>Fig 10</w:t>
      </w:r>
      <w:r>
        <w:rPr>
          <w:rFonts w:ascii="Times New Roman" w:hAnsi="Times New Roman" w:cs="Times New Roman"/>
          <w:sz w:val="20"/>
        </w:rPr>
        <w:t xml:space="preserve"> </w:t>
      </w:r>
      <w:r w:rsidRPr="00B06DF5">
        <w:rPr>
          <w:rFonts w:ascii="Times New Roman" w:hAnsi="Times New Roman" w:cs="Times New Roman"/>
          <w:sz w:val="20"/>
        </w:rPr>
        <w:t xml:space="preserve">A Condition Typical of </w:t>
      </w:r>
      <w:r w:rsidRPr="00B06DF5">
        <w:rPr>
          <w:rFonts w:ascii="Times New Roman" w:hAnsi="Times New Roman" w:cs="Times New Roman"/>
          <w:i/>
          <w:sz w:val="20"/>
        </w:rPr>
        <w:t>Escherichia coli</w:t>
      </w:r>
      <w:r w:rsidRPr="00B06DF5">
        <w:rPr>
          <w:rFonts w:ascii="Times New Roman" w:hAnsi="Times New Roman" w:cs="Times New Roman"/>
          <w:sz w:val="20"/>
        </w:rPr>
        <w:t xml:space="preserve"> Septicaemia as seen in one of the Farms</w:t>
      </w:r>
    </w:p>
    <w:p w:rsidR="00DB736E" w:rsidRPr="003620B4" w:rsidRDefault="00DB736E" w:rsidP="00DB736E">
      <w:pPr>
        <w:spacing w:after="0" w:line="480" w:lineRule="auto"/>
        <w:jc w:val="both"/>
        <w:rPr>
          <w:rFonts w:ascii="Times New Roman" w:hAnsi="Times New Roman" w:cs="Times New Roman"/>
        </w:rPr>
      </w:pPr>
    </w:p>
    <w:p w:rsidR="00DB736E" w:rsidRPr="00B06DF5" w:rsidRDefault="00DB736E" w:rsidP="00DB736E">
      <w:pPr>
        <w:spacing w:after="0" w:line="480" w:lineRule="auto"/>
        <w:rPr>
          <w:rFonts w:ascii="Times New Roman" w:hAnsi="Times New Roman" w:cs="Times New Roman"/>
          <w:sz w:val="20"/>
        </w:rPr>
      </w:pPr>
      <w:r w:rsidRPr="00281F88">
        <w:rPr>
          <w:rFonts w:ascii="Times New Roman" w:hAnsi="Times New Roman" w:cs="Times New Roman"/>
          <w:b/>
          <w:sz w:val="20"/>
        </w:rPr>
        <w:t>Fig 11</w:t>
      </w:r>
      <w:r>
        <w:rPr>
          <w:rFonts w:ascii="Times New Roman" w:hAnsi="Times New Roman" w:cs="Times New Roman"/>
          <w:sz w:val="20"/>
        </w:rPr>
        <w:t xml:space="preserve"> </w:t>
      </w:r>
      <w:r w:rsidRPr="00B06DF5">
        <w:rPr>
          <w:rFonts w:ascii="Times New Roman" w:hAnsi="Times New Roman" w:cs="Times New Roman"/>
          <w:sz w:val="20"/>
        </w:rPr>
        <w:t xml:space="preserve">Gram Positive Short Rods Typical of </w:t>
      </w:r>
      <w:r w:rsidRPr="00B06DF5">
        <w:rPr>
          <w:rFonts w:ascii="Times New Roman" w:hAnsi="Times New Roman" w:cs="Times New Roman"/>
          <w:i/>
          <w:sz w:val="20"/>
        </w:rPr>
        <w:t>Escherichia coli</w:t>
      </w:r>
      <w:r w:rsidRPr="00B06DF5">
        <w:rPr>
          <w:rFonts w:ascii="Times New Roman" w:hAnsi="Times New Roman" w:cs="Times New Roman"/>
          <w:sz w:val="20"/>
        </w:rPr>
        <w:t xml:space="preserve"> seen under Oil Immersion</w:t>
      </w:r>
    </w:p>
    <w:p w:rsidR="00DB736E" w:rsidRPr="003620B4" w:rsidRDefault="00DB736E" w:rsidP="00DB736E">
      <w:pPr>
        <w:spacing w:after="0" w:line="480" w:lineRule="auto"/>
        <w:rPr>
          <w:rFonts w:ascii="Times New Roman" w:hAnsi="Times New Roman" w:cs="Times New Roman"/>
        </w:rPr>
      </w:pPr>
    </w:p>
    <w:p w:rsidR="00DB736E" w:rsidRPr="00B06DF5" w:rsidRDefault="00DB736E" w:rsidP="00DB736E">
      <w:pPr>
        <w:spacing w:after="0" w:line="480" w:lineRule="auto"/>
        <w:rPr>
          <w:rFonts w:ascii="Times New Roman" w:hAnsi="Times New Roman" w:cs="Times New Roman"/>
          <w:sz w:val="20"/>
        </w:rPr>
      </w:pPr>
      <w:r w:rsidRPr="00281F88">
        <w:rPr>
          <w:rFonts w:ascii="Times New Roman" w:hAnsi="Times New Roman" w:cs="Times New Roman"/>
          <w:b/>
          <w:sz w:val="20"/>
        </w:rPr>
        <w:t>Fig 12</w:t>
      </w:r>
      <w:r>
        <w:rPr>
          <w:rFonts w:ascii="Times New Roman" w:hAnsi="Times New Roman" w:cs="Times New Roman"/>
          <w:sz w:val="20"/>
        </w:rPr>
        <w:t xml:space="preserve"> </w:t>
      </w:r>
      <w:r w:rsidRPr="00B06DF5">
        <w:rPr>
          <w:rFonts w:ascii="Times New Roman" w:hAnsi="Times New Roman" w:cs="Times New Roman"/>
          <w:sz w:val="20"/>
        </w:rPr>
        <w:t>Pathogenic isolates on Sorbitol Macconkey Agar Appear as yellow colonies</w:t>
      </w:r>
    </w:p>
    <w:p w:rsidR="00DB736E" w:rsidRPr="003620B4" w:rsidRDefault="00DB736E" w:rsidP="00DB736E">
      <w:pPr>
        <w:spacing w:after="0" w:line="480" w:lineRule="auto"/>
        <w:rPr>
          <w:rFonts w:ascii="Times New Roman" w:hAnsi="Times New Roman" w:cs="Times New Roman"/>
        </w:rPr>
      </w:pPr>
    </w:p>
    <w:p w:rsidR="00DB736E" w:rsidRPr="00B06DF5" w:rsidRDefault="00DB736E" w:rsidP="00DB736E">
      <w:pPr>
        <w:spacing w:line="480" w:lineRule="auto"/>
        <w:rPr>
          <w:rFonts w:ascii="Times New Roman" w:hAnsi="Times New Roman" w:cs="Times New Roman"/>
          <w:sz w:val="20"/>
        </w:rPr>
      </w:pPr>
      <w:r w:rsidRPr="00281F88">
        <w:rPr>
          <w:rFonts w:ascii="Times New Roman" w:hAnsi="Times New Roman" w:cs="Times New Roman"/>
          <w:b/>
          <w:sz w:val="20"/>
        </w:rPr>
        <w:t>Fig 13</w:t>
      </w:r>
      <w:r>
        <w:rPr>
          <w:rFonts w:ascii="Times New Roman" w:hAnsi="Times New Roman" w:cs="Times New Roman"/>
          <w:i/>
          <w:sz w:val="20"/>
        </w:rPr>
        <w:t xml:space="preserve"> </w:t>
      </w:r>
      <w:r w:rsidRPr="00B06DF5">
        <w:rPr>
          <w:rFonts w:ascii="Times New Roman" w:hAnsi="Times New Roman" w:cs="Times New Roman"/>
          <w:i/>
          <w:sz w:val="20"/>
        </w:rPr>
        <w:t>Escherichia coli</w:t>
      </w:r>
      <w:r w:rsidRPr="00B06DF5">
        <w:rPr>
          <w:rFonts w:ascii="Times New Roman" w:hAnsi="Times New Roman" w:cs="Times New Roman"/>
          <w:sz w:val="20"/>
        </w:rPr>
        <w:t xml:space="preserve"> on Eosin Methylene Blue Agar</w:t>
      </w:r>
    </w:p>
    <w:p w:rsidR="00DB736E" w:rsidRPr="009606BC" w:rsidRDefault="00DB736E" w:rsidP="00DB736E">
      <w:pPr>
        <w:spacing w:line="480" w:lineRule="auto"/>
        <w:rPr>
          <w:rFonts w:ascii="Times New Roman" w:hAnsi="Times New Roman" w:cs="Times New Roman"/>
          <w:b/>
          <w:sz w:val="20"/>
          <w:szCs w:val="20"/>
        </w:rPr>
      </w:pPr>
      <w:r w:rsidRPr="009606BC">
        <w:rPr>
          <w:rFonts w:ascii="Times New Roman" w:hAnsi="Times New Roman" w:cs="Times New Roman"/>
          <w:b/>
          <w:sz w:val="20"/>
          <w:szCs w:val="20"/>
        </w:rPr>
        <w:t>Supplementary</w:t>
      </w:r>
    </w:p>
    <w:p w:rsidR="00DB736E" w:rsidRPr="009606BC" w:rsidRDefault="00DB736E" w:rsidP="00DB736E">
      <w:pPr>
        <w:spacing w:after="0" w:line="480" w:lineRule="auto"/>
        <w:jc w:val="both"/>
        <w:rPr>
          <w:rFonts w:ascii="Times New Roman" w:hAnsi="Times New Roman" w:cs="Times New Roman"/>
          <w:sz w:val="20"/>
          <w:szCs w:val="20"/>
        </w:rPr>
      </w:pPr>
      <w:r w:rsidRPr="009606BC">
        <w:rPr>
          <w:rFonts w:ascii="Times New Roman" w:hAnsi="Times New Roman" w:cs="Times New Roman"/>
          <w:sz w:val="20"/>
          <w:szCs w:val="20"/>
        </w:rPr>
        <w:t xml:space="preserve">The PCR reactions were performed in a final volume of 25 µl containing 7 µl nuclease free water, 12.5 µl 2x green master mix, 20 pmole of 0.25 µl of primer and 5 µl of DNA template. Tetracycline and quinolones had 0.25 µl of 20 pmole of each primer while sulphonamide and ampicillin had 0.5 µl of each primer and 6.5 µl of nuclease free water respectively. PCR amplification cycle of Tetracycline resistant genes consisted of an initial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5 min, followed by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1 min, annealing temperature at 55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1 min and final elongation temperature at 72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90 sec. PCR amplification cycle of quinolones resistant genes consisted of an initial denaturation temperature at 95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5 min, followed by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1 min, annealing temperature at 56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1 min and final elongation temperature at 72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1 min. PCR amplification cycle of sulphonamide resistant genes  consisted of an initial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5 min, followed by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1 min, annealing temperature at 55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1 min and final elongation temperature at 72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5 min. PCR amplification cycle of ampicillin resistant genes consisted of an initial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5 min, followed by denaturation temperature at 94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30 sec, annealing temperature at 50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30 sec, and final elongation temperature at 72 </w:t>
      </w:r>
      <w:r w:rsidRPr="009606BC">
        <w:rPr>
          <w:rFonts w:ascii="Times New Roman" w:hAnsi="Times New Roman" w:cs="Times New Roman"/>
          <w:sz w:val="20"/>
          <w:szCs w:val="20"/>
          <w:vertAlign w:val="superscript"/>
        </w:rPr>
        <w:t>O</w:t>
      </w:r>
      <w:r w:rsidRPr="009606BC">
        <w:rPr>
          <w:rFonts w:ascii="Times New Roman" w:hAnsi="Times New Roman" w:cs="Times New Roman"/>
          <w:sz w:val="20"/>
          <w:szCs w:val="20"/>
        </w:rPr>
        <w:t xml:space="preserve">C for 90 sec. Electrophoresis were carried out on the amplicons using 1.5% agarose powder in 100 ml of 1X TBE  at 100v for 35 min. the gel were visualized using Gel Documentation System (Synegene®). A molecular weight marker with 100bp and 1kb plus were used as a size standard. An in houses positive control, extracted from </w:t>
      </w:r>
      <w:r w:rsidRPr="009606BC">
        <w:rPr>
          <w:rFonts w:ascii="Times New Roman" w:hAnsi="Times New Roman" w:cs="Times New Roman"/>
          <w:i/>
          <w:sz w:val="20"/>
          <w:szCs w:val="20"/>
        </w:rPr>
        <w:t>E. coli</w:t>
      </w:r>
      <w:r w:rsidRPr="009606BC">
        <w:rPr>
          <w:rFonts w:ascii="Times New Roman" w:hAnsi="Times New Roman" w:cs="Times New Roman"/>
          <w:sz w:val="20"/>
          <w:szCs w:val="20"/>
        </w:rPr>
        <w:t xml:space="preserve"> as used by Biotechnology Centre of the National Veterinary Research Institute, Vom, Plateau State, Nigeria, was used as positive control, while reaction with no template DNA added was used as negative control.</w:t>
      </w:r>
    </w:p>
    <w:p w:rsidR="003F484F" w:rsidRDefault="00DB736E">
      <w:bookmarkStart w:id="0" w:name="_GoBack"/>
      <w:bookmarkEnd w:id="0"/>
    </w:p>
    <w:sectPr w:rsidR="003F484F" w:rsidSect="004E764A">
      <w:headerReference w:type="default" r:id="rId4"/>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693107"/>
      <w:docPartObj>
        <w:docPartGallery w:val="Page Numbers (Bottom of Page)"/>
        <w:docPartUnique/>
      </w:docPartObj>
    </w:sdtPr>
    <w:sdtEndPr>
      <w:rPr>
        <w:noProof/>
      </w:rPr>
    </w:sdtEndPr>
    <w:sdtContent>
      <w:p w:rsidR="00946B8D" w:rsidRDefault="00DB736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46B8D" w:rsidRDefault="00DB736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B8D" w:rsidRDefault="00DB736E" w:rsidP="00946B8D">
    <w:pPr>
      <w:pStyle w:val="Header"/>
      <w:ind w:left="-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E"/>
    <w:rsid w:val="00694890"/>
    <w:rsid w:val="00D574C6"/>
    <w:rsid w:val="00DB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3D0E6-4F10-4BC7-B33C-D7B91E3B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36E"/>
  </w:style>
  <w:style w:type="paragraph" w:styleId="Footer">
    <w:name w:val="footer"/>
    <w:basedOn w:val="Normal"/>
    <w:link w:val="FooterChar"/>
    <w:uiPriority w:val="99"/>
    <w:unhideWhenUsed/>
    <w:rsid w:val="00DB7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36E"/>
  </w:style>
  <w:style w:type="character" w:styleId="LineNumber">
    <w:name w:val="line number"/>
    <w:basedOn w:val="DefaultParagraphFont"/>
    <w:uiPriority w:val="99"/>
    <w:semiHidden/>
    <w:unhideWhenUsed/>
    <w:rsid w:val="00DB7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 Dipak Gaikwad</dc:creator>
  <cp:keywords/>
  <dc:description/>
  <cp:lastModifiedBy>Vijaya Dipak Gaikwad</cp:lastModifiedBy>
  <cp:revision>1</cp:revision>
  <dcterms:created xsi:type="dcterms:W3CDTF">2022-07-11T09:45:00Z</dcterms:created>
  <dcterms:modified xsi:type="dcterms:W3CDTF">2022-07-11T09:45:00Z</dcterms:modified>
</cp:coreProperties>
</file>