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0BE5A" w14:textId="687EAF6F" w:rsidR="008834D6" w:rsidRPr="00D5157F" w:rsidRDefault="007F2E2F" w:rsidP="008834D6">
      <w:pPr>
        <w:spacing w:after="0" w:line="480" w:lineRule="auto"/>
        <w:jc w:val="both"/>
        <w:rPr>
          <w:rFonts w:ascii="Times New Roman" w:eastAsia="Times New Roman" w:hAnsi="Times New Roman" w:cs="Times New Roman"/>
          <w:b/>
          <w:sz w:val="24"/>
          <w:szCs w:val="24"/>
          <w:lang w:val="it-IT"/>
        </w:rPr>
      </w:pPr>
      <w:proofErr w:type="spellStart"/>
      <w:r w:rsidRPr="00D5157F">
        <w:rPr>
          <w:rFonts w:ascii="Times New Roman" w:eastAsia="Times New Roman" w:hAnsi="Times New Roman" w:cs="Times New Roman"/>
          <w:b/>
          <w:sz w:val="24"/>
          <w:szCs w:val="24"/>
          <w:lang w:val="it-IT"/>
        </w:rPr>
        <w:t>Supplementary</w:t>
      </w:r>
      <w:proofErr w:type="spellEnd"/>
      <w:r w:rsidRPr="00D5157F">
        <w:rPr>
          <w:rFonts w:ascii="Times New Roman" w:eastAsia="Times New Roman" w:hAnsi="Times New Roman" w:cs="Times New Roman"/>
          <w:b/>
          <w:sz w:val="24"/>
          <w:szCs w:val="24"/>
          <w:lang w:val="it-IT"/>
        </w:rPr>
        <w:t xml:space="preserve"> </w:t>
      </w:r>
      <w:proofErr w:type="spellStart"/>
      <w:r w:rsidR="00CF3E2C" w:rsidRPr="00D5157F">
        <w:rPr>
          <w:rFonts w:ascii="Times New Roman" w:eastAsia="Times New Roman" w:hAnsi="Times New Roman" w:cs="Times New Roman"/>
          <w:b/>
          <w:sz w:val="24"/>
          <w:szCs w:val="24"/>
          <w:lang w:val="it-IT"/>
        </w:rPr>
        <w:t>material</w:t>
      </w:r>
      <w:proofErr w:type="spellEnd"/>
      <w:r w:rsidR="008834D6" w:rsidRPr="00D5157F">
        <w:rPr>
          <w:rFonts w:ascii="Times New Roman" w:eastAsia="Times New Roman" w:hAnsi="Times New Roman" w:cs="Times New Roman"/>
          <w:b/>
          <w:sz w:val="24"/>
          <w:szCs w:val="24"/>
          <w:lang w:val="it-IT"/>
        </w:rPr>
        <w:t xml:space="preserve"> for: ‘</w:t>
      </w:r>
      <w:r w:rsidR="008834D6" w:rsidRPr="00D5157F">
        <w:rPr>
          <w:rFonts w:ascii="Times New Roman" w:hAnsi="Times New Roman" w:cs="Times New Roman"/>
          <w:b/>
          <w:bCs/>
          <w:sz w:val="24"/>
          <w:szCs w:val="24"/>
          <w:lang w:val="it-IT"/>
        </w:rPr>
        <w:t xml:space="preserve">A </w:t>
      </w:r>
      <w:proofErr w:type="spellStart"/>
      <w:r w:rsidR="008834D6" w:rsidRPr="00D5157F">
        <w:rPr>
          <w:rFonts w:ascii="Times New Roman" w:hAnsi="Times New Roman" w:cs="Times New Roman"/>
          <w:b/>
          <w:bCs/>
          <w:sz w:val="24"/>
          <w:szCs w:val="24"/>
          <w:lang w:val="it-IT"/>
        </w:rPr>
        <w:t>blood</w:t>
      </w:r>
      <w:proofErr w:type="spellEnd"/>
      <w:r w:rsidR="008834D6" w:rsidRPr="00D5157F">
        <w:rPr>
          <w:rFonts w:ascii="Times New Roman" w:hAnsi="Times New Roman" w:cs="Times New Roman"/>
          <w:b/>
          <w:bCs/>
          <w:sz w:val="24"/>
          <w:szCs w:val="24"/>
          <w:lang w:val="it-IT"/>
        </w:rPr>
        <w:t xml:space="preserve"> DNA </w:t>
      </w:r>
      <w:proofErr w:type="spellStart"/>
      <w:r w:rsidR="008834D6" w:rsidRPr="00D5157F">
        <w:rPr>
          <w:rFonts w:ascii="Times New Roman" w:hAnsi="Times New Roman" w:cs="Times New Roman"/>
          <w:b/>
          <w:bCs/>
          <w:sz w:val="24"/>
          <w:szCs w:val="24"/>
          <w:lang w:val="it-IT"/>
        </w:rPr>
        <w:t>methylation</w:t>
      </w:r>
      <w:proofErr w:type="spellEnd"/>
      <w:r w:rsidR="008834D6" w:rsidRPr="00D5157F">
        <w:rPr>
          <w:rFonts w:ascii="Times New Roman" w:hAnsi="Times New Roman" w:cs="Times New Roman"/>
          <w:b/>
          <w:bCs/>
          <w:sz w:val="24"/>
          <w:szCs w:val="24"/>
          <w:lang w:val="it-IT"/>
        </w:rPr>
        <w:t xml:space="preserve"> biomarker for </w:t>
      </w:r>
      <w:proofErr w:type="spellStart"/>
      <w:r w:rsidR="008834D6" w:rsidRPr="00D5157F">
        <w:rPr>
          <w:rFonts w:ascii="Times New Roman" w:hAnsi="Times New Roman" w:cs="Times New Roman"/>
          <w:b/>
          <w:bCs/>
          <w:sz w:val="24"/>
          <w:szCs w:val="24"/>
          <w:lang w:val="it-IT"/>
        </w:rPr>
        <w:t>predicting</w:t>
      </w:r>
      <w:proofErr w:type="spellEnd"/>
      <w:r w:rsidR="008834D6" w:rsidRPr="00D5157F">
        <w:rPr>
          <w:rFonts w:ascii="Times New Roman" w:hAnsi="Times New Roman" w:cs="Times New Roman"/>
          <w:b/>
          <w:bCs/>
          <w:sz w:val="24"/>
          <w:szCs w:val="24"/>
          <w:lang w:val="it-IT"/>
        </w:rPr>
        <w:t xml:space="preserve"> short-</w:t>
      </w:r>
      <w:proofErr w:type="spellStart"/>
      <w:r w:rsidR="008834D6" w:rsidRPr="00D5157F">
        <w:rPr>
          <w:rFonts w:ascii="Times New Roman" w:hAnsi="Times New Roman" w:cs="Times New Roman"/>
          <w:b/>
          <w:bCs/>
          <w:sz w:val="24"/>
          <w:szCs w:val="24"/>
          <w:lang w:val="it-IT"/>
        </w:rPr>
        <w:t>term</w:t>
      </w:r>
      <w:proofErr w:type="spellEnd"/>
      <w:r w:rsidR="008834D6" w:rsidRPr="00D5157F">
        <w:rPr>
          <w:rFonts w:ascii="Times New Roman" w:hAnsi="Times New Roman" w:cs="Times New Roman"/>
          <w:b/>
          <w:bCs/>
          <w:sz w:val="24"/>
          <w:szCs w:val="24"/>
          <w:lang w:val="it-IT"/>
        </w:rPr>
        <w:t xml:space="preserve"> risk of </w:t>
      </w:r>
      <w:proofErr w:type="spellStart"/>
      <w:r w:rsidR="008834D6" w:rsidRPr="00D5157F">
        <w:rPr>
          <w:rFonts w:ascii="Times New Roman" w:hAnsi="Times New Roman" w:cs="Times New Roman"/>
          <w:b/>
          <w:bCs/>
          <w:sz w:val="24"/>
          <w:szCs w:val="24"/>
          <w:lang w:val="it-IT"/>
        </w:rPr>
        <w:t>cardiovascular</w:t>
      </w:r>
      <w:proofErr w:type="spellEnd"/>
      <w:r w:rsidR="008834D6" w:rsidRPr="00D5157F">
        <w:rPr>
          <w:rFonts w:ascii="Times New Roman" w:hAnsi="Times New Roman" w:cs="Times New Roman"/>
          <w:b/>
          <w:bCs/>
          <w:sz w:val="24"/>
          <w:szCs w:val="24"/>
          <w:lang w:val="it-IT"/>
        </w:rPr>
        <w:t xml:space="preserve"> events’</w:t>
      </w:r>
      <w:r w:rsidR="008834D6" w:rsidRPr="00D5157F">
        <w:rPr>
          <w:rFonts w:ascii="Times New Roman" w:eastAsia="Times New Roman" w:hAnsi="Times New Roman" w:cs="Times New Roman"/>
          <w:bCs/>
          <w:sz w:val="24"/>
          <w:szCs w:val="24"/>
          <w:lang w:val="it-IT"/>
        </w:rPr>
        <w:t xml:space="preserve"> by</w:t>
      </w:r>
      <w:r w:rsidR="008834D6" w:rsidRPr="00D5157F">
        <w:rPr>
          <w:rFonts w:ascii="Times New Roman" w:hAnsi="Times New Roman" w:cs="Times New Roman"/>
          <w:sz w:val="24"/>
          <w:szCs w:val="24"/>
          <w:lang w:val="it-IT"/>
        </w:rPr>
        <w:t xml:space="preserve"> Andrea Cappozzo</w:t>
      </w:r>
      <w:r w:rsidR="008834D6" w:rsidRPr="00D5157F">
        <w:rPr>
          <w:rFonts w:ascii="Times New Roman" w:hAnsi="Times New Roman" w:cs="Times New Roman"/>
          <w:sz w:val="24"/>
          <w:szCs w:val="24"/>
          <w:vertAlign w:val="superscript"/>
          <w:lang w:val="it-IT"/>
        </w:rPr>
        <w:t>1</w:t>
      </w:r>
      <w:r w:rsidR="008834D6" w:rsidRPr="00D5157F">
        <w:rPr>
          <w:rFonts w:ascii="Times New Roman" w:hAnsi="Times New Roman" w:cs="Times New Roman"/>
          <w:sz w:val="24"/>
          <w:szCs w:val="24"/>
          <w:lang w:val="it-IT"/>
        </w:rPr>
        <w:t xml:space="preserve">, </w:t>
      </w:r>
      <w:proofErr w:type="spellStart"/>
      <w:r w:rsidR="008834D6" w:rsidRPr="00D5157F">
        <w:rPr>
          <w:rFonts w:ascii="Times New Roman" w:hAnsi="Times New Roman" w:cs="Times New Roman"/>
          <w:sz w:val="24"/>
          <w:szCs w:val="24"/>
          <w:lang w:val="it-IT"/>
        </w:rPr>
        <w:t>Cathal</w:t>
      </w:r>
      <w:proofErr w:type="spellEnd"/>
      <w:r w:rsidR="008834D6" w:rsidRPr="00D5157F">
        <w:rPr>
          <w:rFonts w:ascii="Times New Roman" w:hAnsi="Times New Roman" w:cs="Times New Roman"/>
          <w:sz w:val="24"/>
          <w:szCs w:val="24"/>
          <w:lang w:val="it-IT"/>
        </w:rPr>
        <w:t xml:space="preserve"> McCrory</w:t>
      </w:r>
      <w:r w:rsidR="008834D6" w:rsidRPr="00D5157F">
        <w:rPr>
          <w:rFonts w:ascii="Times New Roman" w:hAnsi="Times New Roman" w:cs="Times New Roman"/>
          <w:sz w:val="24"/>
          <w:szCs w:val="24"/>
          <w:vertAlign w:val="superscript"/>
          <w:lang w:val="it-IT"/>
        </w:rPr>
        <w:t>2</w:t>
      </w:r>
      <w:r w:rsidR="008834D6" w:rsidRPr="00D5157F">
        <w:rPr>
          <w:rFonts w:ascii="Times New Roman" w:hAnsi="Times New Roman" w:cs="Times New Roman"/>
          <w:sz w:val="24"/>
          <w:szCs w:val="24"/>
          <w:lang w:val="it-IT"/>
        </w:rPr>
        <w:t>, Oliver Robinson</w:t>
      </w:r>
      <w:r w:rsidR="008834D6" w:rsidRPr="00D5157F">
        <w:rPr>
          <w:rFonts w:ascii="Times New Roman" w:hAnsi="Times New Roman" w:cs="Times New Roman"/>
          <w:sz w:val="24"/>
          <w:szCs w:val="24"/>
          <w:vertAlign w:val="superscript"/>
          <w:lang w:val="it-IT"/>
        </w:rPr>
        <w:t>3</w:t>
      </w:r>
      <w:r w:rsidR="008834D6" w:rsidRPr="00D5157F">
        <w:rPr>
          <w:rFonts w:ascii="Times New Roman" w:hAnsi="Times New Roman" w:cs="Times New Roman"/>
          <w:sz w:val="24"/>
          <w:szCs w:val="24"/>
          <w:lang w:val="it-IT"/>
        </w:rPr>
        <w:t>, Anna Freni Sterrantino</w:t>
      </w:r>
      <w:r w:rsidR="008834D6" w:rsidRPr="00D5157F">
        <w:rPr>
          <w:rFonts w:ascii="Times New Roman" w:hAnsi="Times New Roman" w:cs="Times New Roman"/>
          <w:sz w:val="24"/>
          <w:szCs w:val="24"/>
          <w:vertAlign w:val="superscript"/>
          <w:lang w:val="it-IT"/>
        </w:rPr>
        <w:t>3,4</w:t>
      </w:r>
      <w:r w:rsidR="008834D6" w:rsidRPr="00D5157F">
        <w:rPr>
          <w:rFonts w:ascii="Times New Roman" w:hAnsi="Times New Roman" w:cs="Times New Roman"/>
          <w:sz w:val="24"/>
          <w:szCs w:val="24"/>
          <w:lang w:val="it-IT"/>
        </w:rPr>
        <w:t>, Carlotta Sacerdote</w:t>
      </w:r>
      <w:r w:rsidR="008834D6" w:rsidRPr="00D5157F">
        <w:rPr>
          <w:rFonts w:ascii="Times New Roman" w:hAnsi="Times New Roman" w:cs="Times New Roman"/>
          <w:sz w:val="24"/>
          <w:szCs w:val="24"/>
          <w:vertAlign w:val="superscript"/>
          <w:lang w:val="it-IT"/>
        </w:rPr>
        <w:t>5</w:t>
      </w:r>
      <w:r w:rsidR="008834D6" w:rsidRPr="00D5157F">
        <w:rPr>
          <w:rFonts w:ascii="Times New Roman" w:hAnsi="Times New Roman" w:cs="Times New Roman"/>
          <w:sz w:val="24"/>
          <w:szCs w:val="24"/>
          <w:lang w:val="it-IT"/>
        </w:rPr>
        <w:t>, Vittorio Krogh</w:t>
      </w:r>
      <w:r w:rsidR="008834D6" w:rsidRPr="00D5157F">
        <w:rPr>
          <w:rFonts w:ascii="Times New Roman" w:hAnsi="Times New Roman" w:cs="Times New Roman"/>
          <w:sz w:val="24"/>
          <w:szCs w:val="24"/>
          <w:vertAlign w:val="superscript"/>
          <w:lang w:val="it-IT"/>
        </w:rPr>
        <w:t>6</w:t>
      </w:r>
      <w:r w:rsidR="008834D6" w:rsidRPr="00D5157F">
        <w:rPr>
          <w:rFonts w:ascii="Times New Roman" w:hAnsi="Times New Roman" w:cs="Times New Roman"/>
          <w:sz w:val="24"/>
          <w:szCs w:val="24"/>
          <w:lang w:val="it-IT"/>
        </w:rPr>
        <w:t>, Salvatore Panico</w:t>
      </w:r>
      <w:r w:rsidR="008834D6" w:rsidRPr="00D5157F">
        <w:rPr>
          <w:rFonts w:ascii="Times New Roman" w:hAnsi="Times New Roman" w:cs="Times New Roman"/>
          <w:sz w:val="24"/>
          <w:szCs w:val="24"/>
          <w:vertAlign w:val="superscript"/>
          <w:lang w:val="it-IT"/>
        </w:rPr>
        <w:t>7</w:t>
      </w:r>
      <w:r w:rsidR="008834D6" w:rsidRPr="00D5157F">
        <w:rPr>
          <w:rFonts w:ascii="Times New Roman" w:hAnsi="Times New Roman" w:cs="Times New Roman"/>
          <w:sz w:val="24"/>
          <w:szCs w:val="24"/>
          <w:lang w:val="it-IT"/>
        </w:rPr>
        <w:t>, Rosario Tumino</w:t>
      </w:r>
      <w:r w:rsidR="008834D6" w:rsidRPr="00D5157F">
        <w:rPr>
          <w:rFonts w:ascii="Times New Roman" w:hAnsi="Times New Roman" w:cs="Times New Roman"/>
          <w:sz w:val="24"/>
          <w:szCs w:val="24"/>
          <w:vertAlign w:val="superscript"/>
          <w:lang w:val="it-IT"/>
        </w:rPr>
        <w:t>8</w:t>
      </w:r>
      <w:r w:rsidR="008834D6" w:rsidRPr="00D5157F">
        <w:rPr>
          <w:rFonts w:ascii="Times New Roman" w:hAnsi="Times New Roman" w:cs="Times New Roman"/>
          <w:sz w:val="24"/>
          <w:szCs w:val="24"/>
          <w:lang w:val="it-IT"/>
        </w:rPr>
        <w:t>, Licia Iacoviello</w:t>
      </w:r>
      <w:r w:rsidR="008834D6" w:rsidRPr="00D5157F">
        <w:rPr>
          <w:rFonts w:ascii="Times New Roman" w:hAnsi="Times New Roman" w:cs="Times New Roman"/>
          <w:sz w:val="24"/>
          <w:szCs w:val="24"/>
          <w:vertAlign w:val="superscript"/>
          <w:lang w:val="it-IT"/>
        </w:rPr>
        <w:t>9,10</w:t>
      </w:r>
      <w:r w:rsidR="008834D6" w:rsidRPr="00D5157F">
        <w:rPr>
          <w:rFonts w:ascii="Times New Roman" w:hAnsi="Times New Roman" w:cs="Times New Roman"/>
          <w:sz w:val="24"/>
          <w:szCs w:val="24"/>
          <w:lang w:val="it-IT"/>
        </w:rPr>
        <w:t>, Fulvio Ricceri</w:t>
      </w:r>
      <w:r w:rsidR="008834D6" w:rsidRPr="00D5157F">
        <w:rPr>
          <w:rFonts w:ascii="Times New Roman" w:hAnsi="Times New Roman" w:cs="Times New Roman"/>
          <w:sz w:val="24"/>
          <w:szCs w:val="24"/>
          <w:vertAlign w:val="superscript"/>
          <w:lang w:val="it-IT"/>
        </w:rPr>
        <w:t>11,12</w:t>
      </w:r>
      <w:r w:rsidR="008834D6" w:rsidRPr="00D5157F">
        <w:rPr>
          <w:rFonts w:ascii="Times New Roman" w:hAnsi="Times New Roman" w:cs="Times New Roman"/>
          <w:sz w:val="24"/>
          <w:szCs w:val="24"/>
          <w:lang w:val="it-IT"/>
        </w:rPr>
        <w:t>, Sabina Sieri</w:t>
      </w:r>
      <w:r w:rsidR="008834D6" w:rsidRPr="00D5157F">
        <w:rPr>
          <w:rFonts w:ascii="Times New Roman" w:hAnsi="Times New Roman" w:cs="Times New Roman"/>
          <w:sz w:val="24"/>
          <w:szCs w:val="24"/>
          <w:vertAlign w:val="superscript"/>
          <w:lang w:val="it-IT"/>
        </w:rPr>
        <w:t>6</w:t>
      </w:r>
      <w:r w:rsidR="008834D6" w:rsidRPr="00D5157F">
        <w:rPr>
          <w:rFonts w:ascii="Times New Roman" w:hAnsi="Times New Roman" w:cs="Times New Roman"/>
          <w:sz w:val="24"/>
          <w:szCs w:val="24"/>
          <w:lang w:val="it-IT"/>
        </w:rPr>
        <w:t>, Paolo Chiodini</w:t>
      </w:r>
      <w:r w:rsidR="008834D6" w:rsidRPr="00D5157F">
        <w:rPr>
          <w:rFonts w:ascii="Times New Roman" w:hAnsi="Times New Roman" w:cs="Times New Roman"/>
          <w:sz w:val="24"/>
          <w:szCs w:val="24"/>
          <w:vertAlign w:val="superscript"/>
          <w:lang w:val="it-IT"/>
        </w:rPr>
        <w:t>13</w:t>
      </w:r>
      <w:r w:rsidR="008834D6" w:rsidRPr="00D5157F">
        <w:rPr>
          <w:rFonts w:ascii="Times New Roman" w:hAnsi="Times New Roman" w:cs="Times New Roman"/>
          <w:sz w:val="24"/>
          <w:szCs w:val="24"/>
          <w:lang w:val="it-IT"/>
        </w:rPr>
        <w:t>, Rose Anne Kenny</w:t>
      </w:r>
      <w:r w:rsidR="008834D6" w:rsidRPr="00D5157F">
        <w:rPr>
          <w:rFonts w:ascii="Times New Roman" w:hAnsi="Times New Roman" w:cs="Times New Roman"/>
          <w:sz w:val="24"/>
          <w:szCs w:val="24"/>
          <w:vertAlign w:val="superscript"/>
          <w:lang w:val="it-IT"/>
        </w:rPr>
        <w:t>2</w:t>
      </w:r>
      <w:r w:rsidR="008834D6" w:rsidRPr="00D5157F">
        <w:rPr>
          <w:rFonts w:ascii="Times New Roman" w:hAnsi="Times New Roman" w:cs="Times New Roman"/>
          <w:sz w:val="24"/>
          <w:szCs w:val="24"/>
          <w:lang w:val="it-IT"/>
        </w:rPr>
        <w:t xml:space="preserve">, </w:t>
      </w:r>
      <w:proofErr w:type="spellStart"/>
      <w:r w:rsidR="008834D6" w:rsidRPr="00D5157F">
        <w:rPr>
          <w:rFonts w:ascii="Times New Roman" w:hAnsi="Times New Roman" w:cs="Times New Roman"/>
          <w:sz w:val="24"/>
          <w:szCs w:val="24"/>
          <w:lang w:val="it-IT"/>
        </w:rPr>
        <w:t>Aisling</w:t>
      </w:r>
      <w:proofErr w:type="spellEnd"/>
      <w:r w:rsidR="008834D6" w:rsidRPr="00D5157F">
        <w:rPr>
          <w:rFonts w:ascii="Times New Roman" w:hAnsi="Times New Roman" w:cs="Times New Roman"/>
          <w:sz w:val="24"/>
          <w:szCs w:val="24"/>
          <w:lang w:val="it-IT"/>
        </w:rPr>
        <w:t xml:space="preserve"> O’Halloran</w:t>
      </w:r>
      <w:r w:rsidR="008834D6" w:rsidRPr="00D5157F">
        <w:rPr>
          <w:rFonts w:ascii="Times New Roman" w:hAnsi="Times New Roman" w:cs="Times New Roman"/>
          <w:sz w:val="24"/>
          <w:szCs w:val="24"/>
          <w:vertAlign w:val="superscript"/>
          <w:lang w:val="it-IT"/>
        </w:rPr>
        <w:t>2</w:t>
      </w:r>
      <w:r w:rsidR="008834D6" w:rsidRPr="00D5157F">
        <w:rPr>
          <w:rFonts w:ascii="Times New Roman" w:hAnsi="Times New Roman" w:cs="Times New Roman"/>
          <w:sz w:val="24"/>
          <w:szCs w:val="24"/>
          <w:lang w:val="it-IT"/>
        </w:rPr>
        <w:t>, Silvia Polidoro</w:t>
      </w:r>
      <w:r w:rsidR="008834D6" w:rsidRPr="00D5157F">
        <w:rPr>
          <w:rFonts w:ascii="Times New Roman" w:hAnsi="Times New Roman" w:cs="Times New Roman"/>
          <w:sz w:val="24"/>
          <w:szCs w:val="24"/>
          <w:vertAlign w:val="superscript"/>
          <w:lang w:val="it-IT"/>
        </w:rPr>
        <w:t>14</w:t>
      </w:r>
      <w:r w:rsidR="008834D6" w:rsidRPr="00D5157F">
        <w:rPr>
          <w:rFonts w:ascii="Times New Roman" w:hAnsi="Times New Roman" w:cs="Times New Roman"/>
          <w:sz w:val="24"/>
          <w:szCs w:val="24"/>
          <w:lang w:val="it-IT"/>
        </w:rPr>
        <w:t>, Giuliana Solinas</w:t>
      </w:r>
      <w:r w:rsidR="008834D6" w:rsidRPr="00D5157F">
        <w:rPr>
          <w:rFonts w:ascii="Times New Roman" w:hAnsi="Times New Roman" w:cs="Times New Roman"/>
          <w:sz w:val="24"/>
          <w:szCs w:val="24"/>
          <w:vertAlign w:val="superscript"/>
          <w:lang w:val="it-IT"/>
        </w:rPr>
        <w:t>15</w:t>
      </w:r>
      <w:r w:rsidR="008834D6" w:rsidRPr="00D5157F">
        <w:rPr>
          <w:rFonts w:ascii="Times New Roman" w:hAnsi="Times New Roman" w:cs="Times New Roman"/>
          <w:sz w:val="24"/>
          <w:szCs w:val="24"/>
          <w:lang w:val="it-IT"/>
        </w:rPr>
        <w:t>, Paolo Vineis</w:t>
      </w:r>
      <w:r w:rsidR="008834D6" w:rsidRPr="00D5157F">
        <w:rPr>
          <w:rFonts w:ascii="Times New Roman" w:hAnsi="Times New Roman" w:cs="Times New Roman"/>
          <w:sz w:val="24"/>
          <w:szCs w:val="24"/>
          <w:vertAlign w:val="superscript"/>
          <w:lang w:val="it-IT"/>
        </w:rPr>
        <w:t>3</w:t>
      </w:r>
      <w:r w:rsidR="008834D6" w:rsidRPr="00D5157F">
        <w:rPr>
          <w:rFonts w:ascii="Times New Roman" w:hAnsi="Times New Roman" w:cs="Times New Roman"/>
          <w:sz w:val="24"/>
          <w:szCs w:val="24"/>
          <w:lang w:val="it-IT"/>
        </w:rPr>
        <w:t>, Francesca Ieva</w:t>
      </w:r>
      <w:r w:rsidR="008834D6" w:rsidRPr="00D5157F">
        <w:rPr>
          <w:rFonts w:ascii="Times New Roman" w:hAnsi="Times New Roman" w:cs="Times New Roman"/>
          <w:sz w:val="24"/>
          <w:szCs w:val="24"/>
          <w:vertAlign w:val="superscript"/>
          <w:lang w:val="it-IT"/>
        </w:rPr>
        <w:t>1,16</w:t>
      </w:r>
      <w:r w:rsidR="008834D6" w:rsidRPr="00D5157F">
        <w:rPr>
          <w:rFonts w:ascii="Times New Roman" w:hAnsi="Times New Roman" w:cs="Times New Roman"/>
          <w:sz w:val="24"/>
          <w:szCs w:val="24"/>
          <w:lang w:val="it-IT"/>
        </w:rPr>
        <w:t>, Giovanni Fiorito</w:t>
      </w:r>
      <w:r w:rsidR="008834D6" w:rsidRPr="00D5157F">
        <w:rPr>
          <w:rFonts w:ascii="Times New Roman" w:hAnsi="Times New Roman" w:cs="Times New Roman"/>
          <w:sz w:val="24"/>
          <w:szCs w:val="24"/>
          <w:vertAlign w:val="superscript"/>
          <w:lang w:val="it-IT"/>
        </w:rPr>
        <w:t>2,3,15, *</w:t>
      </w:r>
    </w:p>
    <w:p w14:paraId="5F5D91B6" w14:textId="77777777" w:rsidR="00B57645" w:rsidRPr="008834D6" w:rsidRDefault="00B57645" w:rsidP="00B57645">
      <w:pPr>
        <w:spacing w:after="0" w:line="480" w:lineRule="auto"/>
        <w:jc w:val="both"/>
        <w:rPr>
          <w:rFonts w:ascii="Times New Roman" w:hAnsi="Times New Roman" w:cs="Times New Roman"/>
          <w:sz w:val="24"/>
          <w:szCs w:val="24"/>
        </w:rPr>
      </w:pPr>
    </w:p>
    <w:p w14:paraId="23ABE024" w14:textId="525A9233" w:rsidR="00B57645" w:rsidRPr="008834D6" w:rsidRDefault="00D5157F" w:rsidP="00B57645">
      <w:pPr>
        <w:spacing w:after="0" w:line="480" w:lineRule="auto"/>
        <w:jc w:val="both"/>
        <w:rPr>
          <w:rFonts w:ascii="Times New Roman" w:eastAsia="Times New Roman" w:hAnsi="Times New Roman" w:cs="Times New Roman"/>
          <w:i/>
          <w:sz w:val="24"/>
          <w:szCs w:val="24"/>
        </w:rPr>
      </w:pPr>
      <w:r>
        <w:rPr>
          <w:rFonts w:ascii="Times New Roman" w:eastAsia="Times New Roman" w:hAnsi="Times New Roman" w:cs="Times New Roman"/>
          <w:b/>
          <w:bCs/>
          <w:iCs/>
          <w:sz w:val="24"/>
          <w:szCs w:val="24"/>
        </w:rPr>
        <w:t>Supplementary R</w:t>
      </w:r>
      <w:r w:rsidR="006862E6" w:rsidRPr="008834D6">
        <w:rPr>
          <w:rFonts w:ascii="Times New Roman" w:eastAsia="Times New Roman" w:hAnsi="Times New Roman" w:cs="Times New Roman"/>
          <w:b/>
          <w:bCs/>
          <w:iCs/>
          <w:sz w:val="24"/>
          <w:szCs w:val="24"/>
        </w:rPr>
        <w:t>esults</w:t>
      </w:r>
    </w:p>
    <w:p w14:paraId="13C28392" w14:textId="2B2BBE00" w:rsidR="00B57645" w:rsidRPr="008834D6" w:rsidRDefault="00B57645" w:rsidP="00B57645">
      <w:pPr>
        <w:spacing w:after="0" w:line="480" w:lineRule="auto"/>
        <w:jc w:val="both"/>
        <w:rPr>
          <w:rFonts w:ascii="Times New Roman" w:hAnsi="Times New Roman" w:cs="Times New Roman"/>
          <w:sz w:val="24"/>
          <w:szCs w:val="24"/>
        </w:rPr>
      </w:pPr>
      <w:r w:rsidRPr="008834D6">
        <w:rPr>
          <w:rFonts w:ascii="Times New Roman" w:hAnsi="Times New Roman" w:cs="Times New Roman"/>
          <w:i/>
          <w:iCs/>
          <w:sz w:val="24"/>
          <w:szCs w:val="24"/>
          <w:u w:val="single"/>
        </w:rPr>
        <w:t>Sensitivity leave-one-out analysis</w:t>
      </w:r>
      <w:r w:rsidRPr="008834D6">
        <w:rPr>
          <w:rFonts w:ascii="Times New Roman" w:hAnsi="Times New Roman" w:cs="Times New Roman"/>
          <w:sz w:val="24"/>
          <w:szCs w:val="24"/>
        </w:rPr>
        <w:t xml:space="preserve">. We performed a sensitivity analysis to evaluate whether one of the ten DNAm surrogate biomarkers comprising the </w:t>
      </w:r>
      <w:r w:rsidRPr="008834D6">
        <w:rPr>
          <w:rFonts w:ascii="Times New Roman" w:hAnsi="Times New Roman" w:cs="Times New Roman"/>
          <w:i/>
          <w:iCs/>
          <w:sz w:val="24"/>
          <w:szCs w:val="24"/>
        </w:rPr>
        <w:t>DNAmCVDscore</w:t>
      </w:r>
      <w:r w:rsidRPr="008834D6">
        <w:rPr>
          <w:rFonts w:ascii="Times New Roman" w:hAnsi="Times New Roman" w:cs="Times New Roman"/>
          <w:sz w:val="24"/>
          <w:szCs w:val="24"/>
        </w:rPr>
        <w:t xml:space="preserve"> drives the results described in the previous section. First, the </w:t>
      </w:r>
      <w:r w:rsidRPr="008834D6">
        <w:rPr>
          <w:rFonts w:ascii="Times New Roman" w:hAnsi="Times New Roman" w:cs="Times New Roman"/>
          <w:i/>
          <w:iCs/>
          <w:sz w:val="24"/>
          <w:szCs w:val="24"/>
        </w:rPr>
        <w:t>DNAmCVDscore</w:t>
      </w:r>
      <w:r w:rsidRPr="008834D6">
        <w:rPr>
          <w:rFonts w:ascii="Times New Roman" w:hAnsi="Times New Roman" w:cs="Times New Roman"/>
          <w:sz w:val="24"/>
          <w:szCs w:val="24"/>
        </w:rPr>
        <w:t xml:space="preserve"> was re-computed ten times, excluding one DNAm surrogate each time. Then, AUC and 95% CI were calculated at different time points right censoring follow-up length as described previously. The results presented in </w:t>
      </w:r>
      <w:r w:rsidRPr="008834D6">
        <w:rPr>
          <w:rFonts w:ascii="Times New Roman" w:hAnsi="Times New Roman" w:cs="Times New Roman"/>
          <w:b/>
          <w:bCs/>
          <w:sz w:val="24"/>
          <w:szCs w:val="24"/>
        </w:rPr>
        <w:t>Table S1</w:t>
      </w:r>
      <w:r w:rsidRPr="008834D6">
        <w:rPr>
          <w:rFonts w:ascii="Times New Roman" w:hAnsi="Times New Roman" w:cs="Times New Roman"/>
          <w:sz w:val="24"/>
          <w:szCs w:val="24"/>
        </w:rPr>
        <w:t xml:space="preserve"> show that the AUC obtained using </w:t>
      </w:r>
      <w:r w:rsidR="006862E6" w:rsidRPr="008834D6">
        <w:rPr>
          <w:rFonts w:ascii="Times New Roman" w:hAnsi="Times New Roman" w:cs="Times New Roman"/>
          <w:sz w:val="24"/>
          <w:szCs w:val="24"/>
        </w:rPr>
        <w:t>ten</w:t>
      </w:r>
      <w:r w:rsidRPr="008834D6">
        <w:rPr>
          <w:rFonts w:ascii="Times New Roman" w:hAnsi="Times New Roman" w:cs="Times New Roman"/>
          <w:sz w:val="24"/>
          <w:szCs w:val="24"/>
        </w:rPr>
        <w:t xml:space="preserve"> DNAm surrogates is generally higher than those obtained excluding one of them. However, none of the biomarkers significantly reduces the AUC when excluded (according to the DeLong test), suggesting that all the </w:t>
      </w:r>
      <w:r w:rsidR="006862E6" w:rsidRPr="008834D6">
        <w:rPr>
          <w:rFonts w:ascii="Times New Roman" w:hAnsi="Times New Roman" w:cs="Times New Roman"/>
          <w:sz w:val="24"/>
          <w:szCs w:val="24"/>
        </w:rPr>
        <w:t xml:space="preserve">ten </w:t>
      </w:r>
      <w:r w:rsidRPr="008834D6">
        <w:rPr>
          <w:rFonts w:ascii="Times New Roman" w:hAnsi="Times New Roman" w:cs="Times New Roman"/>
          <w:sz w:val="24"/>
          <w:szCs w:val="24"/>
        </w:rPr>
        <w:t>DNAm surrogates contribute predicting CVD events.</w:t>
      </w:r>
    </w:p>
    <w:p w14:paraId="4824CE28" w14:textId="77777777" w:rsidR="008834D6" w:rsidRPr="008834D6" w:rsidRDefault="008834D6" w:rsidP="00B57645">
      <w:pPr>
        <w:spacing w:after="0" w:line="480" w:lineRule="auto"/>
        <w:jc w:val="both"/>
        <w:rPr>
          <w:rFonts w:ascii="Times New Roman" w:hAnsi="Times New Roman" w:cs="Times New Roman"/>
          <w:sz w:val="24"/>
          <w:szCs w:val="24"/>
        </w:rPr>
      </w:pPr>
    </w:p>
    <w:p w14:paraId="283E3E40" w14:textId="15A0A2F3" w:rsidR="00B57645" w:rsidRPr="008834D6" w:rsidRDefault="00B57645" w:rsidP="00B57645">
      <w:pPr>
        <w:spacing w:after="0" w:line="480" w:lineRule="auto"/>
        <w:jc w:val="both"/>
        <w:rPr>
          <w:rFonts w:ascii="Times New Roman" w:hAnsi="Times New Roman" w:cs="Times New Roman"/>
          <w:sz w:val="24"/>
          <w:szCs w:val="24"/>
        </w:rPr>
      </w:pPr>
      <w:r w:rsidRPr="008834D6">
        <w:rPr>
          <w:rFonts w:ascii="Times New Roman" w:hAnsi="Times New Roman" w:cs="Times New Roman"/>
          <w:i/>
          <w:iCs/>
          <w:sz w:val="24"/>
          <w:szCs w:val="24"/>
          <w:u w:val="single"/>
        </w:rPr>
        <w:t>Correlation of DNAmCVDscore with epigenetic clocks</w:t>
      </w:r>
      <w:r w:rsidRPr="008834D6">
        <w:rPr>
          <w:rFonts w:ascii="Times New Roman" w:hAnsi="Times New Roman" w:cs="Times New Roman"/>
          <w:sz w:val="24"/>
          <w:szCs w:val="24"/>
        </w:rPr>
        <w:t xml:space="preserve">. We computed the Pearson correlation coefficients (meta-analysis of the five studies) between </w:t>
      </w:r>
      <w:r w:rsidRPr="008834D6">
        <w:rPr>
          <w:rFonts w:ascii="Times New Roman" w:hAnsi="Times New Roman" w:cs="Times New Roman"/>
          <w:i/>
          <w:iCs/>
          <w:sz w:val="24"/>
          <w:szCs w:val="24"/>
        </w:rPr>
        <w:t>DNAmCVDscore</w:t>
      </w:r>
      <w:r w:rsidRPr="008834D6">
        <w:rPr>
          <w:rFonts w:ascii="Times New Roman" w:hAnsi="Times New Roman" w:cs="Times New Roman"/>
          <w:sz w:val="24"/>
          <w:szCs w:val="24"/>
        </w:rPr>
        <w:t xml:space="preserve"> and previously developed epigenetic clocks. Although </w:t>
      </w:r>
      <w:r w:rsidRPr="008834D6">
        <w:rPr>
          <w:rFonts w:ascii="Times New Roman" w:hAnsi="Times New Roman" w:cs="Times New Roman"/>
          <w:i/>
          <w:iCs/>
          <w:sz w:val="24"/>
          <w:szCs w:val="24"/>
        </w:rPr>
        <w:t>DNAmCVDscore</w:t>
      </w:r>
      <w:r w:rsidRPr="008834D6">
        <w:rPr>
          <w:rFonts w:ascii="Times New Roman" w:hAnsi="Times New Roman" w:cs="Times New Roman"/>
          <w:sz w:val="24"/>
          <w:szCs w:val="24"/>
        </w:rPr>
        <w:t xml:space="preserve"> was not explicitly trained on chronological age, it is highly correlated with age (R = 0.41) and four epigenetic clocks (R range </w:t>
      </w:r>
      <w:r w:rsidRPr="008834D6">
        <w:rPr>
          <w:rFonts w:ascii="Times New Roman" w:hAnsi="Times New Roman" w:cs="Times New Roman"/>
          <w:sz w:val="24"/>
          <w:szCs w:val="24"/>
        </w:rPr>
        <w:lastRenderedPageBreak/>
        <w:t xml:space="preserve">from 0.35 to 0.56), DNAmGrimAge being the one with the highest correlation. In </w:t>
      </w:r>
      <w:r w:rsidRPr="008834D6">
        <w:rPr>
          <w:rFonts w:ascii="Times New Roman" w:hAnsi="Times New Roman" w:cs="Times New Roman"/>
          <w:b/>
          <w:bCs/>
          <w:sz w:val="24"/>
          <w:szCs w:val="24"/>
        </w:rPr>
        <w:t>Supplementary Figure 1,</w:t>
      </w:r>
      <w:r w:rsidRPr="008834D6">
        <w:rPr>
          <w:rFonts w:ascii="Times New Roman" w:hAnsi="Times New Roman" w:cs="Times New Roman"/>
          <w:sz w:val="24"/>
          <w:szCs w:val="24"/>
        </w:rPr>
        <w:t xml:space="preserve"> we present the correlation heatmap.</w:t>
      </w:r>
    </w:p>
    <w:p w14:paraId="4E980324" w14:textId="77777777" w:rsidR="008834D6" w:rsidRPr="008834D6" w:rsidRDefault="008834D6" w:rsidP="00B57645">
      <w:pPr>
        <w:spacing w:after="0" w:line="480" w:lineRule="auto"/>
        <w:jc w:val="both"/>
        <w:rPr>
          <w:rFonts w:ascii="Times New Roman" w:hAnsi="Times New Roman" w:cs="Times New Roman"/>
          <w:b/>
          <w:bCs/>
          <w:i/>
          <w:iCs/>
          <w:sz w:val="24"/>
          <w:szCs w:val="24"/>
          <w:u w:val="single"/>
        </w:rPr>
      </w:pPr>
    </w:p>
    <w:p w14:paraId="76E6D84A" w14:textId="15FC56F9" w:rsidR="00B57645" w:rsidRPr="008834D6" w:rsidRDefault="00B57645" w:rsidP="00B57645">
      <w:pPr>
        <w:spacing w:after="0" w:line="480" w:lineRule="auto"/>
        <w:jc w:val="both"/>
        <w:rPr>
          <w:rFonts w:ascii="Times New Roman" w:hAnsi="Times New Roman" w:cs="Times New Roman"/>
          <w:sz w:val="24"/>
          <w:szCs w:val="24"/>
        </w:rPr>
      </w:pPr>
      <w:r w:rsidRPr="008834D6">
        <w:rPr>
          <w:rFonts w:ascii="Times New Roman" w:hAnsi="Times New Roman" w:cs="Times New Roman"/>
          <w:i/>
          <w:iCs/>
          <w:sz w:val="24"/>
          <w:szCs w:val="24"/>
          <w:u w:val="single"/>
        </w:rPr>
        <w:t>DNAm surrogates and DNAmCVDscore vs COVID-19 case-control status and severity</w:t>
      </w:r>
      <w:r w:rsidRPr="008834D6">
        <w:rPr>
          <w:rFonts w:ascii="Times New Roman" w:hAnsi="Times New Roman" w:cs="Times New Roman"/>
          <w:sz w:val="24"/>
          <w:szCs w:val="24"/>
        </w:rPr>
        <w:t xml:space="preserve">. In the GSE174818 dataset, BMI was not significantly different when comparing COVID-19 cases with matched controls whereas DNAm surrogate for BMI was significantly associated with COVID-19 case-control status: OR per one standard deviation increase = 2.64 (95% CI 1.56; 4.77, </w:t>
      </w:r>
      <w:r w:rsidRPr="008834D6">
        <w:rPr>
          <w:rFonts w:ascii="Times New Roman" w:hAnsi="Times New Roman" w:cs="Times New Roman"/>
          <w:i/>
          <w:iCs/>
          <w:sz w:val="24"/>
          <w:szCs w:val="24"/>
        </w:rPr>
        <w:t>P</w:t>
      </w:r>
      <w:r w:rsidRPr="008834D6">
        <w:rPr>
          <w:rFonts w:ascii="Times New Roman" w:hAnsi="Times New Roman" w:cs="Times New Roman"/>
          <w:sz w:val="24"/>
          <w:szCs w:val="24"/>
        </w:rPr>
        <w:t xml:space="preserve"> = 0.0006, </w:t>
      </w:r>
      <w:r w:rsidRPr="008834D6">
        <w:rPr>
          <w:rFonts w:ascii="Times New Roman" w:hAnsi="Times New Roman" w:cs="Times New Roman"/>
          <w:b/>
          <w:bCs/>
          <w:sz w:val="24"/>
          <w:szCs w:val="24"/>
        </w:rPr>
        <w:t>Table S2</w:t>
      </w:r>
      <w:r w:rsidRPr="008834D6">
        <w:rPr>
          <w:rFonts w:ascii="Times New Roman" w:hAnsi="Times New Roman" w:cs="Times New Roman"/>
          <w:sz w:val="24"/>
          <w:szCs w:val="24"/>
        </w:rPr>
        <w:t xml:space="preserve">). Among COVID-19 cases, DNAmCRP outperforms blood measured CRP in predicting disease severity (GRAM score). The increase in the GRAM score were 17.1 (8.6; 25.6, </w:t>
      </w:r>
      <w:r w:rsidRPr="008834D6">
        <w:rPr>
          <w:rFonts w:ascii="Times New Roman" w:hAnsi="Times New Roman" w:cs="Times New Roman"/>
          <w:i/>
          <w:iCs/>
          <w:sz w:val="24"/>
          <w:szCs w:val="24"/>
        </w:rPr>
        <w:t>P</w:t>
      </w:r>
      <w:r w:rsidRPr="008834D6">
        <w:rPr>
          <w:rFonts w:ascii="Times New Roman" w:hAnsi="Times New Roman" w:cs="Times New Roman"/>
          <w:sz w:val="24"/>
          <w:szCs w:val="24"/>
        </w:rPr>
        <w:t xml:space="preserve"> = 0.0002, </w:t>
      </w:r>
      <w:r w:rsidRPr="008834D6">
        <w:rPr>
          <w:rFonts w:ascii="Times New Roman" w:hAnsi="Times New Roman" w:cs="Times New Roman"/>
          <w:b/>
          <w:bCs/>
          <w:sz w:val="24"/>
          <w:szCs w:val="24"/>
        </w:rPr>
        <w:t>Table S2</w:t>
      </w:r>
      <w:r w:rsidRPr="008834D6">
        <w:rPr>
          <w:rFonts w:ascii="Times New Roman" w:hAnsi="Times New Roman" w:cs="Times New Roman"/>
          <w:sz w:val="24"/>
          <w:szCs w:val="24"/>
        </w:rPr>
        <w:t xml:space="preserve">) and 9.9 (1.1; 18.7, </w:t>
      </w:r>
      <w:r w:rsidRPr="008834D6">
        <w:rPr>
          <w:rFonts w:ascii="Times New Roman" w:hAnsi="Times New Roman" w:cs="Times New Roman"/>
          <w:i/>
          <w:iCs/>
          <w:sz w:val="24"/>
          <w:szCs w:val="24"/>
        </w:rPr>
        <w:t>P</w:t>
      </w:r>
      <w:r w:rsidRPr="008834D6">
        <w:rPr>
          <w:rFonts w:ascii="Times New Roman" w:hAnsi="Times New Roman" w:cs="Times New Roman"/>
          <w:sz w:val="24"/>
          <w:szCs w:val="24"/>
        </w:rPr>
        <w:t xml:space="preserve"> = 0.03, </w:t>
      </w:r>
      <w:r w:rsidRPr="008834D6">
        <w:rPr>
          <w:rFonts w:ascii="Times New Roman" w:hAnsi="Times New Roman" w:cs="Times New Roman"/>
          <w:b/>
          <w:bCs/>
          <w:sz w:val="24"/>
          <w:szCs w:val="24"/>
        </w:rPr>
        <w:t>Table S2</w:t>
      </w:r>
      <w:r w:rsidRPr="008834D6">
        <w:rPr>
          <w:rFonts w:ascii="Times New Roman" w:hAnsi="Times New Roman" w:cs="Times New Roman"/>
          <w:sz w:val="24"/>
          <w:szCs w:val="24"/>
        </w:rPr>
        <w:t xml:space="preserve">) for DNAmCRP and blood measured CRP, respectively. Finally, </w:t>
      </w:r>
      <w:r w:rsidRPr="008834D6">
        <w:rPr>
          <w:rFonts w:ascii="Times New Roman" w:hAnsi="Times New Roman" w:cs="Times New Roman"/>
          <w:i/>
          <w:iCs/>
          <w:sz w:val="24"/>
          <w:szCs w:val="24"/>
        </w:rPr>
        <w:t>DNAmCVDscore</w:t>
      </w:r>
      <w:r w:rsidRPr="008834D6">
        <w:rPr>
          <w:rFonts w:ascii="Times New Roman" w:hAnsi="Times New Roman" w:cs="Times New Roman"/>
          <w:sz w:val="24"/>
          <w:szCs w:val="24"/>
        </w:rPr>
        <w:t xml:space="preserve"> was (borderline significantly) associated with COVID-19 case-control status: OR per one standard deviation increase = 1.84 (95% CI 0.96; 3.65, </w:t>
      </w:r>
      <w:r w:rsidRPr="008834D6">
        <w:rPr>
          <w:rFonts w:ascii="Times New Roman" w:hAnsi="Times New Roman" w:cs="Times New Roman"/>
          <w:i/>
          <w:iCs/>
          <w:sz w:val="24"/>
          <w:szCs w:val="24"/>
        </w:rPr>
        <w:t>P</w:t>
      </w:r>
      <w:r w:rsidRPr="008834D6">
        <w:rPr>
          <w:rFonts w:ascii="Times New Roman" w:hAnsi="Times New Roman" w:cs="Times New Roman"/>
          <w:sz w:val="24"/>
          <w:szCs w:val="24"/>
        </w:rPr>
        <w:t xml:space="preserve"> = 0.07, </w:t>
      </w:r>
      <w:r w:rsidRPr="008834D6">
        <w:rPr>
          <w:rFonts w:ascii="Times New Roman" w:hAnsi="Times New Roman" w:cs="Times New Roman"/>
          <w:b/>
          <w:bCs/>
          <w:sz w:val="24"/>
          <w:szCs w:val="24"/>
        </w:rPr>
        <w:t>Table S2</w:t>
      </w:r>
      <w:r w:rsidRPr="008834D6">
        <w:rPr>
          <w:rFonts w:ascii="Times New Roman" w:hAnsi="Times New Roman" w:cs="Times New Roman"/>
          <w:sz w:val="24"/>
          <w:szCs w:val="24"/>
        </w:rPr>
        <w:t xml:space="preserve"> and </w:t>
      </w:r>
      <w:r w:rsidRPr="008834D6">
        <w:rPr>
          <w:rFonts w:ascii="Times New Roman" w:hAnsi="Times New Roman" w:cs="Times New Roman"/>
          <w:b/>
          <w:bCs/>
          <w:sz w:val="24"/>
          <w:szCs w:val="24"/>
        </w:rPr>
        <w:t>Supplementary Figure 2A</w:t>
      </w:r>
      <w:r w:rsidRPr="008834D6">
        <w:rPr>
          <w:rFonts w:ascii="Times New Roman" w:hAnsi="Times New Roman" w:cs="Times New Roman"/>
          <w:sz w:val="24"/>
          <w:szCs w:val="24"/>
        </w:rPr>
        <w:t xml:space="preserve">), and GRAM score severity index. The estimate from the linear regression (interpretable as an increase in the GRAM score for one standard deviation increase in </w:t>
      </w:r>
      <w:r w:rsidRPr="008834D6">
        <w:rPr>
          <w:rFonts w:ascii="Times New Roman" w:hAnsi="Times New Roman" w:cs="Times New Roman"/>
          <w:i/>
          <w:iCs/>
          <w:sz w:val="24"/>
          <w:szCs w:val="24"/>
        </w:rPr>
        <w:t>DNAmCVDscore</w:t>
      </w:r>
      <w:r w:rsidRPr="008834D6">
        <w:rPr>
          <w:rFonts w:ascii="Times New Roman" w:hAnsi="Times New Roman" w:cs="Times New Roman"/>
          <w:sz w:val="24"/>
          <w:szCs w:val="24"/>
        </w:rPr>
        <w:t xml:space="preserve">) was 16.35 (95% CI 1.36; 31.04, </w:t>
      </w:r>
      <w:r w:rsidRPr="008834D6">
        <w:rPr>
          <w:rFonts w:ascii="Times New Roman" w:hAnsi="Times New Roman" w:cs="Times New Roman"/>
          <w:i/>
          <w:iCs/>
          <w:sz w:val="24"/>
          <w:szCs w:val="24"/>
        </w:rPr>
        <w:t>P</w:t>
      </w:r>
      <w:r w:rsidRPr="008834D6">
        <w:rPr>
          <w:rFonts w:ascii="Times New Roman" w:hAnsi="Times New Roman" w:cs="Times New Roman"/>
          <w:sz w:val="24"/>
          <w:szCs w:val="24"/>
        </w:rPr>
        <w:t xml:space="preserve"> = 0.03, </w:t>
      </w:r>
      <w:r w:rsidRPr="008834D6">
        <w:rPr>
          <w:rFonts w:ascii="Times New Roman" w:hAnsi="Times New Roman" w:cs="Times New Roman"/>
          <w:b/>
          <w:bCs/>
          <w:sz w:val="24"/>
          <w:szCs w:val="24"/>
        </w:rPr>
        <w:t>Table S2</w:t>
      </w:r>
      <w:r w:rsidRPr="008834D6">
        <w:rPr>
          <w:rFonts w:ascii="Times New Roman" w:hAnsi="Times New Roman" w:cs="Times New Roman"/>
          <w:sz w:val="24"/>
          <w:szCs w:val="24"/>
        </w:rPr>
        <w:t xml:space="preserve"> and </w:t>
      </w:r>
      <w:r w:rsidRPr="008834D6">
        <w:rPr>
          <w:rFonts w:ascii="Times New Roman" w:hAnsi="Times New Roman" w:cs="Times New Roman"/>
          <w:b/>
          <w:bCs/>
          <w:sz w:val="24"/>
          <w:szCs w:val="24"/>
        </w:rPr>
        <w:t>Supplementary Figure 2B</w:t>
      </w:r>
      <w:r w:rsidRPr="008834D6">
        <w:rPr>
          <w:rFonts w:ascii="Times New Roman" w:hAnsi="Times New Roman" w:cs="Times New Roman"/>
          <w:sz w:val="24"/>
          <w:szCs w:val="24"/>
        </w:rPr>
        <w:t>).</w:t>
      </w:r>
    </w:p>
    <w:p w14:paraId="36A47673" w14:textId="31C6EC45" w:rsidR="00CC2EA6" w:rsidRPr="008834D6" w:rsidRDefault="00CC2EA6" w:rsidP="00B57645">
      <w:pPr>
        <w:spacing w:after="0" w:line="480" w:lineRule="auto"/>
        <w:jc w:val="both"/>
        <w:rPr>
          <w:rFonts w:ascii="Times New Roman" w:eastAsia="Times New Roman" w:hAnsi="Times New Roman" w:cs="Times New Roman"/>
          <w:sz w:val="24"/>
          <w:szCs w:val="24"/>
        </w:rPr>
      </w:pPr>
      <w:r w:rsidRPr="008834D6">
        <w:rPr>
          <w:rFonts w:ascii="Times New Roman" w:eastAsia="Times New Roman" w:hAnsi="Times New Roman" w:cs="Times New Roman"/>
          <w:sz w:val="24"/>
          <w:szCs w:val="24"/>
        </w:rPr>
        <w:br w:type="page"/>
      </w:r>
    </w:p>
    <w:p w14:paraId="79EC52F9" w14:textId="631CFDF6" w:rsidR="00CC2EA6" w:rsidRPr="008834D6" w:rsidRDefault="00CC2EA6" w:rsidP="00B57645">
      <w:pPr>
        <w:spacing w:after="0" w:line="480" w:lineRule="auto"/>
        <w:jc w:val="both"/>
        <w:rPr>
          <w:rFonts w:ascii="Times New Roman" w:eastAsia="Times New Roman" w:hAnsi="Times New Roman" w:cs="Times New Roman"/>
          <w:sz w:val="24"/>
          <w:szCs w:val="24"/>
        </w:rPr>
      </w:pPr>
      <w:r w:rsidRPr="008834D6">
        <w:rPr>
          <w:rFonts w:ascii="Times New Roman" w:eastAsia="Times New Roman" w:hAnsi="Times New Roman" w:cs="Times New Roman"/>
          <w:b/>
          <w:bCs/>
          <w:sz w:val="24"/>
          <w:szCs w:val="24"/>
        </w:rPr>
        <w:lastRenderedPageBreak/>
        <w:t>Figure S1</w:t>
      </w:r>
      <w:r w:rsidRPr="008834D6">
        <w:rPr>
          <w:rFonts w:ascii="Times New Roman" w:eastAsia="Times New Roman" w:hAnsi="Times New Roman" w:cs="Times New Roman"/>
          <w:sz w:val="24"/>
          <w:szCs w:val="24"/>
        </w:rPr>
        <w:t xml:space="preserve">: Correlation heatmap with mutual Pearson correlation coefficients among </w:t>
      </w:r>
      <w:r w:rsidRPr="008834D6">
        <w:rPr>
          <w:rFonts w:ascii="Times New Roman" w:eastAsia="Times New Roman" w:hAnsi="Times New Roman" w:cs="Times New Roman"/>
          <w:i/>
          <w:iCs/>
          <w:sz w:val="24"/>
          <w:szCs w:val="24"/>
        </w:rPr>
        <w:t>DNAmCVDscore</w:t>
      </w:r>
      <w:r w:rsidRPr="008834D6">
        <w:rPr>
          <w:rFonts w:ascii="Times New Roman" w:eastAsia="Times New Roman" w:hAnsi="Times New Roman" w:cs="Times New Roman"/>
          <w:sz w:val="24"/>
          <w:szCs w:val="24"/>
        </w:rPr>
        <w:t xml:space="preserve"> and epigenetic clocks</w:t>
      </w:r>
    </w:p>
    <w:p w14:paraId="21300074" w14:textId="7E42F2CE" w:rsidR="00CC2EA6" w:rsidRPr="008834D6" w:rsidRDefault="00CC2EA6" w:rsidP="00B57645">
      <w:pPr>
        <w:spacing w:after="0" w:line="480" w:lineRule="auto"/>
        <w:jc w:val="both"/>
        <w:rPr>
          <w:rFonts w:ascii="Times New Roman" w:eastAsia="Times New Roman" w:hAnsi="Times New Roman" w:cs="Times New Roman"/>
          <w:sz w:val="24"/>
          <w:szCs w:val="24"/>
        </w:rPr>
      </w:pPr>
      <w:r w:rsidRPr="008834D6">
        <w:rPr>
          <w:rFonts w:ascii="Times New Roman" w:eastAsia="Times New Roman" w:hAnsi="Times New Roman" w:cs="Times New Roman"/>
          <w:noProof/>
          <w:sz w:val="24"/>
          <w:szCs w:val="24"/>
        </w:rPr>
        <w:drawing>
          <wp:inline distT="0" distB="0" distL="0" distR="0" wp14:anchorId="5966AA88" wp14:editId="56D89809">
            <wp:extent cx="5943600" cy="5943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r w:rsidRPr="008834D6">
        <w:rPr>
          <w:rFonts w:ascii="Times New Roman" w:eastAsia="Times New Roman" w:hAnsi="Times New Roman" w:cs="Times New Roman"/>
          <w:sz w:val="24"/>
          <w:szCs w:val="24"/>
        </w:rPr>
        <w:br w:type="page"/>
      </w:r>
    </w:p>
    <w:p w14:paraId="14EEEEB1" w14:textId="0D75F975" w:rsidR="00FC3EB6" w:rsidRPr="008834D6" w:rsidRDefault="00CC2EA6" w:rsidP="00B57645">
      <w:pPr>
        <w:spacing w:after="0" w:line="480" w:lineRule="auto"/>
        <w:jc w:val="both"/>
        <w:rPr>
          <w:rFonts w:ascii="Times New Roman" w:eastAsia="Times New Roman" w:hAnsi="Times New Roman" w:cs="Times New Roman"/>
          <w:sz w:val="24"/>
          <w:szCs w:val="24"/>
        </w:rPr>
      </w:pPr>
      <w:r w:rsidRPr="008834D6">
        <w:rPr>
          <w:rFonts w:ascii="Times New Roman" w:eastAsia="Times New Roman" w:hAnsi="Times New Roman" w:cs="Times New Roman"/>
          <w:b/>
          <w:bCs/>
          <w:sz w:val="24"/>
          <w:szCs w:val="24"/>
        </w:rPr>
        <w:lastRenderedPageBreak/>
        <w:t>Figure S2</w:t>
      </w:r>
      <w:r w:rsidRPr="008834D6">
        <w:rPr>
          <w:rFonts w:ascii="Times New Roman" w:eastAsia="Times New Roman" w:hAnsi="Times New Roman" w:cs="Times New Roman"/>
          <w:sz w:val="24"/>
          <w:szCs w:val="24"/>
        </w:rPr>
        <w:t>: a) Violin plot</w:t>
      </w:r>
      <w:r w:rsidR="00392564" w:rsidRPr="008834D6">
        <w:rPr>
          <w:rFonts w:ascii="Times New Roman" w:eastAsia="Times New Roman" w:hAnsi="Times New Roman" w:cs="Times New Roman"/>
          <w:sz w:val="24"/>
          <w:szCs w:val="24"/>
        </w:rPr>
        <w:t xml:space="preserve"> of standardised </w:t>
      </w:r>
      <w:r w:rsidR="00392564" w:rsidRPr="008834D6">
        <w:rPr>
          <w:rFonts w:ascii="Times New Roman" w:eastAsia="Times New Roman" w:hAnsi="Times New Roman" w:cs="Times New Roman"/>
          <w:i/>
          <w:iCs/>
          <w:sz w:val="24"/>
          <w:szCs w:val="24"/>
        </w:rPr>
        <w:t>DNAmCVDscore</w:t>
      </w:r>
      <w:r w:rsidR="00392564" w:rsidRPr="008834D6">
        <w:rPr>
          <w:rFonts w:ascii="Times New Roman" w:eastAsia="Times New Roman" w:hAnsi="Times New Roman" w:cs="Times New Roman"/>
          <w:sz w:val="24"/>
          <w:szCs w:val="24"/>
        </w:rPr>
        <w:t xml:space="preserve"> vs COVID-19 case-control status; b) scatterplot and regression line for </w:t>
      </w:r>
      <w:r w:rsidR="00392564" w:rsidRPr="008834D6">
        <w:rPr>
          <w:rFonts w:ascii="Times New Roman" w:eastAsia="Times New Roman" w:hAnsi="Times New Roman" w:cs="Times New Roman"/>
          <w:i/>
          <w:iCs/>
          <w:sz w:val="24"/>
          <w:szCs w:val="24"/>
        </w:rPr>
        <w:t>DNAmCVDscore</w:t>
      </w:r>
      <w:r w:rsidR="00392564" w:rsidRPr="008834D6">
        <w:rPr>
          <w:rFonts w:ascii="Times New Roman" w:eastAsia="Times New Roman" w:hAnsi="Times New Roman" w:cs="Times New Roman"/>
          <w:sz w:val="24"/>
          <w:szCs w:val="24"/>
        </w:rPr>
        <w:t xml:space="preserve"> vs COVID-19 severity (GRAM score).</w:t>
      </w:r>
    </w:p>
    <w:p w14:paraId="6AD461B6" w14:textId="27249564" w:rsidR="00392564" w:rsidRPr="008834D6" w:rsidRDefault="00392564" w:rsidP="00B57645">
      <w:pPr>
        <w:spacing w:after="0" w:line="480" w:lineRule="auto"/>
        <w:jc w:val="both"/>
        <w:rPr>
          <w:rFonts w:ascii="Times New Roman" w:eastAsia="Times New Roman" w:hAnsi="Times New Roman" w:cs="Times New Roman"/>
          <w:sz w:val="24"/>
          <w:szCs w:val="24"/>
        </w:rPr>
      </w:pPr>
      <w:r w:rsidRPr="008834D6">
        <w:rPr>
          <w:rFonts w:ascii="Times New Roman" w:eastAsia="Times New Roman" w:hAnsi="Times New Roman" w:cs="Times New Roman"/>
          <w:noProof/>
          <w:sz w:val="24"/>
          <w:szCs w:val="24"/>
        </w:rPr>
        <w:drawing>
          <wp:inline distT="0" distB="0" distL="0" distR="0" wp14:anchorId="233A4CE9" wp14:editId="02ED717B">
            <wp:extent cx="5936615" cy="2967990"/>
            <wp:effectExtent l="0" t="0" r="6985"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6615" cy="2967990"/>
                    </a:xfrm>
                    <a:prstGeom prst="rect">
                      <a:avLst/>
                    </a:prstGeom>
                    <a:noFill/>
                    <a:ln>
                      <a:noFill/>
                    </a:ln>
                  </pic:spPr>
                </pic:pic>
              </a:graphicData>
            </a:graphic>
          </wp:inline>
        </w:drawing>
      </w:r>
    </w:p>
    <w:sectPr w:rsidR="00392564" w:rsidRPr="008834D6" w:rsidSect="00A12C3C">
      <w:foot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A5B029" w14:textId="77777777" w:rsidR="00A22CC8" w:rsidRDefault="00A22CC8" w:rsidP="00F65EA7">
      <w:pPr>
        <w:spacing w:after="0" w:line="240" w:lineRule="auto"/>
      </w:pPr>
      <w:r>
        <w:separator/>
      </w:r>
    </w:p>
  </w:endnote>
  <w:endnote w:type="continuationSeparator" w:id="0">
    <w:p w14:paraId="7F7A4E9B" w14:textId="77777777" w:rsidR="00A22CC8" w:rsidRDefault="00A22CC8" w:rsidP="00F65E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302331"/>
      <w:docPartObj>
        <w:docPartGallery w:val="Page Numbers (Bottom of Page)"/>
        <w:docPartUnique/>
      </w:docPartObj>
    </w:sdtPr>
    <w:sdtEndPr>
      <w:rPr>
        <w:noProof/>
      </w:rPr>
    </w:sdtEndPr>
    <w:sdtContent>
      <w:p w14:paraId="00F116C6" w14:textId="677B0805" w:rsidR="00F65EA7" w:rsidRDefault="00F65EA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9E42B0F" w14:textId="77777777" w:rsidR="00F65EA7" w:rsidRDefault="00F65E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C0D919" w14:textId="77777777" w:rsidR="00A22CC8" w:rsidRDefault="00A22CC8" w:rsidP="00F65EA7">
      <w:pPr>
        <w:spacing w:after="0" w:line="240" w:lineRule="auto"/>
      </w:pPr>
      <w:r>
        <w:separator/>
      </w:r>
    </w:p>
  </w:footnote>
  <w:footnote w:type="continuationSeparator" w:id="0">
    <w:p w14:paraId="63923D7C" w14:textId="77777777" w:rsidR="00A22CC8" w:rsidRDefault="00A22CC8" w:rsidP="00F65EA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E2F"/>
    <w:rsid w:val="00057F47"/>
    <w:rsid w:val="0019240F"/>
    <w:rsid w:val="00392564"/>
    <w:rsid w:val="004A643C"/>
    <w:rsid w:val="004C7166"/>
    <w:rsid w:val="006862E6"/>
    <w:rsid w:val="006B7126"/>
    <w:rsid w:val="007C00AD"/>
    <w:rsid w:val="007F2E2F"/>
    <w:rsid w:val="0080338A"/>
    <w:rsid w:val="008834D6"/>
    <w:rsid w:val="009A768C"/>
    <w:rsid w:val="00A22CC8"/>
    <w:rsid w:val="00B57645"/>
    <w:rsid w:val="00B85804"/>
    <w:rsid w:val="00C35EC6"/>
    <w:rsid w:val="00C46A6A"/>
    <w:rsid w:val="00CC2EA6"/>
    <w:rsid w:val="00CF3E2C"/>
    <w:rsid w:val="00D5157F"/>
    <w:rsid w:val="00D66877"/>
    <w:rsid w:val="00DC52DE"/>
    <w:rsid w:val="00F65EA7"/>
    <w:rsid w:val="00FC3E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3AFC96"/>
  <w15:chartTrackingRefBased/>
  <w15:docId w15:val="{C273D216-A023-49E0-92A7-93BF9F657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46A6A"/>
    <w:rPr>
      <w:sz w:val="16"/>
      <w:szCs w:val="16"/>
    </w:rPr>
  </w:style>
  <w:style w:type="paragraph" w:styleId="CommentText">
    <w:name w:val="annotation text"/>
    <w:basedOn w:val="Normal"/>
    <w:link w:val="CommentTextChar"/>
    <w:uiPriority w:val="99"/>
    <w:unhideWhenUsed/>
    <w:rsid w:val="00C46A6A"/>
    <w:pPr>
      <w:spacing w:line="240" w:lineRule="auto"/>
    </w:pPr>
    <w:rPr>
      <w:sz w:val="20"/>
      <w:szCs w:val="20"/>
    </w:rPr>
  </w:style>
  <w:style w:type="character" w:customStyle="1" w:styleId="CommentTextChar">
    <w:name w:val="Comment Text Char"/>
    <w:basedOn w:val="DefaultParagraphFont"/>
    <w:link w:val="CommentText"/>
    <w:uiPriority w:val="99"/>
    <w:rsid w:val="00C46A6A"/>
    <w:rPr>
      <w:sz w:val="20"/>
      <w:szCs w:val="20"/>
    </w:rPr>
  </w:style>
  <w:style w:type="paragraph" w:styleId="CommentSubject">
    <w:name w:val="annotation subject"/>
    <w:basedOn w:val="CommentText"/>
    <w:next w:val="CommentText"/>
    <w:link w:val="CommentSubjectChar"/>
    <w:uiPriority w:val="99"/>
    <w:semiHidden/>
    <w:unhideWhenUsed/>
    <w:rsid w:val="00C46A6A"/>
    <w:rPr>
      <w:b/>
      <w:bCs/>
    </w:rPr>
  </w:style>
  <w:style w:type="character" w:customStyle="1" w:styleId="CommentSubjectChar">
    <w:name w:val="Comment Subject Char"/>
    <w:basedOn w:val="CommentTextChar"/>
    <w:link w:val="CommentSubject"/>
    <w:uiPriority w:val="99"/>
    <w:semiHidden/>
    <w:rsid w:val="00C46A6A"/>
    <w:rPr>
      <w:b/>
      <w:bCs/>
      <w:sz w:val="20"/>
      <w:szCs w:val="20"/>
    </w:rPr>
  </w:style>
  <w:style w:type="paragraph" w:styleId="Header">
    <w:name w:val="header"/>
    <w:basedOn w:val="Normal"/>
    <w:link w:val="HeaderChar"/>
    <w:uiPriority w:val="99"/>
    <w:unhideWhenUsed/>
    <w:rsid w:val="00F65E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5EA7"/>
  </w:style>
  <w:style w:type="paragraph" w:styleId="Footer">
    <w:name w:val="footer"/>
    <w:basedOn w:val="Normal"/>
    <w:link w:val="FooterChar"/>
    <w:uiPriority w:val="99"/>
    <w:unhideWhenUsed/>
    <w:rsid w:val="00F65E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5EA7"/>
  </w:style>
  <w:style w:type="character" w:styleId="Hyperlink">
    <w:name w:val="Hyperlink"/>
    <w:basedOn w:val="DefaultParagraphFont"/>
    <w:uiPriority w:val="99"/>
    <w:unhideWhenUsed/>
    <w:rsid w:val="004A643C"/>
    <w:rPr>
      <w:color w:val="0563C1" w:themeColor="hyperlink"/>
      <w:u w:val="single"/>
    </w:rPr>
  </w:style>
  <w:style w:type="character" w:styleId="UnresolvedMention">
    <w:name w:val="Unresolved Mention"/>
    <w:basedOn w:val="DefaultParagraphFont"/>
    <w:uiPriority w:val="99"/>
    <w:semiHidden/>
    <w:unhideWhenUsed/>
    <w:rsid w:val="004A64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2528DC-D1D8-4A8B-9504-C89A3BA92A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4</Pages>
  <Words>475</Words>
  <Characters>2709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Giovanni Fiorito</dc:creator>
  <cp:keywords/>
  <dc:description/>
  <cp:lastModifiedBy>Giovanni Fiorito</cp:lastModifiedBy>
  <cp:revision>14</cp:revision>
  <dcterms:created xsi:type="dcterms:W3CDTF">2022-02-16T10:50:00Z</dcterms:created>
  <dcterms:modified xsi:type="dcterms:W3CDTF">2022-05-20T13:21:00Z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http://www.zotero.org/styles/aging</vt:lpwstr>
  </property>
  <property fmtid="{D5CDD505-2E9C-101B-9397-08002B2CF9AE}" pid="3" name="Mendeley Recent Style Name 0_1">
    <vt:lpwstr>Aging</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http://www.zotero.org/styles/clinical-epigenetics</vt:lpwstr>
  </property>
  <property fmtid="{D5CDD505-2E9C-101B-9397-08002B2CF9AE}" pid="11" name="Mendeley Recent Style Name 4_1">
    <vt:lpwstr>Clinical Epigenetics</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http://www.zotero.org/styles/international-journal-of-epidemiology</vt:lpwstr>
  </property>
  <property fmtid="{D5CDD505-2E9C-101B-9397-08002B2CF9AE}" pid="15" name="Mendeley Recent Style Name 6_1">
    <vt:lpwstr>International Journal of Epidemiology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http://csl.mendeley.com/styles/575093461/vancouver</vt:lpwstr>
  </property>
  <property fmtid="{D5CDD505-2E9C-101B-9397-08002B2CF9AE}" pid="21" name="Mendeley Recent Style Name 9_1">
    <vt:lpwstr>Vancouver - Giovanni Fiorito</vt:lpwstr>
  </property>
  <property fmtid="{D5CDD505-2E9C-101B-9397-08002B2CF9AE}" pid="22" name="Mendeley Document_1">
    <vt:lpwstr>True</vt:lpwstr>
  </property>
  <property fmtid="{D5CDD505-2E9C-101B-9397-08002B2CF9AE}" pid="23" name="Mendeley Unique User Id_1">
    <vt:lpwstr>98bd6b66-4c5e-38ed-bebd-b3dcf737ec67</vt:lpwstr>
  </property>
  <property fmtid="{D5CDD505-2E9C-101B-9397-08002B2CF9AE}" pid="24" name="Mendeley Citation Style_1">
    <vt:lpwstr>http://www.zotero.org/styles/clinical-epigenetics</vt:lpwstr>
  </property>
</Properties>
</file>