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5943326" w14:textId="12B0BFE3" w:rsidR="007B5326" w:rsidRPr="00D91E59" w:rsidRDefault="007B5326" w:rsidP="007B5326">
      <w:pPr>
        <w:pStyle w:val="1"/>
        <w:rPr>
          <w:rFonts w:eastAsia="等线"/>
        </w:rPr>
      </w:pPr>
      <w:r>
        <w:rPr>
          <w:rFonts w:eastAsia="等线"/>
        </w:rPr>
        <w:t>V</w:t>
      </w:r>
      <w:r>
        <w:rPr>
          <w:rFonts w:eastAsia="等线" w:hint="eastAsia"/>
        </w:rPr>
        <w:t>er</w:t>
      </w:r>
      <w:r>
        <w:rPr>
          <w:rFonts w:eastAsia="等线"/>
        </w:rPr>
        <w:t>tical tearing</w:t>
      </w:r>
      <w:r w:rsidRPr="00EE7179">
        <w:rPr>
          <w:rFonts w:eastAsia="等线"/>
        </w:rPr>
        <w:t xml:space="preserve"> </w:t>
      </w:r>
      <w:r>
        <w:rPr>
          <w:rFonts w:eastAsia="等线"/>
        </w:rPr>
        <w:t xml:space="preserve">of subducting slabs </w:t>
      </w:r>
      <w:r w:rsidRPr="00EE7179">
        <w:rPr>
          <w:rFonts w:eastAsia="等线"/>
        </w:rPr>
        <w:t xml:space="preserve">controlled by </w:t>
      </w:r>
      <w:r w:rsidRPr="00194F09">
        <w:rPr>
          <w:rFonts w:eastAsia="等线"/>
        </w:rPr>
        <w:t>geometry</w:t>
      </w:r>
      <w:r>
        <w:rPr>
          <w:rFonts w:eastAsia="等线"/>
        </w:rPr>
        <w:t xml:space="preserve"> and </w:t>
      </w:r>
      <w:r w:rsidRPr="00EE7179">
        <w:rPr>
          <w:rFonts w:eastAsia="等线"/>
        </w:rPr>
        <w:t xml:space="preserve">rheology of oceanic </w:t>
      </w:r>
      <w:r>
        <w:rPr>
          <w:rFonts w:eastAsia="等线"/>
        </w:rPr>
        <w:t>plates</w:t>
      </w:r>
    </w:p>
    <w:p w14:paraId="4980FA21" w14:textId="715A4D32" w:rsidR="007B5326" w:rsidRPr="006F2651" w:rsidRDefault="007B5326" w:rsidP="006F2651">
      <w:pPr>
        <w:spacing w:beforeLines="100" w:before="326" w:afterLines="50" w:after="163"/>
        <w:jc w:val="center"/>
        <w:rPr>
          <w:rFonts w:eastAsia="等线"/>
        </w:rPr>
      </w:pPr>
      <w:r w:rsidRPr="00DB1457">
        <w:rPr>
          <w:rFonts w:eastAsia="等线" w:hint="eastAsia"/>
        </w:rPr>
        <w:t>Y</w:t>
      </w:r>
      <w:r w:rsidRPr="00DB1457">
        <w:rPr>
          <w:rFonts w:eastAsia="等线"/>
        </w:rPr>
        <w:t>aguang Chen, Hanlin Chen*, Mingqi Liu</w:t>
      </w:r>
      <w:r w:rsidRPr="00DB1457">
        <w:rPr>
          <w:rFonts w:eastAsia="等线" w:hint="eastAsia"/>
        </w:rPr>
        <w:t>,</w:t>
      </w:r>
      <w:r w:rsidRPr="00DB1457">
        <w:rPr>
          <w:rFonts w:eastAsia="等线"/>
        </w:rPr>
        <w:t xml:space="preserve"> Taras Gerya</w:t>
      </w:r>
      <w:r w:rsidRPr="00C94D5D">
        <w:rPr>
          <w:rFonts w:eastAsia="等线"/>
        </w:rPr>
        <w:t>*</w:t>
      </w:r>
    </w:p>
    <w:p w14:paraId="4902C87E" w14:textId="77777777" w:rsidR="007B5326" w:rsidRDefault="007B5326">
      <w:pPr>
        <w:widowControl/>
        <w:spacing w:line="240" w:lineRule="auto"/>
        <w:jc w:val="left"/>
        <w:rPr>
          <w:rFonts w:eastAsia="等线"/>
        </w:rPr>
      </w:pPr>
      <w:r>
        <w:rPr>
          <w:rFonts w:eastAsia="等线"/>
        </w:rPr>
        <w:br w:type="page"/>
      </w:r>
    </w:p>
    <w:p w14:paraId="77039507" w14:textId="2BD3D222" w:rsidR="004A6DDA" w:rsidRPr="007B5326" w:rsidRDefault="005438C1" w:rsidP="00361167">
      <w:pPr>
        <w:pStyle w:val="2"/>
        <w:spacing w:afterLines="0" w:after="163"/>
      </w:pPr>
      <w:bookmarkStart w:id="0" w:name="_Hlk99375268"/>
      <w:r w:rsidRPr="005438C1">
        <w:lastRenderedPageBreak/>
        <w:t>Supplementary</w:t>
      </w:r>
      <w:r>
        <w:t xml:space="preserve"> </w:t>
      </w:r>
      <w:r w:rsidR="007E2786" w:rsidRPr="007B5326">
        <w:rPr>
          <w:rFonts w:hint="eastAsia"/>
        </w:rPr>
        <w:t>T</w:t>
      </w:r>
      <w:r w:rsidR="007E2786" w:rsidRPr="007B5326">
        <w:t>able 1</w:t>
      </w:r>
      <w:bookmarkEnd w:id="0"/>
      <w:r w:rsidR="007E2786" w:rsidRPr="007B5326">
        <w:t xml:space="preserve"> </w:t>
      </w:r>
      <w:r w:rsidR="00E44630" w:rsidRPr="007B5326">
        <w:t xml:space="preserve">Summary of </w:t>
      </w:r>
      <w:r w:rsidR="00B56BC2" w:rsidRPr="007B5326">
        <w:rPr>
          <w:rFonts w:hint="eastAsia"/>
        </w:rPr>
        <w:t>a</w:t>
      </w:r>
      <w:r w:rsidR="00B56BC2" w:rsidRPr="007B5326">
        <w:t>pproximate location</w:t>
      </w:r>
      <w:r w:rsidR="00660C40" w:rsidRPr="007B5326">
        <w:rPr>
          <w:rFonts w:hint="eastAsia"/>
        </w:rPr>
        <w:t>s</w:t>
      </w:r>
      <w:r w:rsidR="00B56BC2" w:rsidRPr="007B5326">
        <w:t xml:space="preserve"> </w:t>
      </w:r>
      <w:r w:rsidR="00B56BC2" w:rsidRPr="007B5326">
        <w:rPr>
          <w:rFonts w:hint="eastAsia"/>
        </w:rPr>
        <w:t xml:space="preserve">of </w:t>
      </w:r>
      <w:r w:rsidR="00E44630" w:rsidRPr="007B5326">
        <w:t>proposed Mode-III VT</w:t>
      </w:r>
      <w:r w:rsidR="00F6768D" w:rsidRPr="007B5326">
        <w:t>s</w:t>
      </w:r>
    </w:p>
    <w:tbl>
      <w:tblPr>
        <w:tblStyle w:val="51"/>
        <w:tblW w:w="8633" w:type="dxa"/>
        <w:tblInd w:w="-284" w:type="dxa"/>
        <w:tblLayout w:type="fixed"/>
        <w:tblLook w:val="04A0" w:firstRow="1" w:lastRow="0" w:firstColumn="1" w:lastColumn="0" w:noHBand="0" w:noVBand="1"/>
      </w:tblPr>
      <w:tblGrid>
        <w:gridCol w:w="2396"/>
        <w:gridCol w:w="1275"/>
        <w:gridCol w:w="1134"/>
        <w:gridCol w:w="993"/>
        <w:gridCol w:w="1701"/>
        <w:gridCol w:w="1134"/>
      </w:tblGrid>
      <w:tr w:rsidR="009D1B0F" w:rsidRPr="00DF1D9D" w14:paraId="38D04B65" w14:textId="45245BC2" w:rsidTr="00F76A4E">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2396" w:type="dxa"/>
            <w:tcBorders>
              <w:top w:val="single" w:sz="12" w:space="0" w:color="auto"/>
              <w:left w:val="single" w:sz="12" w:space="0" w:color="auto"/>
              <w:bottom w:val="single" w:sz="12" w:space="0" w:color="auto"/>
            </w:tcBorders>
            <w:vAlign w:val="center"/>
          </w:tcPr>
          <w:p w14:paraId="7367A9F5" w14:textId="25BB07C6" w:rsidR="00DF1D9D" w:rsidRPr="00DF1D9D" w:rsidRDefault="00DF1D9D" w:rsidP="007B5326">
            <w:pPr>
              <w:spacing w:line="240" w:lineRule="auto"/>
              <w:jc w:val="center"/>
              <w:rPr>
                <w:rFonts w:eastAsia="等线"/>
                <w:b/>
                <w:bCs/>
                <w:i w:val="0"/>
                <w:iCs w:val="0"/>
                <w:sz w:val="18"/>
                <w:szCs w:val="18"/>
              </w:rPr>
            </w:pPr>
            <w:r w:rsidRPr="00DF1D9D">
              <w:rPr>
                <w:rFonts w:eastAsia="等线" w:hint="eastAsia"/>
                <w:b/>
                <w:bCs/>
                <w:i w:val="0"/>
                <w:iCs w:val="0"/>
                <w:sz w:val="18"/>
                <w:szCs w:val="18"/>
              </w:rPr>
              <w:t>R</w:t>
            </w:r>
            <w:r w:rsidRPr="00DF1D9D">
              <w:rPr>
                <w:rFonts w:eastAsia="等线"/>
                <w:b/>
                <w:bCs/>
                <w:i w:val="0"/>
                <w:iCs w:val="0"/>
                <w:sz w:val="18"/>
                <w:szCs w:val="18"/>
              </w:rPr>
              <w:t>egion</w:t>
            </w:r>
          </w:p>
        </w:tc>
        <w:tc>
          <w:tcPr>
            <w:tcW w:w="1275" w:type="dxa"/>
            <w:tcBorders>
              <w:top w:val="single" w:sz="12" w:space="0" w:color="auto"/>
              <w:bottom w:val="single" w:sz="12" w:space="0" w:color="auto"/>
            </w:tcBorders>
            <w:vAlign w:val="center"/>
          </w:tcPr>
          <w:p w14:paraId="1EC79CFB" w14:textId="51AA67A0" w:rsidR="00DF1D9D" w:rsidRPr="00DF1D9D" w:rsidRDefault="00DF1D9D" w:rsidP="007B5326">
            <w:pPr>
              <w:spacing w:line="240" w:lineRule="auto"/>
              <w:jc w:val="center"/>
              <w:cnfStyle w:val="100000000000" w:firstRow="1" w:lastRow="0" w:firstColumn="0" w:lastColumn="0" w:oddVBand="0" w:evenVBand="0" w:oddHBand="0" w:evenHBand="0" w:firstRowFirstColumn="0" w:firstRowLastColumn="0" w:lastRowFirstColumn="0" w:lastRowLastColumn="0"/>
              <w:rPr>
                <w:rFonts w:eastAsia="等线"/>
                <w:b/>
                <w:bCs/>
                <w:i w:val="0"/>
                <w:iCs w:val="0"/>
                <w:sz w:val="18"/>
                <w:szCs w:val="18"/>
              </w:rPr>
            </w:pPr>
            <w:r w:rsidRPr="00DF1D9D">
              <w:rPr>
                <w:rFonts w:eastAsia="等线"/>
                <w:b/>
                <w:bCs/>
                <w:i w:val="0"/>
                <w:iCs w:val="0"/>
                <w:sz w:val="18"/>
                <w:szCs w:val="18"/>
              </w:rPr>
              <w:t>Abbreviation</w:t>
            </w:r>
          </w:p>
        </w:tc>
        <w:tc>
          <w:tcPr>
            <w:tcW w:w="1134" w:type="dxa"/>
            <w:tcBorders>
              <w:top w:val="single" w:sz="12" w:space="0" w:color="auto"/>
              <w:bottom w:val="single" w:sz="12" w:space="0" w:color="auto"/>
            </w:tcBorders>
            <w:vAlign w:val="center"/>
          </w:tcPr>
          <w:p w14:paraId="6AF016A9" w14:textId="41596D6C" w:rsidR="00DF1D9D" w:rsidRPr="00DF1D9D" w:rsidRDefault="00DF1D9D" w:rsidP="007B5326">
            <w:pPr>
              <w:spacing w:line="240" w:lineRule="auto"/>
              <w:jc w:val="center"/>
              <w:cnfStyle w:val="100000000000" w:firstRow="1" w:lastRow="0" w:firstColumn="0" w:lastColumn="0" w:oddVBand="0" w:evenVBand="0" w:oddHBand="0" w:evenHBand="0" w:firstRowFirstColumn="0" w:firstRowLastColumn="0" w:lastRowFirstColumn="0" w:lastRowLastColumn="0"/>
              <w:rPr>
                <w:rFonts w:eastAsia="等线"/>
                <w:b/>
                <w:bCs/>
                <w:i w:val="0"/>
                <w:iCs w:val="0"/>
                <w:sz w:val="18"/>
                <w:szCs w:val="18"/>
              </w:rPr>
            </w:pPr>
            <w:r w:rsidRPr="00DF1D9D">
              <w:rPr>
                <w:rFonts w:eastAsia="等线"/>
                <w:b/>
                <w:bCs/>
                <w:i w:val="0"/>
                <w:iCs w:val="0"/>
                <w:sz w:val="18"/>
                <w:szCs w:val="18"/>
              </w:rPr>
              <w:t>Longitude</w:t>
            </w:r>
          </w:p>
        </w:tc>
        <w:tc>
          <w:tcPr>
            <w:tcW w:w="993" w:type="dxa"/>
            <w:tcBorders>
              <w:top w:val="single" w:sz="12" w:space="0" w:color="auto"/>
              <w:bottom w:val="single" w:sz="12" w:space="0" w:color="auto"/>
            </w:tcBorders>
            <w:vAlign w:val="center"/>
          </w:tcPr>
          <w:p w14:paraId="17A23893" w14:textId="1D5A6449" w:rsidR="00DF1D9D" w:rsidRPr="00DF1D9D" w:rsidRDefault="00DF1D9D" w:rsidP="007B5326">
            <w:pPr>
              <w:spacing w:line="240" w:lineRule="auto"/>
              <w:jc w:val="center"/>
              <w:cnfStyle w:val="100000000000" w:firstRow="1" w:lastRow="0" w:firstColumn="0" w:lastColumn="0" w:oddVBand="0" w:evenVBand="0" w:oddHBand="0" w:evenHBand="0" w:firstRowFirstColumn="0" w:firstRowLastColumn="0" w:lastRowFirstColumn="0" w:lastRowLastColumn="0"/>
              <w:rPr>
                <w:rFonts w:eastAsia="等线"/>
                <w:b/>
                <w:bCs/>
                <w:i w:val="0"/>
                <w:iCs w:val="0"/>
                <w:sz w:val="18"/>
                <w:szCs w:val="18"/>
              </w:rPr>
            </w:pPr>
            <w:r w:rsidRPr="00DF1D9D">
              <w:rPr>
                <w:rFonts w:eastAsia="等线"/>
                <w:b/>
                <w:bCs/>
                <w:i w:val="0"/>
                <w:iCs w:val="0"/>
                <w:sz w:val="18"/>
                <w:szCs w:val="18"/>
              </w:rPr>
              <w:t>Latitude</w:t>
            </w:r>
          </w:p>
        </w:tc>
        <w:tc>
          <w:tcPr>
            <w:tcW w:w="1701" w:type="dxa"/>
            <w:tcBorders>
              <w:top w:val="single" w:sz="12" w:space="0" w:color="auto"/>
              <w:bottom w:val="single" w:sz="12" w:space="0" w:color="auto"/>
            </w:tcBorders>
            <w:vAlign w:val="center"/>
          </w:tcPr>
          <w:p w14:paraId="45611786" w14:textId="7A0F4733" w:rsidR="00DF1D9D" w:rsidRPr="00DF1D9D" w:rsidRDefault="00DF1D9D" w:rsidP="007B5326">
            <w:pPr>
              <w:spacing w:line="240" w:lineRule="auto"/>
              <w:jc w:val="center"/>
              <w:cnfStyle w:val="100000000000" w:firstRow="1" w:lastRow="0" w:firstColumn="0" w:lastColumn="0" w:oddVBand="0" w:evenVBand="0" w:oddHBand="0" w:evenHBand="0" w:firstRowFirstColumn="0" w:firstRowLastColumn="0" w:lastRowFirstColumn="0" w:lastRowLastColumn="0"/>
              <w:rPr>
                <w:rFonts w:eastAsia="等线"/>
                <w:b/>
                <w:bCs/>
                <w:i w:val="0"/>
                <w:iCs w:val="0"/>
                <w:sz w:val="18"/>
                <w:szCs w:val="18"/>
              </w:rPr>
            </w:pPr>
            <w:r w:rsidRPr="00DF1D9D">
              <w:rPr>
                <w:rFonts w:eastAsia="等线"/>
                <w:b/>
                <w:bCs/>
                <w:i w:val="0"/>
                <w:iCs w:val="0"/>
                <w:sz w:val="18"/>
                <w:szCs w:val="18"/>
              </w:rPr>
              <w:t>Location of VT in subduction zone</w:t>
            </w:r>
          </w:p>
        </w:tc>
        <w:tc>
          <w:tcPr>
            <w:tcW w:w="1134" w:type="dxa"/>
            <w:tcBorders>
              <w:top w:val="single" w:sz="12" w:space="0" w:color="auto"/>
              <w:bottom w:val="single" w:sz="12" w:space="0" w:color="auto"/>
              <w:right w:val="single" w:sz="12" w:space="0" w:color="auto"/>
            </w:tcBorders>
            <w:vAlign w:val="center"/>
          </w:tcPr>
          <w:p w14:paraId="1EE1019D" w14:textId="2E544A74" w:rsidR="00DF1D9D" w:rsidRPr="00DF1D9D" w:rsidRDefault="00DF1D9D" w:rsidP="007B5326">
            <w:pPr>
              <w:spacing w:line="240" w:lineRule="auto"/>
              <w:jc w:val="center"/>
              <w:cnfStyle w:val="100000000000" w:firstRow="1" w:lastRow="0" w:firstColumn="0" w:lastColumn="0" w:oddVBand="0" w:evenVBand="0" w:oddHBand="0" w:evenHBand="0" w:firstRowFirstColumn="0" w:firstRowLastColumn="0" w:lastRowFirstColumn="0" w:lastRowLastColumn="0"/>
              <w:rPr>
                <w:rFonts w:eastAsia="等线"/>
                <w:b/>
                <w:bCs/>
                <w:i w:val="0"/>
                <w:iCs w:val="0"/>
                <w:sz w:val="18"/>
                <w:szCs w:val="18"/>
              </w:rPr>
            </w:pPr>
            <w:r w:rsidRPr="00DF1D9D">
              <w:rPr>
                <w:rFonts w:eastAsia="等线" w:hint="eastAsia"/>
                <w:b/>
                <w:bCs/>
                <w:i w:val="0"/>
                <w:iCs w:val="0"/>
                <w:sz w:val="18"/>
                <w:szCs w:val="18"/>
              </w:rPr>
              <w:t>R</w:t>
            </w:r>
            <w:r w:rsidRPr="00DF1D9D">
              <w:rPr>
                <w:rFonts w:eastAsia="等线"/>
                <w:b/>
                <w:bCs/>
                <w:i w:val="0"/>
                <w:iCs w:val="0"/>
                <w:sz w:val="18"/>
                <w:szCs w:val="18"/>
              </w:rPr>
              <w:t>eference</w:t>
            </w:r>
            <w:r w:rsidR="005F40F7">
              <w:rPr>
                <w:rFonts w:eastAsia="等线"/>
                <w:b/>
                <w:bCs/>
                <w:i w:val="0"/>
                <w:iCs w:val="0"/>
                <w:sz w:val="18"/>
                <w:szCs w:val="18"/>
              </w:rPr>
              <w:t>s</w:t>
            </w:r>
          </w:p>
        </w:tc>
      </w:tr>
      <w:tr w:rsidR="00C86F1F" w:rsidRPr="00DF1D9D" w14:paraId="747012E7" w14:textId="77777777" w:rsidTr="004752D4">
        <w:trPr>
          <w:cnfStyle w:val="000000100000" w:firstRow="0" w:lastRow="0" w:firstColumn="0" w:lastColumn="0" w:oddVBand="0" w:evenVBand="0" w:oddHBand="1" w:evenHBand="0" w:firstRowFirstColumn="0" w:firstRowLastColumn="0" w:lastRowFirstColumn="0" w:lastRowLastColumn="0"/>
          <w:trHeight w:val="454"/>
        </w:trPr>
        <w:tc>
          <w:tcPr>
            <w:cnfStyle w:val="001000000000" w:firstRow="0" w:lastRow="0" w:firstColumn="1" w:lastColumn="0" w:oddVBand="0" w:evenVBand="0" w:oddHBand="0" w:evenHBand="0" w:firstRowFirstColumn="0" w:firstRowLastColumn="0" w:lastRowFirstColumn="0" w:lastRowLastColumn="0"/>
            <w:tcW w:w="2396" w:type="dxa"/>
            <w:tcBorders>
              <w:left w:val="single" w:sz="12" w:space="0" w:color="auto"/>
              <w:right w:val="single" w:sz="12" w:space="0" w:color="auto"/>
            </w:tcBorders>
            <w:vAlign w:val="center"/>
          </w:tcPr>
          <w:p w14:paraId="512D1AC6" w14:textId="77777777" w:rsidR="00C86F1F" w:rsidRPr="00DF1D9D" w:rsidRDefault="00C86F1F" w:rsidP="007B5326">
            <w:pPr>
              <w:spacing w:line="240" w:lineRule="auto"/>
              <w:jc w:val="center"/>
              <w:rPr>
                <w:rFonts w:eastAsia="等线"/>
                <w:i w:val="0"/>
                <w:iCs w:val="0"/>
                <w:sz w:val="18"/>
                <w:szCs w:val="18"/>
              </w:rPr>
            </w:pPr>
            <w:r w:rsidRPr="00DF1D9D">
              <w:rPr>
                <w:i w:val="0"/>
                <w:iCs w:val="0"/>
                <w:sz w:val="18"/>
                <w:szCs w:val="18"/>
              </w:rPr>
              <w:t>Andaman</w:t>
            </w:r>
            <w:r>
              <w:rPr>
                <w:i w:val="0"/>
                <w:iCs w:val="0"/>
                <w:sz w:val="18"/>
                <w:szCs w:val="18"/>
              </w:rPr>
              <w:t xml:space="preserve"> Arc</w:t>
            </w:r>
          </w:p>
        </w:tc>
        <w:tc>
          <w:tcPr>
            <w:tcW w:w="1275" w:type="dxa"/>
            <w:tcBorders>
              <w:left w:val="single" w:sz="12" w:space="0" w:color="auto"/>
              <w:right w:val="single" w:sz="12" w:space="0" w:color="auto"/>
            </w:tcBorders>
            <w:vAlign w:val="center"/>
          </w:tcPr>
          <w:p w14:paraId="4A690E79" w14:textId="77777777" w:rsidR="00C86F1F" w:rsidRPr="00DF1D9D" w:rsidRDefault="00C86F1F" w:rsidP="007B5326">
            <w:pPr>
              <w:spacing w:line="240" w:lineRule="auto"/>
              <w:jc w:val="center"/>
              <w:cnfStyle w:val="000000100000" w:firstRow="0" w:lastRow="0" w:firstColumn="0" w:lastColumn="0" w:oddVBand="0" w:evenVBand="0" w:oddHBand="1" w:evenHBand="0" w:firstRowFirstColumn="0" w:firstRowLastColumn="0" w:lastRowFirstColumn="0" w:lastRowLastColumn="0"/>
              <w:rPr>
                <w:sz w:val="18"/>
                <w:szCs w:val="18"/>
              </w:rPr>
            </w:pPr>
            <w:r>
              <w:rPr>
                <w:rFonts w:hint="eastAsia"/>
                <w:sz w:val="18"/>
                <w:szCs w:val="18"/>
              </w:rPr>
              <w:t>A</w:t>
            </w:r>
            <w:r>
              <w:rPr>
                <w:sz w:val="18"/>
                <w:szCs w:val="18"/>
              </w:rPr>
              <w:t>T</w:t>
            </w:r>
          </w:p>
        </w:tc>
        <w:tc>
          <w:tcPr>
            <w:tcW w:w="1134" w:type="dxa"/>
            <w:tcBorders>
              <w:left w:val="single" w:sz="12" w:space="0" w:color="auto"/>
            </w:tcBorders>
            <w:vAlign w:val="center"/>
          </w:tcPr>
          <w:p w14:paraId="3B5D0B0E" w14:textId="77777777" w:rsidR="00C86F1F" w:rsidRPr="00DF1D9D" w:rsidRDefault="00C86F1F" w:rsidP="007B5326">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等线"/>
                <w:sz w:val="18"/>
                <w:szCs w:val="18"/>
              </w:rPr>
            </w:pPr>
            <w:r w:rsidRPr="00DF1D9D">
              <w:rPr>
                <w:sz w:val="18"/>
                <w:szCs w:val="18"/>
              </w:rPr>
              <w:t>91.3</w:t>
            </w:r>
          </w:p>
        </w:tc>
        <w:tc>
          <w:tcPr>
            <w:tcW w:w="993" w:type="dxa"/>
            <w:vAlign w:val="center"/>
          </w:tcPr>
          <w:p w14:paraId="7B7DDC6B" w14:textId="77777777" w:rsidR="00C86F1F" w:rsidRPr="00DF1D9D" w:rsidRDefault="00C86F1F" w:rsidP="007B5326">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等线"/>
                <w:sz w:val="18"/>
                <w:szCs w:val="18"/>
              </w:rPr>
            </w:pPr>
            <w:r w:rsidRPr="00DF1D9D">
              <w:rPr>
                <w:sz w:val="18"/>
                <w:szCs w:val="18"/>
              </w:rPr>
              <w:t>9.8</w:t>
            </w:r>
          </w:p>
        </w:tc>
        <w:tc>
          <w:tcPr>
            <w:tcW w:w="1701" w:type="dxa"/>
            <w:vAlign w:val="center"/>
          </w:tcPr>
          <w:p w14:paraId="267DE7E3" w14:textId="77777777" w:rsidR="00C86F1F" w:rsidRPr="00DF1D9D" w:rsidRDefault="00C86F1F" w:rsidP="007B5326">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等线"/>
                <w:sz w:val="18"/>
                <w:szCs w:val="18"/>
              </w:rPr>
            </w:pPr>
            <w:r w:rsidRPr="00DF1D9D">
              <w:rPr>
                <w:sz w:val="18"/>
                <w:szCs w:val="18"/>
              </w:rPr>
              <w:t>Internal</w:t>
            </w:r>
          </w:p>
        </w:tc>
        <w:tc>
          <w:tcPr>
            <w:tcW w:w="1134" w:type="dxa"/>
            <w:tcBorders>
              <w:right w:val="single" w:sz="12" w:space="0" w:color="auto"/>
            </w:tcBorders>
            <w:vAlign w:val="center"/>
          </w:tcPr>
          <w:p w14:paraId="4735C269" w14:textId="144EA812" w:rsidR="00C86F1F" w:rsidRPr="00C86F1F" w:rsidRDefault="00C86F1F" w:rsidP="007B5326">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等线"/>
                <w:sz w:val="18"/>
                <w:szCs w:val="18"/>
                <w:vertAlign w:val="superscript"/>
              </w:rPr>
            </w:pPr>
            <w:r w:rsidRPr="00C86F1F">
              <w:rPr>
                <w:rFonts w:eastAsia="等线"/>
                <w:sz w:val="18"/>
                <w:szCs w:val="18"/>
                <w:vertAlign w:val="superscript"/>
              </w:rPr>
              <w:fldChar w:fldCharType="begin"/>
            </w:r>
            <w:r w:rsidR="005438C1">
              <w:rPr>
                <w:rFonts w:eastAsia="等线"/>
                <w:sz w:val="18"/>
                <w:szCs w:val="18"/>
                <w:vertAlign w:val="superscript"/>
              </w:rPr>
              <w:instrText xml:space="preserve"> ADDIN ZOTERO_ITEM CSL_CITATION {"citationID":"sGmoaJZm","properties":{"formattedCitation":"\\super 1\\nosupersub{}","plainCitation":"1","noteIndex":0},"citationItems":[{"id":2026,"uris":["http://zotero.org/users/4242308/items/QUFWJ89J"],"itemData":{"id":2026,"type":"article-journal","abstract":"Segmentation of a subduction zone through tearing is envisaged as an inevitable consequence of the differential rate of slab rollback along the strike of convergent plate boundaries. It is a key feature that controls plate tectonics and seismogenesis in a subduction setting. Globally, lithospheric tears are mostly recognized by seismic tomography and seismicity trends. However, such an intriguing feature has never been imaged with high resolution. Here we present seismological evidence for tearing of the Indian oceanic plate at shallow depths along the Andaman arc. Our image of the subducted plate using the shear-wave receiver function technique reveals three distinct plate segments. The middle lithospheric chunk has an abrupt offset of 20 km relative to the northern and southern segments along the entire stretch of Andaman-Nicobar Islands. We interpret that this abrupt offset in the base of the lithosphere is caused by the tearing of the subducted oceanic plate. For the plate age of 80 to 60 Myr, the lithospheric thickness varies from 40 to 70 km.","container-title":"Geophysical Research Letters","DOI":"10.1002/2016GL068590","ISSN":"1944-8007","issue":"10","language":"en","note":"_eprint: https://agupubs.onlinelibrary.wiley.com/doi/pdf/10.1002/2016GL068590","page":"4899-4904","source":"Wiley Online Library","title":"Seismic evidence for tearing in the subducting Indian slab beneath the Andaman arc","volume":"43","author":[{"family":"Kumar","given":"Prakash"},{"family":"Srijayanthi","given":"G."},{"family":"Kumar","given":"M. Ravi"}],"issued":{"date-parts":[["2016"]]}}}],"schema":"https://github.com/citation-style-language/schema/raw/master/csl-citation.json"} </w:instrText>
            </w:r>
            <w:r w:rsidRPr="00C86F1F">
              <w:rPr>
                <w:rFonts w:eastAsia="等线"/>
                <w:sz w:val="18"/>
                <w:szCs w:val="18"/>
                <w:vertAlign w:val="superscript"/>
              </w:rPr>
              <w:fldChar w:fldCharType="separate"/>
            </w:r>
            <w:r w:rsidR="005438C1" w:rsidRPr="005438C1">
              <w:rPr>
                <w:kern w:val="0"/>
                <w:sz w:val="18"/>
                <w:vertAlign w:val="superscript"/>
              </w:rPr>
              <w:t>1</w:t>
            </w:r>
            <w:r w:rsidRPr="00C86F1F">
              <w:rPr>
                <w:rFonts w:eastAsia="等线"/>
                <w:sz w:val="18"/>
                <w:szCs w:val="18"/>
                <w:vertAlign w:val="superscript"/>
              </w:rPr>
              <w:fldChar w:fldCharType="end"/>
            </w:r>
          </w:p>
        </w:tc>
      </w:tr>
      <w:tr w:rsidR="00C86F1F" w:rsidRPr="00DF1D9D" w14:paraId="3BCE37C3" w14:textId="77777777" w:rsidTr="009D1B0F">
        <w:trPr>
          <w:trHeight w:val="454"/>
        </w:trPr>
        <w:tc>
          <w:tcPr>
            <w:cnfStyle w:val="001000000000" w:firstRow="0" w:lastRow="0" w:firstColumn="1" w:lastColumn="0" w:oddVBand="0" w:evenVBand="0" w:oddHBand="0" w:evenHBand="0" w:firstRowFirstColumn="0" w:firstRowLastColumn="0" w:lastRowFirstColumn="0" w:lastRowLastColumn="0"/>
            <w:tcW w:w="2396" w:type="dxa"/>
            <w:tcBorders>
              <w:left w:val="single" w:sz="12" w:space="0" w:color="auto"/>
              <w:right w:val="single" w:sz="12" w:space="0" w:color="auto"/>
            </w:tcBorders>
            <w:vAlign w:val="center"/>
          </w:tcPr>
          <w:p w14:paraId="67648E3B" w14:textId="77777777" w:rsidR="00C86F1F" w:rsidRPr="00DF1D9D" w:rsidRDefault="00C86F1F" w:rsidP="007B5326">
            <w:pPr>
              <w:spacing w:line="240" w:lineRule="auto"/>
              <w:jc w:val="center"/>
              <w:rPr>
                <w:rFonts w:eastAsia="等线"/>
                <w:i w:val="0"/>
                <w:iCs w:val="0"/>
                <w:sz w:val="18"/>
                <w:szCs w:val="18"/>
              </w:rPr>
            </w:pPr>
            <w:r w:rsidRPr="00DF1D9D">
              <w:rPr>
                <w:i w:val="0"/>
                <w:iCs w:val="0"/>
                <w:sz w:val="18"/>
                <w:szCs w:val="18"/>
              </w:rPr>
              <w:t>Carnegie Ridge</w:t>
            </w:r>
          </w:p>
        </w:tc>
        <w:tc>
          <w:tcPr>
            <w:tcW w:w="1275" w:type="dxa"/>
            <w:tcBorders>
              <w:left w:val="single" w:sz="12" w:space="0" w:color="auto"/>
              <w:right w:val="single" w:sz="12" w:space="0" w:color="auto"/>
            </w:tcBorders>
            <w:vAlign w:val="center"/>
          </w:tcPr>
          <w:p w14:paraId="17B1622D" w14:textId="77777777" w:rsidR="00C86F1F" w:rsidRPr="00DF1D9D" w:rsidRDefault="00C86F1F" w:rsidP="007B5326">
            <w:pPr>
              <w:spacing w:line="240" w:lineRule="auto"/>
              <w:jc w:val="center"/>
              <w:cnfStyle w:val="000000000000" w:firstRow="0" w:lastRow="0" w:firstColumn="0" w:lastColumn="0" w:oddVBand="0" w:evenVBand="0" w:oddHBand="0" w:evenHBand="0" w:firstRowFirstColumn="0" w:firstRowLastColumn="0" w:lastRowFirstColumn="0" w:lastRowLastColumn="0"/>
              <w:rPr>
                <w:sz w:val="18"/>
                <w:szCs w:val="18"/>
              </w:rPr>
            </w:pPr>
            <w:r>
              <w:rPr>
                <w:sz w:val="18"/>
                <w:szCs w:val="18"/>
              </w:rPr>
              <w:t>CR</w:t>
            </w:r>
          </w:p>
        </w:tc>
        <w:tc>
          <w:tcPr>
            <w:tcW w:w="1134" w:type="dxa"/>
            <w:tcBorders>
              <w:left w:val="single" w:sz="12" w:space="0" w:color="auto"/>
            </w:tcBorders>
            <w:vAlign w:val="center"/>
          </w:tcPr>
          <w:p w14:paraId="0B100BAD" w14:textId="77777777" w:rsidR="00C86F1F" w:rsidRPr="00DF1D9D" w:rsidRDefault="00C86F1F" w:rsidP="007B5326">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等线"/>
                <w:sz w:val="18"/>
                <w:szCs w:val="18"/>
              </w:rPr>
            </w:pPr>
            <w:r w:rsidRPr="00DF1D9D">
              <w:rPr>
                <w:sz w:val="18"/>
                <w:szCs w:val="18"/>
              </w:rPr>
              <w:t>-81.57</w:t>
            </w:r>
          </w:p>
        </w:tc>
        <w:tc>
          <w:tcPr>
            <w:tcW w:w="993" w:type="dxa"/>
            <w:vAlign w:val="center"/>
          </w:tcPr>
          <w:p w14:paraId="019CAF96" w14:textId="77777777" w:rsidR="00C86F1F" w:rsidRPr="00DF1D9D" w:rsidRDefault="00C86F1F" w:rsidP="007B5326">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等线"/>
                <w:sz w:val="18"/>
                <w:szCs w:val="18"/>
              </w:rPr>
            </w:pPr>
            <w:r w:rsidRPr="00DF1D9D">
              <w:rPr>
                <w:sz w:val="18"/>
                <w:szCs w:val="18"/>
              </w:rPr>
              <w:t>-1.85</w:t>
            </w:r>
          </w:p>
        </w:tc>
        <w:tc>
          <w:tcPr>
            <w:tcW w:w="1701" w:type="dxa"/>
            <w:vAlign w:val="center"/>
          </w:tcPr>
          <w:p w14:paraId="7308C8C2" w14:textId="77777777" w:rsidR="00C86F1F" w:rsidRPr="00DF1D9D" w:rsidRDefault="00C86F1F" w:rsidP="007B5326">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等线"/>
                <w:sz w:val="18"/>
                <w:szCs w:val="18"/>
              </w:rPr>
            </w:pPr>
            <w:r w:rsidRPr="00DF1D9D">
              <w:rPr>
                <w:sz w:val="18"/>
                <w:szCs w:val="18"/>
              </w:rPr>
              <w:t>Internal</w:t>
            </w:r>
          </w:p>
        </w:tc>
        <w:tc>
          <w:tcPr>
            <w:tcW w:w="1134" w:type="dxa"/>
            <w:tcBorders>
              <w:right w:val="single" w:sz="12" w:space="0" w:color="auto"/>
            </w:tcBorders>
            <w:vAlign w:val="center"/>
          </w:tcPr>
          <w:p w14:paraId="330AAE51" w14:textId="45DDF3A4" w:rsidR="00C86F1F" w:rsidRPr="00C86F1F" w:rsidRDefault="00C86F1F" w:rsidP="007B5326">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等线"/>
                <w:sz w:val="18"/>
                <w:szCs w:val="18"/>
                <w:vertAlign w:val="superscript"/>
              </w:rPr>
            </w:pPr>
            <w:r w:rsidRPr="00C86F1F">
              <w:rPr>
                <w:rFonts w:eastAsia="等线"/>
                <w:sz w:val="18"/>
                <w:szCs w:val="18"/>
                <w:vertAlign w:val="superscript"/>
              </w:rPr>
              <w:fldChar w:fldCharType="begin"/>
            </w:r>
            <w:r w:rsidR="005438C1">
              <w:rPr>
                <w:rFonts w:eastAsia="等线"/>
                <w:sz w:val="18"/>
                <w:szCs w:val="18"/>
                <w:vertAlign w:val="superscript"/>
              </w:rPr>
              <w:instrText xml:space="preserve"> ADDIN ZOTERO_ITEM CSL_CITATION {"citationID":"g7srVgm6","properties":{"formattedCitation":"\\super 2\\nosupersub{}","plainCitation":"2","noteIndex":0},"citationItems":[{"id":1691,"uris":["http://zotero.org/users/4242308/items/NV3HKGG7"],"itemData":{"id":</w:instrText>
            </w:r>
            <w:r w:rsidR="005438C1">
              <w:rPr>
                <w:rFonts w:eastAsia="等线" w:hint="eastAsia"/>
                <w:sz w:val="18"/>
                <w:szCs w:val="18"/>
                <w:vertAlign w:val="superscript"/>
              </w:rPr>
              <w:instrText>1691,"type":"article-journal","abstract":"The North Andean convergent margin is a region of intense crustal deformation, with six great subduction earthquakes Mw</w:instrText>
            </w:r>
            <w:r w:rsidR="005438C1">
              <w:rPr>
                <w:rFonts w:eastAsia="等线" w:hint="eastAsia"/>
                <w:sz w:val="18"/>
                <w:szCs w:val="18"/>
                <w:vertAlign w:val="superscript"/>
              </w:rPr>
              <w:instrText>≥</w:instrText>
            </w:r>
            <w:r w:rsidR="005438C1">
              <w:rPr>
                <w:rFonts w:eastAsia="等线" w:hint="eastAsia"/>
                <w:sz w:val="18"/>
                <w:szCs w:val="18"/>
                <w:vertAlign w:val="superscript"/>
              </w:rPr>
              <w:instrText>7.8 this century. The regional pattern of seismicity and volcanism shows a high degree of seg</w:instrText>
            </w:r>
            <w:r w:rsidR="005438C1">
              <w:rPr>
                <w:rFonts w:eastAsia="等线"/>
                <w:sz w:val="18"/>
                <w:szCs w:val="18"/>
                <w:vertAlign w:val="superscript"/>
              </w:rPr>
              <w:instrText xml:space="preserve">mentation along strike of the Andes. Segments of steep slab subduction alternate with aseismic regions and segments of flat slab subduction. This segmentation is related to heterogeneity on the subducting Nazca Plate. In particular, the influence of the Carnegie Ridge collision is investigated. Four distinct seismotectonic regions can be distinguished: Region 1 – from 6°N to 2.5°N with steep ESE-dipping subduction and a narrow volcanic arc; Region 2 – from 2.5°N to 1°S showing an intermediate-depth seismic gap and a broad volcanic arc; Region 3 – from 1°S to 2°S with steep NE-dipping subduction, and a narrow volcanic arc; Region 4 – south of 2°S with flat subduction and no modern volcanic arc. The Carnegie Ridge has been colliding with the margin since at least 2 Ma based on examination of the basement uplift signal along trench-parallel transects. The subducted prolongation of Carnegie Ridge may extend up to 500 km from the trench as suggested by the seismic gap and the perturbed, broad volcanic arc. These findings conflict with previous tectonic models suggesting that the Carnegie Ridge entered the trench at 1 Ma. Furthermore, the anomalous geochemical (adakitic) signature of the volcanoes in the broad Ecuador volcanic arc and the seismicity pattern are proposed to be caused by lithospheric tears separating the buoyant, shallowly subducting Carnegie Ridge from segments of steep subduction in Regions 1 and 3. It is further suggested that Carnegie Ridge supports a local `flat slab' segment similar to that observed in Peru. The impact of the Carnegie Ridge collision on the upper plate causes transpressional deformation, extending inboard to beyond the volcanic arc with a modern level of seismicity comparable to the San Andreas fault system. The pattern of instrumental and historical seismicity indicates (1) great earthquakes on the northern and southern flanks of the colliding ridge, (2) a slight reduction in observed seismicity at the trench–ridge intersection, (3) increased stress far into the continent, and (4) a NNE displacement of the N. Andes block, to be further effects of the collision.","container-title":"Earth and Planetary Science Letters","DOI":"10.1016/S0012-821X(99)00060-6","ISSN":"0012-821X","issue":"3","journalAbbreviation":"Earth and Planetary Science Letters","language":"en","page":"255-270","source":"ScienceDirect","title":"Tectonic segmentation of the North Andean margin: impact of the Carnegie Ridge collision","title-short":"Tectonic segmentation of the North Andean margin","volume":"168","author":[{"family":"Gutscher","given":"M. -A"},{"family":"Malavieille","given":"J"},{"family":"Lallemand","given":"S"},{"family":"Collot","given":"J. -Y"}],"issued":{"date-parts":[["1999",5,15]]}}}],"schema":"https://github.com/citation-style-language/schema/raw/master/csl-citation.json"} </w:instrText>
            </w:r>
            <w:r w:rsidRPr="00C86F1F">
              <w:rPr>
                <w:rFonts w:eastAsia="等线"/>
                <w:sz w:val="18"/>
                <w:szCs w:val="18"/>
                <w:vertAlign w:val="superscript"/>
              </w:rPr>
              <w:fldChar w:fldCharType="separate"/>
            </w:r>
            <w:r w:rsidR="005438C1" w:rsidRPr="005438C1">
              <w:rPr>
                <w:kern w:val="0"/>
                <w:sz w:val="18"/>
                <w:vertAlign w:val="superscript"/>
              </w:rPr>
              <w:t>2</w:t>
            </w:r>
            <w:r w:rsidRPr="00C86F1F">
              <w:rPr>
                <w:rFonts w:eastAsia="等线"/>
                <w:sz w:val="18"/>
                <w:szCs w:val="18"/>
                <w:vertAlign w:val="superscript"/>
              </w:rPr>
              <w:fldChar w:fldCharType="end"/>
            </w:r>
          </w:p>
        </w:tc>
      </w:tr>
      <w:tr w:rsidR="00C86F1F" w:rsidRPr="00DF1D9D" w14:paraId="0B460CF2" w14:textId="77777777" w:rsidTr="009D1B0F">
        <w:trPr>
          <w:cnfStyle w:val="000000100000" w:firstRow="0" w:lastRow="0" w:firstColumn="0" w:lastColumn="0" w:oddVBand="0" w:evenVBand="0" w:oddHBand="1" w:evenHBand="0" w:firstRowFirstColumn="0" w:firstRowLastColumn="0" w:lastRowFirstColumn="0" w:lastRowLastColumn="0"/>
          <w:trHeight w:val="454"/>
        </w:trPr>
        <w:tc>
          <w:tcPr>
            <w:cnfStyle w:val="001000000000" w:firstRow="0" w:lastRow="0" w:firstColumn="1" w:lastColumn="0" w:oddVBand="0" w:evenVBand="0" w:oddHBand="0" w:evenHBand="0" w:firstRowFirstColumn="0" w:firstRowLastColumn="0" w:lastRowFirstColumn="0" w:lastRowLastColumn="0"/>
            <w:tcW w:w="2396" w:type="dxa"/>
            <w:tcBorders>
              <w:left w:val="single" w:sz="12" w:space="0" w:color="auto"/>
              <w:right w:val="single" w:sz="12" w:space="0" w:color="auto"/>
            </w:tcBorders>
            <w:vAlign w:val="center"/>
          </w:tcPr>
          <w:p w14:paraId="713E019D" w14:textId="77777777" w:rsidR="00C86F1F" w:rsidRPr="003C505D" w:rsidRDefault="00C86F1F" w:rsidP="007B5326">
            <w:pPr>
              <w:spacing w:line="240" w:lineRule="auto"/>
              <w:jc w:val="center"/>
              <w:rPr>
                <w:rFonts w:eastAsia="等线"/>
                <w:i w:val="0"/>
                <w:iCs w:val="0"/>
                <w:sz w:val="18"/>
                <w:szCs w:val="18"/>
              </w:rPr>
            </w:pPr>
            <w:r w:rsidRPr="003C505D">
              <w:rPr>
                <w:i w:val="0"/>
                <w:iCs w:val="0"/>
                <w:sz w:val="18"/>
                <w:szCs w:val="18"/>
              </w:rPr>
              <w:t>Central-Eastern Hindu-Kush Orogen</w:t>
            </w:r>
          </w:p>
        </w:tc>
        <w:tc>
          <w:tcPr>
            <w:tcW w:w="1275" w:type="dxa"/>
            <w:tcBorders>
              <w:left w:val="single" w:sz="12" w:space="0" w:color="auto"/>
              <w:right w:val="single" w:sz="12" w:space="0" w:color="auto"/>
            </w:tcBorders>
            <w:vAlign w:val="center"/>
          </w:tcPr>
          <w:p w14:paraId="72D0D2B4" w14:textId="77777777" w:rsidR="00C86F1F" w:rsidRPr="00DF1D9D" w:rsidRDefault="00C86F1F" w:rsidP="007B5326">
            <w:pPr>
              <w:spacing w:line="240" w:lineRule="auto"/>
              <w:jc w:val="center"/>
              <w:cnfStyle w:val="000000100000" w:firstRow="0" w:lastRow="0" w:firstColumn="0" w:lastColumn="0" w:oddVBand="0" w:evenVBand="0" w:oddHBand="1" w:evenHBand="0" w:firstRowFirstColumn="0" w:firstRowLastColumn="0" w:lastRowFirstColumn="0" w:lastRowLastColumn="0"/>
              <w:rPr>
                <w:sz w:val="18"/>
                <w:szCs w:val="18"/>
              </w:rPr>
            </w:pPr>
            <w:r>
              <w:rPr>
                <w:rFonts w:hint="eastAsia"/>
                <w:sz w:val="18"/>
                <w:szCs w:val="18"/>
              </w:rPr>
              <w:t>C</w:t>
            </w:r>
            <w:r>
              <w:rPr>
                <w:sz w:val="18"/>
                <w:szCs w:val="18"/>
              </w:rPr>
              <w:t>EHKO</w:t>
            </w:r>
          </w:p>
        </w:tc>
        <w:tc>
          <w:tcPr>
            <w:tcW w:w="1134" w:type="dxa"/>
            <w:tcBorders>
              <w:left w:val="single" w:sz="12" w:space="0" w:color="auto"/>
            </w:tcBorders>
            <w:vAlign w:val="center"/>
          </w:tcPr>
          <w:p w14:paraId="5030282B" w14:textId="77777777" w:rsidR="00C86F1F" w:rsidRPr="00DF1D9D" w:rsidRDefault="00C86F1F" w:rsidP="007B5326">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等线"/>
                <w:sz w:val="18"/>
                <w:szCs w:val="18"/>
              </w:rPr>
            </w:pPr>
            <w:r w:rsidRPr="00DF1D9D">
              <w:rPr>
                <w:sz w:val="18"/>
                <w:szCs w:val="18"/>
              </w:rPr>
              <w:t>71.39</w:t>
            </w:r>
          </w:p>
        </w:tc>
        <w:tc>
          <w:tcPr>
            <w:tcW w:w="993" w:type="dxa"/>
            <w:vAlign w:val="center"/>
          </w:tcPr>
          <w:p w14:paraId="6281DF4C" w14:textId="77777777" w:rsidR="00C86F1F" w:rsidRPr="00DF1D9D" w:rsidRDefault="00C86F1F" w:rsidP="007B5326">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等线"/>
                <w:sz w:val="18"/>
                <w:szCs w:val="18"/>
              </w:rPr>
            </w:pPr>
            <w:r w:rsidRPr="00DF1D9D">
              <w:rPr>
                <w:sz w:val="18"/>
                <w:szCs w:val="18"/>
              </w:rPr>
              <w:t>36.25</w:t>
            </w:r>
          </w:p>
        </w:tc>
        <w:tc>
          <w:tcPr>
            <w:tcW w:w="1701" w:type="dxa"/>
            <w:vAlign w:val="center"/>
          </w:tcPr>
          <w:p w14:paraId="2B60531B" w14:textId="77777777" w:rsidR="00C86F1F" w:rsidRPr="00DF1D9D" w:rsidRDefault="00C86F1F" w:rsidP="007B5326">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等线"/>
                <w:sz w:val="18"/>
                <w:szCs w:val="18"/>
              </w:rPr>
            </w:pPr>
            <w:r w:rsidRPr="00DF1D9D">
              <w:rPr>
                <w:sz w:val="18"/>
                <w:szCs w:val="18"/>
              </w:rPr>
              <w:t>Edge</w:t>
            </w:r>
          </w:p>
        </w:tc>
        <w:tc>
          <w:tcPr>
            <w:tcW w:w="1134" w:type="dxa"/>
            <w:tcBorders>
              <w:right w:val="single" w:sz="12" w:space="0" w:color="auto"/>
            </w:tcBorders>
            <w:vAlign w:val="center"/>
          </w:tcPr>
          <w:p w14:paraId="29610D40" w14:textId="3A1E6ACF" w:rsidR="00C86F1F" w:rsidRPr="00C86F1F" w:rsidRDefault="00C86F1F" w:rsidP="007B5326">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等线"/>
                <w:sz w:val="18"/>
                <w:szCs w:val="18"/>
                <w:vertAlign w:val="superscript"/>
              </w:rPr>
            </w:pPr>
            <w:r w:rsidRPr="00C86F1F">
              <w:rPr>
                <w:rFonts w:eastAsia="等线"/>
                <w:sz w:val="18"/>
                <w:szCs w:val="18"/>
                <w:vertAlign w:val="superscript"/>
              </w:rPr>
              <w:fldChar w:fldCharType="begin"/>
            </w:r>
            <w:r w:rsidR="005438C1">
              <w:rPr>
                <w:rFonts w:eastAsia="等线"/>
                <w:sz w:val="18"/>
                <w:szCs w:val="18"/>
                <w:vertAlign w:val="superscript"/>
              </w:rPr>
              <w:instrText xml:space="preserve"> ADDIN ZOTERO_ITEM CSL_CITATION {"citationID":"m7ZoqNSV","properties":{"formattedCitation":"\\super 3\\nosupersub{}","plainCitation":"3","noteIndex":0},"citationItems":[{"id":28,"uris":["http://zotero.org/users/4242308/items/CHLCWMAP"],"itemData":{"id":28,"type":"article-journal","container-title":"Journal of Geophysical Research: Solid Earth","DOI":"10.1002/jgrb.50128","ISSN":"21699313","issue":"4","language":"en","page":"1438-1457","source":"CrossRef","title":"Geometry of the Pamir-Hindu Kush intermediate-depth earthquake zone from local seismic data: EARTHQUAKE DISTRIBUTION PAMIR-HINDU KUSH","title-short":"Geometry of the Pamir-Hindu Kush intermediate-depth earthquake zone from local seismic data","volume":"118","author":[{"family":"Sippl","given":"C."},{"family":"Schurr","given":"B."},{"family":"Yuan","given":"X."},{"family":"Mechie","given":"J."},{"family":"Schneider","given":"F. M."},{"family":"Gadoev","given":"M."},{"family":"Orunbaev","given":"S."},{"family":"Oimahmadov","given":"I."},{"family":"Haberland","given":"C."},{"family":"Abdybachaev","given":"U."},{"family":"Minaev","given":"V."},{"family":"Negmatullaev","given":"S."},{"family":"Radjabov","given":"N."}],"issued":{"date-parts":[["2013",4]]}}}],"schema":"https://github.com/citation-style-language/schema/raw/master/csl-citation.json"} </w:instrText>
            </w:r>
            <w:r w:rsidRPr="00C86F1F">
              <w:rPr>
                <w:rFonts w:eastAsia="等线"/>
                <w:sz w:val="18"/>
                <w:szCs w:val="18"/>
                <w:vertAlign w:val="superscript"/>
              </w:rPr>
              <w:fldChar w:fldCharType="separate"/>
            </w:r>
            <w:r w:rsidR="005438C1" w:rsidRPr="005438C1">
              <w:rPr>
                <w:kern w:val="0"/>
                <w:sz w:val="18"/>
                <w:vertAlign w:val="superscript"/>
              </w:rPr>
              <w:t>3</w:t>
            </w:r>
            <w:r w:rsidRPr="00C86F1F">
              <w:rPr>
                <w:rFonts w:eastAsia="等线"/>
                <w:sz w:val="18"/>
                <w:szCs w:val="18"/>
                <w:vertAlign w:val="superscript"/>
              </w:rPr>
              <w:fldChar w:fldCharType="end"/>
            </w:r>
          </w:p>
        </w:tc>
      </w:tr>
      <w:tr w:rsidR="00C86F1F" w:rsidRPr="00DF1D9D" w14:paraId="195FD714" w14:textId="77777777" w:rsidTr="009D1B0F">
        <w:trPr>
          <w:trHeight w:val="454"/>
        </w:trPr>
        <w:tc>
          <w:tcPr>
            <w:cnfStyle w:val="001000000000" w:firstRow="0" w:lastRow="0" w:firstColumn="1" w:lastColumn="0" w:oddVBand="0" w:evenVBand="0" w:oddHBand="0" w:evenHBand="0" w:firstRowFirstColumn="0" w:firstRowLastColumn="0" w:lastRowFirstColumn="0" w:lastRowLastColumn="0"/>
            <w:tcW w:w="2396" w:type="dxa"/>
            <w:tcBorders>
              <w:left w:val="single" w:sz="12" w:space="0" w:color="auto"/>
              <w:right w:val="single" w:sz="12" w:space="0" w:color="auto"/>
            </w:tcBorders>
            <w:vAlign w:val="center"/>
          </w:tcPr>
          <w:p w14:paraId="196B5856" w14:textId="77777777" w:rsidR="00C86F1F" w:rsidRPr="00DF1D9D" w:rsidRDefault="00C86F1F" w:rsidP="007B5326">
            <w:pPr>
              <w:spacing w:line="240" w:lineRule="auto"/>
              <w:jc w:val="center"/>
              <w:rPr>
                <w:rFonts w:eastAsia="等线"/>
                <w:i w:val="0"/>
                <w:iCs w:val="0"/>
                <w:sz w:val="18"/>
                <w:szCs w:val="18"/>
              </w:rPr>
            </w:pPr>
            <w:r w:rsidRPr="00DF1D9D">
              <w:rPr>
                <w:i w:val="0"/>
                <w:iCs w:val="0"/>
                <w:sz w:val="18"/>
                <w:szCs w:val="18"/>
              </w:rPr>
              <w:t>C</w:t>
            </w:r>
            <w:r>
              <w:rPr>
                <w:i w:val="0"/>
                <w:iCs w:val="0"/>
                <w:sz w:val="18"/>
                <w:szCs w:val="18"/>
              </w:rPr>
              <w:t>entral</w:t>
            </w:r>
            <w:r w:rsidRPr="00DF1D9D">
              <w:rPr>
                <w:i w:val="0"/>
                <w:iCs w:val="0"/>
                <w:sz w:val="18"/>
                <w:szCs w:val="18"/>
              </w:rPr>
              <w:t>-S</w:t>
            </w:r>
            <w:r>
              <w:rPr>
                <w:i w:val="0"/>
                <w:iCs w:val="0"/>
                <w:sz w:val="18"/>
                <w:szCs w:val="18"/>
              </w:rPr>
              <w:t>outhern</w:t>
            </w:r>
            <w:r w:rsidRPr="00DF1D9D">
              <w:rPr>
                <w:i w:val="0"/>
                <w:iCs w:val="0"/>
                <w:sz w:val="18"/>
                <w:szCs w:val="18"/>
              </w:rPr>
              <w:t xml:space="preserve"> Cocos</w:t>
            </w:r>
          </w:p>
        </w:tc>
        <w:tc>
          <w:tcPr>
            <w:tcW w:w="1275" w:type="dxa"/>
            <w:tcBorders>
              <w:left w:val="single" w:sz="12" w:space="0" w:color="auto"/>
              <w:right w:val="single" w:sz="12" w:space="0" w:color="auto"/>
            </w:tcBorders>
            <w:vAlign w:val="center"/>
          </w:tcPr>
          <w:p w14:paraId="4628AC77" w14:textId="77777777" w:rsidR="00C86F1F" w:rsidRPr="00DF1D9D" w:rsidRDefault="00C86F1F" w:rsidP="007B5326">
            <w:pPr>
              <w:spacing w:line="240" w:lineRule="auto"/>
              <w:jc w:val="center"/>
              <w:cnfStyle w:val="000000000000" w:firstRow="0" w:lastRow="0" w:firstColumn="0" w:lastColumn="0" w:oddVBand="0" w:evenVBand="0" w:oddHBand="0" w:evenHBand="0" w:firstRowFirstColumn="0" w:firstRowLastColumn="0" w:lastRowFirstColumn="0" w:lastRowLastColumn="0"/>
              <w:rPr>
                <w:sz w:val="18"/>
                <w:szCs w:val="18"/>
              </w:rPr>
            </w:pPr>
            <w:r>
              <w:rPr>
                <w:rFonts w:hint="eastAsia"/>
                <w:sz w:val="18"/>
                <w:szCs w:val="18"/>
              </w:rPr>
              <w:t>C</w:t>
            </w:r>
            <w:r>
              <w:rPr>
                <w:sz w:val="18"/>
                <w:szCs w:val="18"/>
              </w:rPr>
              <w:t>SC</w:t>
            </w:r>
          </w:p>
        </w:tc>
        <w:tc>
          <w:tcPr>
            <w:tcW w:w="1134" w:type="dxa"/>
            <w:tcBorders>
              <w:left w:val="single" w:sz="12" w:space="0" w:color="auto"/>
            </w:tcBorders>
            <w:vAlign w:val="center"/>
          </w:tcPr>
          <w:p w14:paraId="216D272D" w14:textId="77777777" w:rsidR="00C86F1F" w:rsidRPr="00DF1D9D" w:rsidRDefault="00C86F1F" w:rsidP="007B5326">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等线"/>
                <w:sz w:val="18"/>
                <w:szCs w:val="18"/>
              </w:rPr>
            </w:pPr>
            <w:r w:rsidRPr="00DF1D9D">
              <w:rPr>
                <w:sz w:val="18"/>
                <w:szCs w:val="18"/>
              </w:rPr>
              <w:t>-98.53</w:t>
            </w:r>
          </w:p>
        </w:tc>
        <w:tc>
          <w:tcPr>
            <w:tcW w:w="993" w:type="dxa"/>
            <w:vAlign w:val="center"/>
          </w:tcPr>
          <w:p w14:paraId="7384A9EF" w14:textId="77777777" w:rsidR="00C86F1F" w:rsidRPr="00DF1D9D" w:rsidRDefault="00C86F1F" w:rsidP="007B5326">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等线"/>
                <w:sz w:val="18"/>
                <w:szCs w:val="18"/>
              </w:rPr>
            </w:pPr>
            <w:r w:rsidRPr="00DF1D9D">
              <w:rPr>
                <w:sz w:val="18"/>
                <w:szCs w:val="18"/>
              </w:rPr>
              <w:t>15.61</w:t>
            </w:r>
          </w:p>
        </w:tc>
        <w:tc>
          <w:tcPr>
            <w:tcW w:w="1701" w:type="dxa"/>
            <w:vAlign w:val="center"/>
          </w:tcPr>
          <w:p w14:paraId="437825B1" w14:textId="77777777" w:rsidR="00C86F1F" w:rsidRPr="00DF1D9D" w:rsidRDefault="00C86F1F" w:rsidP="007B5326">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等线"/>
                <w:sz w:val="18"/>
                <w:szCs w:val="18"/>
              </w:rPr>
            </w:pPr>
            <w:r w:rsidRPr="00DF1D9D">
              <w:rPr>
                <w:sz w:val="18"/>
                <w:szCs w:val="18"/>
              </w:rPr>
              <w:t>Internal</w:t>
            </w:r>
          </w:p>
        </w:tc>
        <w:tc>
          <w:tcPr>
            <w:tcW w:w="1134" w:type="dxa"/>
            <w:tcBorders>
              <w:right w:val="single" w:sz="12" w:space="0" w:color="auto"/>
            </w:tcBorders>
            <w:vAlign w:val="center"/>
          </w:tcPr>
          <w:p w14:paraId="734AD87B" w14:textId="2F13C7C5" w:rsidR="00C86F1F" w:rsidRPr="00C86F1F" w:rsidRDefault="00C86F1F" w:rsidP="007B5326">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等线"/>
                <w:sz w:val="18"/>
                <w:szCs w:val="18"/>
                <w:vertAlign w:val="superscript"/>
              </w:rPr>
            </w:pPr>
            <w:r w:rsidRPr="00C86F1F">
              <w:rPr>
                <w:rFonts w:eastAsia="等线"/>
                <w:sz w:val="18"/>
                <w:szCs w:val="18"/>
                <w:vertAlign w:val="superscript"/>
              </w:rPr>
              <w:fldChar w:fldCharType="begin"/>
            </w:r>
            <w:r w:rsidR="005438C1">
              <w:rPr>
                <w:rFonts w:eastAsia="等线"/>
                <w:sz w:val="18"/>
                <w:szCs w:val="18"/>
                <w:vertAlign w:val="superscript"/>
              </w:rPr>
              <w:instrText xml:space="preserve"> ADDIN ZOTERO_ITEM CSL_CITATION {"citationID":"fhKkpGsP","properties":{"formattedCitation":"\\super 4\\nosupersub{}","plainCitation":"4","noteIndex":0},"citationItems":[{"id":2082,"uris":["http://zotero.org/users/4242308/items/V9XCBR8E"],"itemData":{"id":2082,"type":"article-journal","abstract":"AbstractThe morphology of the transition from flat to normal subduction in eastern central Mexico is explored using intraslab earthquakes recorded by temporary and permanent regional seismic arrays. Observations of a sharp transition in slab dip near the abrupt end of the Trans-Mexican Volcanic Belt (TMVB) suggest a possible slab tear located within the subducted South Cocos plate. The eastern lateral extent of a thin ultra-slow velocity layer (USL) imaged atop the Cocos slab in recent studies along the Meso America Subduction Experiment array is examined here using additional data. We find an end to this USL which is coincident with the western boundary of a zone of decreased seismicity and the end of the TMVB near the sharp transition in slab dip. Waveform modeling of the 2-D structure in this region using a finite difference algorithm provides constraints on the velocity and geometry of the slab's seismic structure and confirms the location of the USL. Analysis of intraslab seismicity patterns reveals clustering, sudden increase in depth, variable focal mechanism orientations and faulting types, and alignment of source mechanisms along the sharp transition in slab dip. The seismicity and structural evidence suggests a possible tear in the South Cocos slab. This potential tear, together with the tear along the Orozco Fracture Zone to the northwest, indicates a slab rollback mechanism in which separate slab segments move independently, allowing for mantle flow between the segments.","container-title":"Journal of Geophysical Research: Solid Earth","DOI":"10.1002/2013JB010883","ISSN":"2169-9356","issue":"4","language":"en","note":"_eprint: https://agupubs.onlinelibrary.wiley.com/doi/pdf/10.1002/2013JB010883","page":"3424-3447","source":"Wiley Online Library","title":"Seismicity and structure in central Mexico: Evidence for a possible slab tear in the South Cocos plate","title-short":"Seismicity and structure in central Mexico","volume":"119","author":[{"family":"Dougherty","given":"Sara L."},{"family":"Clayton","given":"Robert W."}],"issued":{"date-parts":[["2014"]]}}}],"schema":"https://github.com/citation-style-language/schema/raw/master/csl-citation.json"} </w:instrText>
            </w:r>
            <w:r w:rsidRPr="00C86F1F">
              <w:rPr>
                <w:rFonts w:eastAsia="等线"/>
                <w:sz w:val="18"/>
                <w:szCs w:val="18"/>
                <w:vertAlign w:val="superscript"/>
              </w:rPr>
              <w:fldChar w:fldCharType="separate"/>
            </w:r>
            <w:r w:rsidR="005438C1" w:rsidRPr="005438C1">
              <w:rPr>
                <w:kern w:val="0"/>
                <w:sz w:val="18"/>
                <w:vertAlign w:val="superscript"/>
              </w:rPr>
              <w:t>4</w:t>
            </w:r>
            <w:r w:rsidRPr="00C86F1F">
              <w:rPr>
                <w:rFonts w:eastAsia="等线"/>
                <w:sz w:val="18"/>
                <w:szCs w:val="18"/>
                <w:vertAlign w:val="superscript"/>
              </w:rPr>
              <w:fldChar w:fldCharType="end"/>
            </w:r>
          </w:p>
        </w:tc>
      </w:tr>
      <w:tr w:rsidR="00C86F1F" w:rsidRPr="00DF1D9D" w14:paraId="75A2A440" w14:textId="77777777" w:rsidTr="009D1B0F">
        <w:trPr>
          <w:cnfStyle w:val="000000100000" w:firstRow="0" w:lastRow="0" w:firstColumn="0" w:lastColumn="0" w:oddVBand="0" w:evenVBand="0" w:oddHBand="1" w:evenHBand="0" w:firstRowFirstColumn="0" w:firstRowLastColumn="0" w:lastRowFirstColumn="0" w:lastRowLastColumn="0"/>
          <w:trHeight w:val="454"/>
        </w:trPr>
        <w:tc>
          <w:tcPr>
            <w:cnfStyle w:val="001000000000" w:firstRow="0" w:lastRow="0" w:firstColumn="1" w:lastColumn="0" w:oddVBand="0" w:evenVBand="0" w:oddHBand="0" w:evenHBand="0" w:firstRowFirstColumn="0" w:firstRowLastColumn="0" w:lastRowFirstColumn="0" w:lastRowLastColumn="0"/>
            <w:tcW w:w="2396" w:type="dxa"/>
            <w:tcBorders>
              <w:left w:val="single" w:sz="12" w:space="0" w:color="auto"/>
              <w:right w:val="single" w:sz="12" w:space="0" w:color="auto"/>
            </w:tcBorders>
            <w:vAlign w:val="center"/>
          </w:tcPr>
          <w:p w14:paraId="0CCADF6E" w14:textId="77777777" w:rsidR="00C86F1F" w:rsidRPr="00DF1D9D" w:rsidRDefault="00C86F1F" w:rsidP="007B5326">
            <w:pPr>
              <w:spacing w:line="240" w:lineRule="auto"/>
              <w:jc w:val="center"/>
              <w:rPr>
                <w:rFonts w:eastAsia="等线"/>
                <w:i w:val="0"/>
                <w:iCs w:val="0"/>
                <w:sz w:val="18"/>
                <w:szCs w:val="18"/>
              </w:rPr>
            </w:pPr>
            <w:r w:rsidRPr="00DF1D9D">
              <w:rPr>
                <w:i w:val="0"/>
                <w:iCs w:val="0"/>
                <w:sz w:val="18"/>
                <w:szCs w:val="18"/>
              </w:rPr>
              <w:t>C</w:t>
            </w:r>
            <w:r>
              <w:rPr>
                <w:i w:val="0"/>
                <w:iCs w:val="0"/>
                <w:sz w:val="18"/>
                <w:szCs w:val="18"/>
              </w:rPr>
              <w:t>entral</w:t>
            </w:r>
            <w:r w:rsidRPr="00DF1D9D">
              <w:rPr>
                <w:i w:val="0"/>
                <w:iCs w:val="0"/>
                <w:sz w:val="18"/>
                <w:szCs w:val="18"/>
              </w:rPr>
              <w:t>-S</w:t>
            </w:r>
            <w:r>
              <w:rPr>
                <w:i w:val="0"/>
                <w:iCs w:val="0"/>
                <w:sz w:val="18"/>
                <w:szCs w:val="18"/>
              </w:rPr>
              <w:t>outhern</w:t>
            </w:r>
            <w:r w:rsidRPr="00DF1D9D">
              <w:rPr>
                <w:i w:val="0"/>
                <w:iCs w:val="0"/>
                <w:sz w:val="18"/>
                <w:szCs w:val="18"/>
              </w:rPr>
              <w:t xml:space="preserve"> Mariana</w:t>
            </w:r>
            <w:r>
              <w:rPr>
                <w:i w:val="0"/>
                <w:iCs w:val="0"/>
                <w:sz w:val="18"/>
                <w:szCs w:val="18"/>
              </w:rPr>
              <w:t xml:space="preserve"> Trench</w:t>
            </w:r>
          </w:p>
        </w:tc>
        <w:tc>
          <w:tcPr>
            <w:tcW w:w="1275" w:type="dxa"/>
            <w:tcBorders>
              <w:left w:val="single" w:sz="12" w:space="0" w:color="auto"/>
              <w:right w:val="single" w:sz="12" w:space="0" w:color="auto"/>
            </w:tcBorders>
            <w:vAlign w:val="center"/>
          </w:tcPr>
          <w:p w14:paraId="5DEA252C" w14:textId="77777777" w:rsidR="00C86F1F" w:rsidRPr="00DF1D9D" w:rsidRDefault="00C86F1F" w:rsidP="007B5326">
            <w:pPr>
              <w:spacing w:line="240" w:lineRule="auto"/>
              <w:jc w:val="center"/>
              <w:cnfStyle w:val="000000100000" w:firstRow="0" w:lastRow="0" w:firstColumn="0" w:lastColumn="0" w:oddVBand="0" w:evenVBand="0" w:oddHBand="1" w:evenHBand="0" w:firstRowFirstColumn="0" w:firstRowLastColumn="0" w:lastRowFirstColumn="0" w:lastRowLastColumn="0"/>
              <w:rPr>
                <w:sz w:val="18"/>
                <w:szCs w:val="18"/>
              </w:rPr>
            </w:pPr>
            <w:r>
              <w:rPr>
                <w:rFonts w:hint="eastAsia"/>
                <w:sz w:val="18"/>
                <w:szCs w:val="18"/>
              </w:rPr>
              <w:t>C</w:t>
            </w:r>
            <w:r>
              <w:rPr>
                <w:sz w:val="18"/>
                <w:szCs w:val="18"/>
              </w:rPr>
              <w:t>SMT</w:t>
            </w:r>
          </w:p>
        </w:tc>
        <w:tc>
          <w:tcPr>
            <w:tcW w:w="1134" w:type="dxa"/>
            <w:tcBorders>
              <w:left w:val="single" w:sz="12" w:space="0" w:color="auto"/>
            </w:tcBorders>
            <w:vAlign w:val="center"/>
          </w:tcPr>
          <w:p w14:paraId="7AA0FB3F" w14:textId="77777777" w:rsidR="00C86F1F" w:rsidRPr="00DF1D9D" w:rsidRDefault="00C86F1F" w:rsidP="007B5326">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等线"/>
                <w:sz w:val="18"/>
                <w:szCs w:val="18"/>
              </w:rPr>
            </w:pPr>
            <w:r w:rsidRPr="00DF1D9D">
              <w:rPr>
                <w:sz w:val="18"/>
                <w:szCs w:val="18"/>
              </w:rPr>
              <w:t>147.35</w:t>
            </w:r>
          </w:p>
        </w:tc>
        <w:tc>
          <w:tcPr>
            <w:tcW w:w="993" w:type="dxa"/>
            <w:vAlign w:val="center"/>
          </w:tcPr>
          <w:p w14:paraId="0CD3A02B" w14:textId="77777777" w:rsidR="00C86F1F" w:rsidRPr="00DF1D9D" w:rsidRDefault="00C86F1F" w:rsidP="007B5326">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等线"/>
                <w:sz w:val="18"/>
                <w:szCs w:val="18"/>
              </w:rPr>
            </w:pPr>
            <w:r w:rsidRPr="00DF1D9D">
              <w:rPr>
                <w:sz w:val="18"/>
                <w:szCs w:val="18"/>
              </w:rPr>
              <w:t>14.46</w:t>
            </w:r>
          </w:p>
        </w:tc>
        <w:tc>
          <w:tcPr>
            <w:tcW w:w="1701" w:type="dxa"/>
            <w:vAlign w:val="center"/>
          </w:tcPr>
          <w:p w14:paraId="2DB443E6" w14:textId="77777777" w:rsidR="00C86F1F" w:rsidRPr="00DF1D9D" w:rsidRDefault="00C86F1F" w:rsidP="007B5326">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等线"/>
                <w:sz w:val="18"/>
                <w:szCs w:val="18"/>
              </w:rPr>
            </w:pPr>
            <w:r w:rsidRPr="00DF1D9D">
              <w:rPr>
                <w:sz w:val="18"/>
                <w:szCs w:val="18"/>
              </w:rPr>
              <w:t>Internal</w:t>
            </w:r>
          </w:p>
        </w:tc>
        <w:tc>
          <w:tcPr>
            <w:tcW w:w="1134" w:type="dxa"/>
            <w:tcBorders>
              <w:right w:val="single" w:sz="12" w:space="0" w:color="auto"/>
            </w:tcBorders>
            <w:vAlign w:val="center"/>
          </w:tcPr>
          <w:p w14:paraId="779DA3D2" w14:textId="6AC9F73C" w:rsidR="00C86F1F" w:rsidRPr="00C86F1F" w:rsidRDefault="00C86F1F" w:rsidP="007B5326">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等线"/>
                <w:sz w:val="18"/>
                <w:szCs w:val="18"/>
                <w:vertAlign w:val="superscript"/>
              </w:rPr>
            </w:pPr>
            <w:r w:rsidRPr="00C86F1F">
              <w:rPr>
                <w:rFonts w:eastAsia="等线"/>
                <w:sz w:val="18"/>
                <w:szCs w:val="18"/>
                <w:vertAlign w:val="superscript"/>
              </w:rPr>
              <w:fldChar w:fldCharType="begin"/>
            </w:r>
            <w:r w:rsidR="005438C1">
              <w:rPr>
                <w:rFonts w:eastAsia="等线"/>
                <w:sz w:val="18"/>
                <w:szCs w:val="18"/>
                <w:vertAlign w:val="superscript"/>
              </w:rPr>
              <w:instrText xml:space="preserve"> ADDIN ZOTERO_ITEM CSL_CITATION {"citationID":"t1m5C0HM","properties":{"formattedCitation":"\\super 5\\nosupersub{}","plainCitation":"5","noteIndex":0},"citationItems":[{"id":1709,"uris":["http://zotero.org/users/4242308/items/9KBTZIUX"],"itemData":{"id":1709,"type":"article-journal","abstract":"The use of a three-dimensional ray-tracing inversion algorithm has greatly enhanced the resolution of gradients and strong variations in wave speeds to create improved P wave tomographic images of the Mariana arc region. The images obtained from the Mariana arc region show relatively low amplitudes of heterogeneity due to the limited number of seismic stations in the area. Despite these limitations, detailed interpretations of the three-dimensional geometry and morphology of the Pacific Plate subducting beneath the Philippine Sea Plate have provided a three-dimensional model of the steep dip of the Pacific plate and the curvature of the slab beneath the Mariana arc in unprecedented detail. The new P wave tomography and seismicity depict a previously unidentified E-W trending near-vertical tear in the subducting plate at the southern end of the Mariana arc that divides the arc into two distinct segments: a steeply dipping curved slab penetrating the lower mantle and a short (</w:instrText>
            </w:r>
            <w:r w:rsidR="005438C1">
              <w:rPr>
                <w:rFonts w:ascii="Cambria Math" w:eastAsia="等线" w:hAnsi="Cambria Math" w:cs="Cambria Math"/>
                <w:sz w:val="18"/>
                <w:szCs w:val="18"/>
                <w:vertAlign w:val="superscript"/>
              </w:rPr>
              <w:instrText>∼</w:instrText>
            </w:r>
            <w:r w:rsidR="005438C1">
              <w:rPr>
                <w:rFonts w:eastAsia="等线"/>
                <w:sz w:val="18"/>
                <w:szCs w:val="18"/>
                <w:vertAlign w:val="superscript"/>
              </w:rPr>
              <w:instrText xml:space="preserve">250 km depth) slab along the Challenger Deep segment of the arc. The slab tear is likely to be the result of the need to accommodate the reduced volume the slab must occupy as it is subducted beneath the Philippine Sea plate along a curved arc.","container-title":"Geochemistry, Geophysics, Geosystems","DOI":"10.1029/2005GC001110","ISSN":"1525-2027","issue":"6","language":"en","source":"Wiley Online Library","title":"Three-dimensional visualization of a near-vertical slab tear beneath the southern Mariana arc","URL":"https://agupubs.onlinelibrary.wiley.com/doi/abs/10.1029/2005GC001110","volume":"7","author":[{"family":"Miller","given":"Meghan S."},{"family":"Gorbatov","given":"Alexei"},{"family":"Kennett","given":"Brian L. N."}],"accessed":{"date-parts":[["2020",2,4]]},"issued":{"date-parts":[["2006"]]}}}],"schema":"https://github.com/citation-style-language/schema/raw/master/csl-citation.json"} </w:instrText>
            </w:r>
            <w:r w:rsidRPr="00C86F1F">
              <w:rPr>
                <w:rFonts w:eastAsia="等线"/>
                <w:sz w:val="18"/>
                <w:szCs w:val="18"/>
                <w:vertAlign w:val="superscript"/>
              </w:rPr>
              <w:fldChar w:fldCharType="separate"/>
            </w:r>
            <w:r w:rsidR="005438C1" w:rsidRPr="005438C1">
              <w:rPr>
                <w:kern w:val="0"/>
                <w:sz w:val="18"/>
                <w:vertAlign w:val="superscript"/>
              </w:rPr>
              <w:t>5</w:t>
            </w:r>
            <w:r w:rsidRPr="00C86F1F">
              <w:rPr>
                <w:rFonts w:eastAsia="等线"/>
                <w:sz w:val="18"/>
                <w:szCs w:val="18"/>
                <w:vertAlign w:val="superscript"/>
              </w:rPr>
              <w:fldChar w:fldCharType="end"/>
            </w:r>
          </w:p>
        </w:tc>
      </w:tr>
      <w:tr w:rsidR="00C86F1F" w:rsidRPr="00DF1D9D" w14:paraId="705CFCB4" w14:textId="77777777" w:rsidTr="009D1B0F">
        <w:trPr>
          <w:trHeight w:val="454"/>
        </w:trPr>
        <w:tc>
          <w:tcPr>
            <w:cnfStyle w:val="001000000000" w:firstRow="0" w:lastRow="0" w:firstColumn="1" w:lastColumn="0" w:oddVBand="0" w:evenVBand="0" w:oddHBand="0" w:evenHBand="0" w:firstRowFirstColumn="0" w:firstRowLastColumn="0" w:lastRowFirstColumn="0" w:lastRowLastColumn="0"/>
            <w:tcW w:w="2396" w:type="dxa"/>
            <w:tcBorders>
              <w:left w:val="single" w:sz="12" w:space="0" w:color="auto"/>
              <w:right w:val="single" w:sz="12" w:space="0" w:color="auto"/>
            </w:tcBorders>
            <w:vAlign w:val="center"/>
          </w:tcPr>
          <w:p w14:paraId="7B8419EA" w14:textId="77777777" w:rsidR="00C86F1F" w:rsidRPr="00DF1D9D" w:rsidRDefault="00C86F1F" w:rsidP="007B5326">
            <w:pPr>
              <w:spacing w:line="240" w:lineRule="auto"/>
              <w:jc w:val="center"/>
              <w:rPr>
                <w:rFonts w:eastAsia="等线"/>
                <w:i w:val="0"/>
                <w:iCs w:val="0"/>
                <w:sz w:val="18"/>
                <w:szCs w:val="18"/>
              </w:rPr>
            </w:pPr>
            <w:r w:rsidRPr="00DF1D9D">
              <w:rPr>
                <w:i w:val="0"/>
                <w:iCs w:val="0"/>
                <w:sz w:val="18"/>
                <w:szCs w:val="18"/>
              </w:rPr>
              <w:t>Dabie-Sulu</w:t>
            </w:r>
            <w:r>
              <w:rPr>
                <w:i w:val="0"/>
                <w:iCs w:val="0"/>
                <w:sz w:val="18"/>
                <w:szCs w:val="18"/>
              </w:rPr>
              <w:t xml:space="preserve"> Orogen</w:t>
            </w:r>
          </w:p>
        </w:tc>
        <w:tc>
          <w:tcPr>
            <w:tcW w:w="1275" w:type="dxa"/>
            <w:tcBorders>
              <w:left w:val="single" w:sz="12" w:space="0" w:color="auto"/>
              <w:right w:val="single" w:sz="12" w:space="0" w:color="auto"/>
            </w:tcBorders>
            <w:vAlign w:val="center"/>
          </w:tcPr>
          <w:p w14:paraId="15E33127" w14:textId="77777777" w:rsidR="00C86F1F" w:rsidRPr="00DF1D9D" w:rsidRDefault="00C86F1F" w:rsidP="007B5326">
            <w:pPr>
              <w:spacing w:line="240" w:lineRule="auto"/>
              <w:jc w:val="center"/>
              <w:cnfStyle w:val="000000000000" w:firstRow="0" w:lastRow="0" w:firstColumn="0" w:lastColumn="0" w:oddVBand="0" w:evenVBand="0" w:oddHBand="0" w:evenHBand="0" w:firstRowFirstColumn="0" w:firstRowLastColumn="0" w:lastRowFirstColumn="0" w:lastRowLastColumn="0"/>
              <w:rPr>
                <w:sz w:val="18"/>
                <w:szCs w:val="18"/>
              </w:rPr>
            </w:pPr>
            <w:r>
              <w:rPr>
                <w:rFonts w:hint="eastAsia"/>
                <w:sz w:val="18"/>
                <w:szCs w:val="18"/>
              </w:rPr>
              <w:t>D</w:t>
            </w:r>
            <w:r>
              <w:rPr>
                <w:sz w:val="18"/>
                <w:szCs w:val="18"/>
              </w:rPr>
              <w:t>SO</w:t>
            </w:r>
          </w:p>
        </w:tc>
        <w:tc>
          <w:tcPr>
            <w:tcW w:w="1134" w:type="dxa"/>
            <w:tcBorders>
              <w:left w:val="single" w:sz="12" w:space="0" w:color="auto"/>
            </w:tcBorders>
            <w:vAlign w:val="center"/>
          </w:tcPr>
          <w:p w14:paraId="47E1647B" w14:textId="77777777" w:rsidR="00C86F1F" w:rsidRPr="00DF1D9D" w:rsidRDefault="00C86F1F" w:rsidP="007B5326">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等线"/>
                <w:sz w:val="18"/>
                <w:szCs w:val="18"/>
              </w:rPr>
            </w:pPr>
            <w:r w:rsidRPr="00DF1D9D">
              <w:rPr>
                <w:sz w:val="18"/>
                <w:szCs w:val="18"/>
              </w:rPr>
              <w:t>116.5</w:t>
            </w:r>
          </w:p>
        </w:tc>
        <w:tc>
          <w:tcPr>
            <w:tcW w:w="993" w:type="dxa"/>
            <w:vAlign w:val="center"/>
          </w:tcPr>
          <w:p w14:paraId="2CD8AF2E" w14:textId="77777777" w:rsidR="00C86F1F" w:rsidRPr="00DF1D9D" w:rsidRDefault="00C86F1F" w:rsidP="007B5326">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等线"/>
                <w:sz w:val="18"/>
                <w:szCs w:val="18"/>
              </w:rPr>
            </w:pPr>
            <w:r w:rsidRPr="00DF1D9D">
              <w:rPr>
                <w:sz w:val="18"/>
                <w:szCs w:val="18"/>
              </w:rPr>
              <w:t>31</w:t>
            </w:r>
          </w:p>
        </w:tc>
        <w:tc>
          <w:tcPr>
            <w:tcW w:w="1701" w:type="dxa"/>
            <w:vAlign w:val="center"/>
          </w:tcPr>
          <w:p w14:paraId="0FC55227" w14:textId="77777777" w:rsidR="00C86F1F" w:rsidRPr="00DF1D9D" w:rsidRDefault="00C86F1F" w:rsidP="007B5326">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等线"/>
                <w:sz w:val="18"/>
                <w:szCs w:val="18"/>
              </w:rPr>
            </w:pPr>
            <w:r w:rsidRPr="00DF1D9D">
              <w:rPr>
                <w:sz w:val="18"/>
                <w:szCs w:val="18"/>
              </w:rPr>
              <w:t>Internal</w:t>
            </w:r>
          </w:p>
        </w:tc>
        <w:tc>
          <w:tcPr>
            <w:tcW w:w="1134" w:type="dxa"/>
            <w:tcBorders>
              <w:right w:val="single" w:sz="12" w:space="0" w:color="auto"/>
            </w:tcBorders>
            <w:vAlign w:val="center"/>
          </w:tcPr>
          <w:p w14:paraId="1FED5EDD" w14:textId="1A630424" w:rsidR="00C86F1F" w:rsidRPr="00C86F1F" w:rsidRDefault="00C86F1F" w:rsidP="007B5326">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等线"/>
                <w:sz w:val="18"/>
                <w:szCs w:val="18"/>
                <w:vertAlign w:val="superscript"/>
              </w:rPr>
            </w:pPr>
            <w:r w:rsidRPr="00C86F1F">
              <w:rPr>
                <w:rFonts w:eastAsia="等线"/>
                <w:sz w:val="18"/>
                <w:szCs w:val="18"/>
                <w:vertAlign w:val="superscript"/>
              </w:rPr>
              <w:fldChar w:fldCharType="begin"/>
            </w:r>
            <w:r w:rsidR="005438C1">
              <w:rPr>
                <w:rFonts w:eastAsia="等线"/>
                <w:sz w:val="18"/>
                <w:szCs w:val="18"/>
                <w:vertAlign w:val="superscript"/>
              </w:rPr>
              <w:instrText xml:space="preserve"> ADDIN ZOTERO_ITEM CSL_CITATION {"citationID":"KuNNpNJx","properties":{"formattedCitation":"\\super 6\\nosupersub{}","plainCitation":"6","noteIndex":0},"citationItems":[{"id":1937,"uris":["http://zotero.org/users/4242308/items/PH8Z59D9"],"itemData":{"id":1937,"type":"article-journal","abstract":"Vertical tearing of oceanic slabs has been well documented at subduction zones. It remains unclear whether a subducting continent can tear vertically. Origin of the continental-scale Tan–Lu Fault Zone (TLFZ) in East China provides an example of the vertical tearing of the subducting continent at the convergent stage. The Dabie and Sulu orogens between the North China Plate (NCP) and the Yangtze Plate (YZP) are left-laterally offset about 400km along the NE-striking TLFZ, but the fault zone terminates abruptly at the southeastern corner of the Dabie Orogen, suggesting unique origin of the fault zone. We present structural evidence to show that the TLFZ initiated as a sinistral fault zone that is exposed in ductile shear belts just to the east of the Dabie Orogen. Our muscovite 40Ar/39Ar dating results, coupled with existing age data, indicate that the TLFZ formed at 240–230Ma (Middle Triassic), when the YZP continental crust was subducted beneath the NCP along both the Dabie and Sulu sutures. We also show that SE-directed extrusion of the subducted crust in the Dabie Orogen occurred during 230–209Ma (Late Triassic) and overprinted contractional deformation in the TLFZ to the southeast of the Dabie Orogen. Syn-collisional folds and thrusts in the YZP, to the east of the TLFZ, exhibit evidence for large-scale dragging by the sinistral fault zone, whereas those in the NCP to the west are perpendicular to the TLFZ without obvious evidence for drag. Combining these lines of evidence with published data on the tectonic evolution of the two orogenic belts, we propose an indentation-induced continent-tearing model for the origin of the TLFZ. We suggest that the present southern boundary of the NCP represents its original shape, with a promontory in front of the Dabie Orogen. At the oceanic subduction stage, the overriding NCP promontory led to vertical tearing of the subducting oceanic plate along the TLFZ, which formed the eastern boundary of the promontory. Once the rigid NCP indenter collided with the passive YZP along the Dabie Orogen, the oceanic slab tear propagated into the YZP lithosphere, resulting in long-distance, low-angle subduction of the YZP underneath the NCP indenter and NNE-ward, horizontal motion of the torn YZP east of the TLFZ until the final collision at the Sulu Orogen. Thus, the indentation induced the vertical tearing of the subducting YZP along the TLFZ.","container-title":"Earth-Science Reviews","DOI":"10.1016/j.earscirev.2015.11.003","ISSN":"0012-8252","journalAbbreviation":"Earth-Science Reviews","language":"en","page":"14-36","source":"ScienceDirect","title":"Indentation-induced tearing of a subducting continent: Evidence from the Tan–Lu Fault Zone, East China","title-short":"Indentation-induced tearing of a subducting continent","volume":"152","author":[{"family":"Zhao","given":"Tian"},{"family":"Zhu","given":"Guang"},{"family":"Lin","given":"Shaoze"},{"family":"Wang","given":"Haoqian"}],"issued":{"date-parts":[["2016",1,1]]}}}],"schema":"https://github.com/citation-style-language/schema/raw/master/csl-citation.json"} </w:instrText>
            </w:r>
            <w:r w:rsidRPr="00C86F1F">
              <w:rPr>
                <w:rFonts w:eastAsia="等线"/>
                <w:sz w:val="18"/>
                <w:szCs w:val="18"/>
                <w:vertAlign w:val="superscript"/>
              </w:rPr>
              <w:fldChar w:fldCharType="separate"/>
            </w:r>
            <w:r w:rsidR="005438C1" w:rsidRPr="005438C1">
              <w:rPr>
                <w:kern w:val="0"/>
                <w:sz w:val="18"/>
                <w:vertAlign w:val="superscript"/>
              </w:rPr>
              <w:t>6</w:t>
            </w:r>
            <w:r w:rsidRPr="00C86F1F">
              <w:rPr>
                <w:rFonts w:eastAsia="等线"/>
                <w:sz w:val="18"/>
                <w:szCs w:val="18"/>
                <w:vertAlign w:val="superscript"/>
              </w:rPr>
              <w:fldChar w:fldCharType="end"/>
            </w:r>
          </w:p>
        </w:tc>
      </w:tr>
      <w:tr w:rsidR="00C86F1F" w:rsidRPr="00DF1D9D" w14:paraId="38904254" w14:textId="77777777" w:rsidTr="009D1B0F">
        <w:trPr>
          <w:cnfStyle w:val="000000100000" w:firstRow="0" w:lastRow="0" w:firstColumn="0" w:lastColumn="0" w:oddVBand="0" w:evenVBand="0" w:oddHBand="1" w:evenHBand="0" w:firstRowFirstColumn="0" w:firstRowLastColumn="0" w:lastRowFirstColumn="0" w:lastRowLastColumn="0"/>
          <w:trHeight w:val="454"/>
        </w:trPr>
        <w:tc>
          <w:tcPr>
            <w:cnfStyle w:val="001000000000" w:firstRow="0" w:lastRow="0" w:firstColumn="1" w:lastColumn="0" w:oddVBand="0" w:evenVBand="0" w:oddHBand="0" w:evenHBand="0" w:firstRowFirstColumn="0" w:firstRowLastColumn="0" w:lastRowFirstColumn="0" w:lastRowLastColumn="0"/>
            <w:tcW w:w="2396" w:type="dxa"/>
            <w:tcBorders>
              <w:left w:val="single" w:sz="12" w:space="0" w:color="auto"/>
              <w:right w:val="single" w:sz="12" w:space="0" w:color="auto"/>
            </w:tcBorders>
            <w:vAlign w:val="center"/>
          </w:tcPr>
          <w:p w14:paraId="3A577CFA" w14:textId="77777777" w:rsidR="00C86F1F" w:rsidRPr="00DF1D9D" w:rsidRDefault="00C86F1F" w:rsidP="007B5326">
            <w:pPr>
              <w:spacing w:line="240" w:lineRule="auto"/>
              <w:jc w:val="center"/>
              <w:rPr>
                <w:rFonts w:eastAsia="等线"/>
                <w:i w:val="0"/>
                <w:iCs w:val="0"/>
                <w:sz w:val="18"/>
                <w:szCs w:val="18"/>
              </w:rPr>
            </w:pPr>
            <w:r w:rsidRPr="00DF1D9D">
              <w:rPr>
                <w:i w:val="0"/>
                <w:iCs w:val="0"/>
                <w:sz w:val="18"/>
                <w:szCs w:val="18"/>
              </w:rPr>
              <w:t>Delhi-Hardwar Ridge</w:t>
            </w:r>
          </w:p>
        </w:tc>
        <w:tc>
          <w:tcPr>
            <w:tcW w:w="1275" w:type="dxa"/>
            <w:tcBorders>
              <w:left w:val="single" w:sz="12" w:space="0" w:color="auto"/>
              <w:right w:val="single" w:sz="12" w:space="0" w:color="auto"/>
            </w:tcBorders>
            <w:vAlign w:val="center"/>
          </w:tcPr>
          <w:p w14:paraId="496258C3" w14:textId="77777777" w:rsidR="00C86F1F" w:rsidRPr="00DF1D9D" w:rsidRDefault="00C86F1F" w:rsidP="007B5326">
            <w:pPr>
              <w:spacing w:line="240" w:lineRule="auto"/>
              <w:jc w:val="center"/>
              <w:cnfStyle w:val="000000100000" w:firstRow="0" w:lastRow="0" w:firstColumn="0" w:lastColumn="0" w:oddVBand="0" w:evenVBand="0" w:oddHBand="1" w:evenHBand="0" w:firstRowFirstColumn="0" w:firstRowLastColumn="0" w:lastRowFirstColumn="0" w:lastRowLastColumn="0"/>
              <w:rPr>
                <w:sz w:val="18"/>
                <w:szCs w:val="18"/>
              </w:rPr>
            </w:pPr>
            <w:r>
              <w:rPr>
                <w:sz w:val="18"/>
                <w:szCs w:val="18"/>
              </w:rPr>
              <w:t>DHR</w:t>
            </w:r>
          </w:p>
        </w:tc>
        <w:tc>
          <w:tcPr>
            <w:tcW w:w="1134" w:type="dxa"/>
            <w:tcBorders>
              <w:left w:val="single" w:sz="12" w:space="0" w:color="auto"/>
            </w:tcBorders>
            <w:vAlign w:val="center"/>
          </w:tcPr>
          <w:p w14:paraId="5CF417CA" w14:textId="77777777" w:rsidR="00C86F1F" w:rsidRPr="00DF1D9D" w:rsidRDefault="00C86F1F" w:rsidP="007B5326">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等线"/>
                <w:sz w:val="18"/>
                <w:szCs w:val="18"/>
              </w:rPr>
            </w:pPr>
            <w:r w:rsidRPr="00DF1D9D">
              <w:rPr>
                <w:sz w:val="18"/>
                <w:szCs w:val="18"/>
              </w:rPr>
              <w:t>77.8</w:t>
            </w:r>
          </w:p>
        </w:tc>
        <w:tc>
          <w:tcPr>
            <w:tcW w:w="993" w:type="dxa"/>
            <w:vAlign w:val="center"/>
          </w:tcPr>
          <w:p w14:paraId="1B419041" w14:textId="77777777" w:rsidR="00C86F1F" w:rsidRPr="00DF1D9D" w:rsidRDefault="00C86F1F" w:rsidP="007B5326">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等线"/>
                <w:sz w:val="18"/>
                <w:szCs w:val="18"/>
              </w:rPr>
            </w:pPr>
            <w:r w:rsidRPr="00DF1D9D">
              <w:rPr>
                <w:sz w:val="18"/>
                <w:szCs w:val="18"/>
              </w:rPr>
              <w:t>30.5</w:t>
            </w:r>
          </w:p>
        </w:tc>
        <w:tc>
          <w:tcPr>
            <w:tcW w:w="1701" w:type="dxa"/>
            <w:vAlign w:val="center"/>
          </w:tcPr>
          <w:p w14:paraId="3D47C85C" w14:textId="77777777" w:rsidR="00C86F1F" w:rsidRPr="00DF1D9D" w:rsidRDefault="00C86F1F" w:rsidP="007B5326">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等线"/>
                <w:sz w:val="18"/>
                <w:szCs w:val="18"/>
              </w:rPr>
            </w:pPr>
            <w:r w:rsidRPr="00DF1D9D">
              <w:rPr>
                <w:sz w:val="18"/>
                <w:szCs w:val="18"/>
              </w:rPr>
              <w:t>Internal</w:t>
            </w:r>
          </w:p>
        </w:tc>
        <w:tc>
          <w:tcPr>
            <w:tcW w:w="1134" w:type="dxa"/>
            <w:tcBorders>
              <w:right w:val="single" w:sz="12" w:space="0" w:color="auto"/>
            </w:tcBorders>
            <w:vAlign w:val="center"/>
          </w:tcPr>
          <w:p w14:paraId="05DE347D" w14:textId="0A1E76C2" w:rsidR="00C86F1F" w:rsidRPr="00C86F1F" w:rsidRDefault="00C86F1F" w:rsidP="007B5326">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等线"/>
                <w:sz w:val="18"/>
                <w:szCs w:val="18"/>
                <w:vertAlign w:val="superscript"/>
              </w:rPr>
            </w:pPr>
            <w:r w:rsidRPr="00C86F1F">
              <w:rPr>
                <w:rFonts w:eastAsia="等线"/>
                <w:sz w:val="18"/>
                <w:szCs w:val="18"/>
                <w:vertAlign w:val="superscript"/>
              </w:rPr>
              <w:fldChar w:fldCharType="begin"/>
            </w:r>
            <w:r w:rsidR="005438C1">
              <w:rPr>
                <w:rFonts w:eastAsia="等线"/>
                <w:sz w:val="18"/>
                <w:szCs w:val="18"/>
                <w:vertAlign w:val="superscript"/>
              </w:rPr>
              <w:instrText xml:space="preserve"> ADDIN ZOTERO_ITEM CSL_CITATION {"citationID":"6RfPcrEp","properties":{"formattedCitation":"\\super 7,8\\nosupersub{}","plainCitation":"7,8","noteIndex":0},"citationItems":[{"id":1666,"uris":["http://zotero.org/users/4242308/items/5WX8653P"],"itemData":{"id":1666,"type":"article-journal","abstract":"The Himalaya is the result of the on-going convergence and collision of India and Asia. The internal conﬁguration and processes that govern the rise of the Himalayan Mountains and Tibetan Plateau are crucial to understand continental collision zones. However, knowledge of the prior conﬁguration of the colliding plates is equally important, since inherited (pre-orogenic/basement) structures can undeniably inﬂuence the development of the orogenic architecture throughout the orogen’s cycle of collision and eventual collapse. Three northeasttrending palaeotopographic ridges of faulted Precambrian Indian basement underlie the Ganga basin south of the Himalaya. Our paper illustrates a crustal-scale fault origin for these ridges and succeeds in determining how far north beneath the Himalayan system they extend and how they ultimately govern the location of upper crustal faults in southern Tibet. Spectrally ﬁltered EGM2008 Bouguer gravity data and edges in its horizontal gradient at different source depths (‘gravity worms’) over northern Peninsular India, the Himalaya and southern Tibet reveal several continuous Himalayan cross-strike discontinuities interpreted to represent crustal faults. Gravity lineaments in Peninsular India coincide with edges of the Precambrian basement ridges and megakinks up to 100 km wide develop in foreland cover sequences between the interpreted basement faults. The interpreted basement faults project northward beneath the Himalayan system and southern Tibet. Our results suggest that several active Himalayan cross-strike faults, such as the ones related to many graben in southern Tibet, are rooted in the underplated Indian lower crust or step en e´chelon along interpreted basement faults. Our interpretation thus suggests that south Tibet graben are spatially related to deep-seated crustalscale faults rooted in the underplated Indian crust. These major discontinuities partition the Himalayan range into distinct zones, and could ultimately contribute to lateral variability in tectonic evolution along the orogen’s strike.","container-title":"Geophysical Journal International","DOI":"10.1093/gji/ggu131","ISSN":"0956-540X, 1365-246X","issue":"1","language":"en","page":"198-215","source":"DOI.org (Crossref)","title":"Tracking basement cross-strike discontinuities in the Indian crust beneath the Himalayan orogen using gravity data – relationship to upper crustal faults","volume":"198","author":[{"family":"Godin","given":"Laurent"},{"family":"Harris","given":"Lyal B."}],"issued":{"date-parts":[["2014",7,1]]}}},{"id":2137,"uris":["http://zotero.org/users/4242308/items/5QB96FLH"],"itemData":{"id":2137,"type":"article-journal","abstract":"Unlike the other Himalayan plate boundary segments, the eastern Nepal to Bhutan Himalayan region is not known to have generated prominent shallow thrust faulting earthquakes, typical of the ongoing convergence. This region features strike-slip earthquakes over the depth ranges of 40–120 km, indicating intraslab deformation. Here we present for the first time a slip distribution model for the largest recorded intraslab strike-slip earthquake in this region, the Mw 6.9 Sikkim event that occurred on 18 September 2011. Relying on kinematic source process modeling, our results indicate a NE-SW trending, steeply dipping sinistral source zone within the underthrusting Indian slab. The rupture propagated radially, with a low rupture velocity of 1.7 km/s, breaking a large asperity of 20 × 20 km2 with a maximum slip of 1.6 m. The rupture nucleated at a depth of 45 km and reached upper mantle depths. The computed coseismic stress drop value is 13.6 MPa. We suggest that most of the aftershocks occurred on the conjugate plane, possibly due to stress triggering. Stress inversion of focal mechanisms indicates a transpressive stress regime throughout the crust and pure strike-slip regime in the upper mantle. We observed a unimodal distribution of earthquakes beneath the Higher Himalaya. This indicates a strong, brittle Indian slab and unravels a scenario of an eventual breakup of the lithosphere; the key trigger might be variation in the convergence rates along the Himalayan arc.","container-title":"Journal of Geophysical Research: Solid Earth","DOI":"10.1029/2018JB015931","ISSN":"2169-9356","issue":"3","language":"en","note":"_eprint: https://agupubs.onlinelibrary.wiley.com/doi/pdf/10.1029/2018JB015931","page":"2623-2637","source":"Wiley Online Library","title":"Rupture of the Indian Slab in the 2011 Mw 6.9 Sikkim Himalaya Earthquake and Its Tectonic Implications","volume":"124","author":[{"family":"Sunilkumar","given":"T. C."},{"family":"Earnest","given":"Anil"},{"family":"Silpa","given":"K."},{"family":"Andrews","given":"Ronia"}],"issued":{"date-parts":[["2019"]]}}}],"schema":"https://github.com/citation-style-language/schema/raw/master/csl-citation.json"} </w:instrText>
            </w:r>
            <w:r w:rsidRPr="00C86F1F">
              <w:rPr>
                <w:rFonts w:eastAsia="等线"/>
                <w:sz w:val="18"/>
                <w:szCs w:val="18"/>
                <w:vertAlign w:val="superscript"/>
              </w:rPr>
              <w:fldChar w:fldCharType="separate"/>
            </w:r>
            <w:r w:rsidR="005438C1" w:rsidRPr="005438C1">
              <w:rPr>
                <w:kern w:val="0"/>
                <w:sz w:val="18"/>
                <w:vertAlign w:val="superscript"/>
              </w:rPr>
              <w:t>7,8</w:t>
            </w:r>
            <w:r w:rsidRPr="00C86F1F">
              <w:rPr>
                <w:rFonts w:eastAsia="等线"/>
                <w:sz w:val="18"/>
                <w:szCs w:val="18"/>
                <w:vertAlign w:val="superscript"/>
              </w:rPr>
              <w:fldChar w:fldCharType="end"/>
            </w:r>
          </w:p>
        </w:tc>
      </w:tr>
      <w:tr w:rsidR="00C86F1F" w:rsidRPr="00DF1D9D" w14:paraId="0752BF06" w14:textId="77777777" w:rsidTr="009D1B0F">
        <w:trPr>
          <w:trHeight w:val="454"/>
        </w:trPr>
        <w:tc>
          <w:tcPr>
            <w:cnfStyle w:val="001000000000" w:firstRow="0" w:lastRow="0" w:firstColumn="1" w:lastColumn="0" w:oddVBand="0" w:evenVBand="0" w:oddHBand="0" w:evenHBand="0" w:firstRowFirstColumn="0" w:firstRowLastColumn="0" w:lastRowFirstColumn="0" w:lastRowLastColumn="0"/>
            <w:tcW w:w="2396" w:type="dxa"/>
            <w:tcBorders>
              <w:left w:val="single" w:sz="12" w:space="0" w:color="auto"/>
              <w:right w:val="single" w:sz="12" w:space="0" w:color="auto"/>
            </w:tcBorders>
            <w:vAlign w:val="center"/>
          </w:tcPr>
          <w:p w14:paraId="114D5CB9" w14:textId="77777777" w:rsidR="00C86F1F" w:rsidRPr="00DF1D9D" w:rsidRDefault="00C86F1F" w:rsidP="007B5326">
            <w:pPr>
              <w:spacing w:line="240" w:lineRule="auto"/>
              <w:jc w:val="center"/>
              <w:rPr>
                <w:rFonts w:eastAsia="等线"/>
                <w:i w:val="0"/>
                <w:iCs w:val="0"/>
                <w:sz w:val="18"/>
                <w:szCs w:val="18"/>
              </w:rPr>
            </w:pPr>
            <w:r w:rsidRPr="00DF1D9D">
              <w:rPr>
                <w:i w:val="0"/>
                <w:iCs w:val="0"/>
                <w:sz w:val="18"/>
                <w:szCs w:val="18"/>
              </w:rPr>
              <w:t>E</w:t>
            </w:r>
            <w:r>
              <w:rPr>
                <w:i w:val="0"/>
                <w:iCs w:val="0"/>
                <w:sz w:val="18"/>
                <w:szCs w:val="18"/>
              </w:rPr>
              <w:t>astern</w:t>
            </w:r>
            <w:r w:rsidRPr="00DF1D9D">
              <w:rPr>
                <w:i w:val="0"/>
                <w:iCs w:val="0"/>
                <w:sz w:val="18"/>
                <w:szCs w:val="18"/>
              </w:rPr>
              <w:t xml:space="preserve"> Makran</w:t>
            </w:r>
            <w:r>
              <w:rPr>
                <w:i w:val="0"/>
                <w:iCs w:val="0"/>
                <w:sz w:val="18"/>
                <w:szCs w:val="18"/>
              </w:rPr>
              <w:t xml:space="preserve"> Subduction Zone</w:t>
            </w:r>
          </w:p>
        </w:tc>
        <w:tc>
          <w:tcPr>
            <w:tcW w:w="1275" w:type="dxa"/>
            <w:tcBorders>
              <w:left w:val="single" w:sz="12" w:space="0" w:color="auto"/>
              <w:right w:val="single" w:sz="12" w:space="0" w:color="auto"/>
            </w:tcBorders>
            <w:vAlign w:val="center"/>
          </w:tcPr>
          <w:p w14:paraId="5FEACE44" w14:textId="77777777" w:rsidR="00C86F1F" w:rsidRPr="00DF1D9D" w:rsidRDefault="00C86F1F" w:rsidP="007B5326">
            <w:pPr>
              <w:spacing w:line="240" w:lineRule="auto"/>
              <w:jc w:val="center"/>
              <w:cnfStyle w:val="000000000000" w:firstRow="0" w:lastRow="0" w:firstColumn="0" w:lastColumn="0" w:oddVBand="0" w:evenVBand="0" w:oddHBand="0" w:evenHBand="0" w:firstRowFirstColumn="0" w:firstRowLastColumn="0" w:lastRowFirstColumn="0" w:lastRowLastColumn="0"/>
              <w:rPr>
                <w:sz w:val="18"/>
                <w:szCs w:val="18"/>
              </w:rPr>
            </w:pPr>
            <w:r>
              <w:rPr>
                <w:rFonts w:hint="eastAsia"/>
                <w:sz w:val="18"/>
                <w:szCs w:val="18"/>
              </w:rPr>
              <w:t>E</w:t>
            </w:r>
            <w:r>
              <w:rPr>
                <w:sz w:val="18"/>
                <w:szCs w:val="18"/>
              </w:rPr>
              <w:t>MSZ</w:t>
            </w:r>
          </w:p>
        </w:tc>
        <w:tc>
          <w:tcPr>
            <w:tcW w:w="1134" w:type="dxa"/>
            <w:tcBorders>
              <w:left w:val="single" w:sz="12" w:space="0" w:color="auto"/>
            </w:tcBorders>
            <w:vAlign w:val="center"/>
          </w:tcPr>
          <w:p w14:paraId="4DF7F539" w14:textId="77777777" w:rsidR="00C86F1F" w:rsidRPr="00DF1D9D" w:rsidRDefault="00C86F1F" w:rsidP="007B5326">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等线"/>
                <w:sz w:val="18"/>
                <w:szCs w:val="18"/>
              </w:rPr>
            </w:pPr>
            <w:r w:rsidRPr="00DF1D9D">
              <w:rPr>
                <w:sz w:val="18"/>
                <w:szCs w:val="18"/>
              </w:rPr>
              <w:t>65.</w:t>
            </w:r>
            <w:r>
              <w:rPr>
                <w:sz w:val="18"/>
                <w:szCs w:val="18"/>
              </w:rPr>
              <w:t>4</w:t>
            </w:r>
            <w:r w:rsidRPr="00DF1D9D">
              <w:rPr>
                <w:sz w:val="18"/>
                <w:szCs w:val="18"/>
              </w:rPr>
              <w:t>5</w:t>
            </w:r>
          </w:p>
        </w:tc>
        <w:tc>
          <w:tcPr>
            <w:tcW w:w="993" w:type="dxa"/>
            <w:vAlign w:val="center"/>
          </w:tcPr>
          <w:p w14:paraId="3C876279" w14:textId="77777777" w:rsidR="00C86F1F" w:rsidRPr="00DF1D9D" w:rsidRDefault="00C86F1F" w:rsidP="007B5326">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等线"/>
                <w:sz w:val="18"/>
                <w:szCs w:val="18"/>
              </w:rPr>
            </w:pPr>
            <w:r w:rsidRPr="00DF1D9D">
              <w:rPr>
                <w:sz w:val="18"/>
                <w:szCs w:val="18"/>
              </w:rPr>
              <w:t>2</w:t>
            </w:r>
            <w:r>
              <w:rPr>
                <w:sz w:val="18"/>
                <w:szCs w:val="18"/>
              </w:rPr>
              <w:t>4</w:t>
            </w:r>
            <w:r w:rsidRPr="00DF1D9D">
              <w:rPr>
                <w:sz w:val="18"/>
                <w:szCs w:val="18"/>
              </w:rPr>
              <w:t>.5</w:t>
            </w:r>
            <w:r>
              <w:rPr>
                <w:sz w:val="18"/>
                <w:szCs w:val="18"/>
              </w:rPr>
              <w:t>7</w:t>
            </w:r>
          </w:p>
        </w:tc>
        <w:tc>
          <w:tcPr>
            <w:tcW w:w="1701" w:type="dxa"/>
            <w:vAlign w:val="center"/>
          </w:tcPr>
          <w:p w14:paraId="30D9A2D6" w14:textId="77777777" w:rsidR="00C86F1F" w:rsidRPr="00DF1D9D" w:rsidRDefault="00C86F1F" w:rsidP="007B5326">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等线"/>
                <w:sz w:val="18"/>
                <w:szCs w:val="18"/>
              </w:rPr>
            </w:pPr>
            <w:r w:rsidRPr="00DF1D9D">
              <w:rPr>
                <w:sz w:val="18"/>
                <w:szCs w:val="18"/>
              </w:rPr>
              <w:t>Internal</w:t>
            </w:r>
          </w:p>
        </w:tc>
        <w:tc>
          <w:tcPr>
            <w:tcW w:w="1134" w:type="dxa"/>
            <w:tcBorders>
              <w:right w:val="single" w:sz="12" w:space="0" w:color="auto"/>
            </w:tcBorders>
            <w:vAlign w:val="center"/>
          </w:tcPr>
          <w:p w14:paraId="2848AE48" w14:textId="58E3266B" w:rsidR="00C86F1F" w:rsidRPr="00C86F1F" w:rsidRDefault="00C86F1F" w:rsidP="007B5326">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等线"/>
                <w:sz w:val="18"/>
                <w:szCs w:val="18"/>
                <w:vertAlign w:val="superscript"/>
              </w:rPr>
            </w:pPr>
            <w:r w:rsidRPr="00C86F1F">
              <w:rPr>
                <w:rFonts w:eastAsia="等线"/>
                <w:sz w:val="18"/>
                <w:szCs w:val="18"/>
                <w:vertAlign w:val="superscript"/>
              </w:rPr>
              <w:fldChar w:fldCharType="begin"/>
            </w:r>
            <w:r w:rsidR="005438C1">
              <w:rPr>
                <w:rFonts w:eastAsia="等线"/>
                <w:sz w:val="18"/>
                <w:szCs w:val="18"/>
                <w:vertAlign w:val="superscript"/>
              </w:rPr>
              <w:instrText xml:space="preserve"> ADDIN ZOTERO_ITEM CSL_CITATION {"citationID":"v0MEu5Oy","properties":{"formattedCitation":"\\super 9,10\\nosupersub{}","plainCitation":"9,10","noteIndex":0},"citationItems":[{"id":2098,"uris":["http://zotero.org/users/4242308/items/M2EF67VD"],"itemData":{"id":2098,"type":"article-journal","abstract":"Vertical edges along subducted slabs have been recognized in the majority of subduction zones. Surprisingly, slab edges evolved into Subduction-Transform-Edge-Propagator (STEP) faults in only a few regions; the conditions under which STEPs form are special. It is relevant to constrain the conditions that facilitate STEP fault initiation because they leave a clear geological footprint in the overriding plate, whereas vertical tears generally do not. We therefore study a candidate region for STEP fault initiation in the western Hellenic Subduction Zone. We investigate the structure and seismicity of the shallow western Hellenic Subduction Zone using a recent full-waveform inversion model which both captures details of crustal and upper-mantle structure, yielding constraints in the depth interval from 10 to 200 km where lithosphere-mantle interactions have tectonic expressions. The western end of the Hellenic Subduction Zone is fragmented near the Kefalonia Transform Fault. We identify a separate Epirus lithospheric fragment that is roughly vertical below the southern Albanides. We also identify a new and major contrast within the lithospheric mantle of the Ionian ocean basin, which aligns with a gradient in free-air anomalies. In the overriding plate, the Kefalonia Transform Fault zone accommodates right lateral strike-slip deformation. We interpret this fault zone as a proto-STEP fault that formed simultaneously with Pliocene fragmentation of the Epirus fragment. Comparing the recent evolution of the NW Hellenic slab edge with currently active STEPs indicates that along-trench variations in convergence velocity are a prerequisite for STEP fault initiation. Such velocity variations may result from subduction of continental crust along part of the trench. Resistance to sea ward tear propagation by a mechanically strong subducting plate may prevent variations in convergence velocity to occur, and thus STEP fault initiation. The amount of time over which a velocity contrast persists will also be relevant for STEP fault initiation. Mechanical coupling between upper- and lower-plate, and the deformability of the upper-plate appear to also play a role in the initiation of the STEP fault once a slab is fragmented.","container-title":"Tectonophysics","DOI":"10.1016/j.tecto.2020.228471","ISSN":"0040-1951","journalAbbreviation":"Tectonophysics","language":"en","page":"228471","source":"ScienceDirect","title":"The Kefalonia Transform Fault: A STEP fault in the making","title-short":"The Kefalonia Transform Fault","volume":"787","author":[{"family":"Özbakır","given":"Ali Değer"},{"family":"Govers","given":"Rob"},{"family":"Fichtner","given":"Andreas"}],"issued":{"date-parts":[["2020",7,20]]}}},{"id":2846,"uris":["http://zotero.org/users/4242308/items/FKSTKIJ8"],"itemData":{"id":2846,"type":"article-journal","abstract":"Fast uplift and exhumation of the Himalaya and Tibet and fast subsidence in the foreland basin portray the primary Neogene evolution of the Indian-Eurasian collision zone. We relate these events to the relative northward drift of India over its own slab. Our mantle-flow model derived from seismic tomography shows that dynamic topography over the southward-folded Indian slab explains the modern location of the foreland depocenter. Back in time, our model suggests that the stretched Indian slab detached from the Indian plate during the indentation of the Eurasian plate, and remained stationary underneath the northward-drifting Indian continent. We model the associated southward migration of the dynamic deflection of the topography and show that subsidence has amounted to </w:instrText>
            </w:r>
            <w:r w:rsidR="005438C1">
              <w:rPr>
                <w:rFonts w:ascii="Cambria Math" w:eastAsia="等线" w:hAnsi="Cambria Math" w:cs="Cambria Math"/>
                <w:sz w:val="18"/>
                <w:szCs w:val="18"/>
                <w:vertAlign w:val="superscript"/>
              </w:rPr>
              <w:instrText>∼</w:instrText>
            </w:r>
            <w:r w:rsidR="005438C1">
              <w:rPr>
                <w:rFonts w:eastAsia="等线"/>
                <w:sz w:val="18"/>
                <w:szCs w:val="18"/>
                <w:vertAlign w:val="superscript"/>
              </w:rPr>
              <w:instrText xml:space="preserve">6000 m in the foreland basin since 15 Ma, while the dynamic surface uplift of the Himalaya amounted to </w:instrText>
            </w:r>
            <w:r w:rsidR="005438C1">
              <w:rPr>
                <w:rFonts w:ascii="Cambria Math" w:eastAsia="等线" w:hAnsi="Cambria Math" w:cs="Cambria Math"/>
                <w:sz w:val="18"/>
                <w:szCs w:val="18"/>
                <w:vertAlign w:val="superscript"/>
              </w:rPr>
              <w:instrText>∼</w:instrText>
            </w:r>
            <w:r w:rsidR="005438C1">
              <w:rPr>
                <w:rFonts w:eastAsia="等线"/>
                <w:sz w:val="18"/>
                <w:szCs w:val="18"/>
                <w:vertAlign w:val="superscript"/>
              </w:rPr>
              <w:instrText xml:space="preserve">1000 m during the early Miocene. While competing with other processes, transient dynamic topography may thus explain, to a large extent, both the uplift history of the Himalaya and subsidence of its foreland basin, and should not be ignored.","container-title":"Geology","DOI":"10.1130/G36049.1","ISSN":"0091-7613","issue":"10","journalAbbreviation":"Geology","page":"839-842","source":"Silverchair","title":"Dynamic ups and downs of the Himalaya","volume":"42","author":[{"family":"Husson","given":"Laurent"},{"family":"Bernet","given":"Matthias"},{"family":"Guillot","given":"Stéphane"},{"family":"Huyghe","given":"Pascale"},{"family":"Mugnier","given":"Jean-Louis"},{"family":"Replumaz","given":"Anne"},{"family":"Robert","given":"Xavier"},{"family":"Van der Beek","given":"Peter"}],"issued":{"date-parts":[["2014",10,1]]}}}],"schema":"https://github.com/citation-style-language/schema/raw/master/csl-citation.json"} </w:instrText>
            </w:r>
            <w:r w:rsidRPr="00C86F1F">
              <w:rPr>
                <w:rFonts w:eastAsia="等线"/>
                <w:sz w:val="18"/>
                <w:szCs w:val="18"/>
                <w:vertAlign w:val="superscript"/>
              </w:rPr>
              <w:fldChar w:fldCharType="separate"/>
            </w:r>
            <w:r w:rsidR="005438C1" w:rsidRPr="005438C1">
              <w:rPr>
                <w:kern w:val="0"/>
                <w:sz w:val="18"/>
                <w:vertAlign w:val="superscript"/>
              </w:rPr>
              <w:t>9,10</w:t>
            </w:r>
            <w:r w:rsidRPr="00C86F1F">
              <w:rPr>
                <w:rFonts w:eastAsia="等线"/>
                <w:sz w:val="18"/>
                <w:szCs w:val="18"/>
                <w:vertAlign w:val="superscript"/>
              </w:rPr>
              <w:fldChar w:fldCharType="end"/>
            </w:r>
          </w:p>
        </w:tc>
      </w:tr>
      <w:tr w:rsidR="00C86F1F" w:rsidRPr="00DF1D9D" w14:paraId="4D769402" w14:textId="77777777" w:rsidTr="009D1B0F">
        <w:trPr>
          <w:cnfStyle w:val="000000100000" w:firstRow="0" w:lastRow="0" w:firstColumn="0" w:lastColumn="0" w:oddVBand="0" w:evenVBand="0" w:oddHBand="1" w:evenHBand="0" w:firstRowFirstColumn="0" w:firstRowLastColumn="0" w:lastRowFirstColumn="0" w:lastRowLastColumn="0"/>
          <w:trHeight w:val="454"/>
        </w:trPr>
        <w:tc>
          <w:tcPr>
            <w:cnfStyle w:val="001000000000" w:firstRow="0" w:lastRow="0" w:firstColumn="1" w:lastColumn="0" w:oddVBand="0" w:evenVBand="0" w:oddHBand="0" w:evenHBand="0" w:firstRowFirstColumn="0" w:firstRowLastColumn="0" w:lastRowFirstColumn="0" w:lastRowLastColumn="0"/>
            <w:tcW w:w="2396" w:type="dxa"/>
            <w:tcBorders>
              <w:left w:val="single" w:sz="12" w:space="0" w:color="auto"/>
              <w:right w:val="single" w:sz="12" w:space="0" w:color="auto"/>
            </w:tcBorders>
            <w:vAlign w:val="center"/>
          </w:tcPr>
          <w:p w14:paraId="0C770BDF" w14:textId="77777777" w:rsidR="00C86F1F" w:rsidRPr="00DF1D9D" w:rsidRDefault="00C86F1F" w:rsidP="007B5326">
            <w:pPr>
              <w:spacing w:line="240" w:lineRule="auto"/>
              <w:jc w:val="center"/>
              <w:rPr>
                <w:rFonts w:eastAsia="等线"/>
                <w:i w:val="0"/>
                <w:iCs w:val="0"/>
                <w:sz w:val="18"/>
                <w:szCs w:val="18"/>
              </w:rPr>
            </w:pPr>
            <w:r w:rsidRPr="00DF1D9D">
              <w:rPr>
                <w:i w:val="0"/>
                <w:iCs w:val="0"/>
                <w:sz w:val="18"/>
                <w:szCs w:val="18"/>
              </w:rPr>
              <w:t>Faizabad Ridge</w:t>
            </w:r>
          </w:p>
        </w:tc>
        <w:tc>
          <w:tcPr>
            <w:tcW w:w="1275" w:type="dxa"/>
            <w:tcBorders>
              <w:left w:val="single" w:sz="12" w:space="0" w:color="auto"/>
              <w:right w:val="single" w:sz="12" w:space="0" w:color="auto"/>
            </w:tcBorders>
            <w:vAlign w:val="center"/>
          </w:tcPr>
          <w:p w14:paraId="4E0F1073" w14:textId="77777777" w:rsidR="00C86F1F" w:rsidRPr="00DF1D9D" w:rsidRDefault="00C86F1F" w:rsidP="007B5326">
            <w:pPr>
              <w:spacing w:line="240" w:lineRule="auto"/>
              <w:jc w:val="center"/>
              <w:cnfStyle w:val="000000100000" w:firstRow="0" w:lastRow="0" w:firstColumn="0" w:lastColumn="0" w:oddVBand="0" w:evenVBand="0" w:oddHBand="1" w:evenHBand="0" w:firstRowFirstColumn="0" w:firstRowLastColumn="0" w:lastRowFirstColumn="0" w:lastRowLastColumn="0"/>
              <w:rPr>
                <w:sz w:val="18"/>
                <w:szCs w:val="18"/>
              </w:rPr>
            </w:pPr>
            <w:r>
              <w:rPr>
                <w:rFonts w:hint="eastAsia"/>
                <w:sz w:val="18"/>
                <w:szCs w:val="18"/>
              </w:rPr>
              <w:t>F</w:t>
            </w:r>
            <w:r>
              <w:rPr>
                <w:sz w:val="18"/>
                <w:szCs w:val="18"/>
              </w:rPr>
              <w:t>R</w:t>
            </w:r>
          </w:p>
        </w:tc>
        <w:tc>
          <w:tcPr>
            <w:tcW w:w="1134" w:type="dxa"/>
            <w:tcBorders>
              <w:left w:val="single" w:sz="12" w:space="0" w:color="auto"/>
            </w:tcBorders>
            <w:vAlign w:val="center"/>
          </w:tcPr>
          <w:p w14:paraId="32F6EC96" w14:textId="77777777" w:rsidR="00C86F1F" w:rsidRPr="00DF1D9D" w:rsidRDefault="00C86F1F" w:rsidP="007B5326">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等线"/>
                <w:sz w:val="18"/>
                <w:szCs w:val="18"/>
              </w:rPr>
            </w:pPr>
            <w:r w:rsidRPr="00DF1D9D">
              <w:rPr>
                <w:sz w:val="18"/>
                <w:szCs w:val="18"/>
              </w:rPr>
              <w:t>82.65</w:t>
            </w:r>
          </w:p>
        </w:tc>
        <w:tc>
          <w:tcPr>
            <w:tcW w:w="993" w:type="dxa"/>
            <w:vAlign w:val="center"/>
          </w:tcPr>
          <w:p w14:paraId="45DF040B" w14:textId="77777777" w:rsidR="00C86F1F" w:rsidRPr="00DF1D9D" w:rsidRDefault="00C86F1F" w:rsidP="007B5326">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等线"/>
                <w:sz w:val="18"/>
                <w:szCs w:val="18"/>
              </w:rPr>
            </w:pPr>
            <w:r w:rsidRPr="00DF1D9D">
              <w:rPr>
                <w:sz w:val="18"/>
                <w:szCs w:val="18"/>
              </w:rPr>
              <w:t>27.65</w:t>
            </w:r>
          </w:p>
        </w:tc>
        <w:tc>
          <w:tcPr>
            <w:tcW w:w="1701" w:type="dxa"/>
            <w:vAlign w:val="center"/>
          </w:tcPr>
          <w:p w14:paraId="17AAF3C3" w14:textId="77777777" w:rsidR="00C86F1F" w:rsidRPr="00DF1D9D" w:rsidRDefault="00C86F1F" w:rsidP="007B5326">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等线"/>
                <w:sz w:val="18"/>
                <w:szCs w:val="18"/>
              </w:rPr>
            </w:pPr>
            <w:r w:rsidRPr="00DF1D9D">
              <w:rPr>
                <w:sz w:val="18"/>
                <w:szCs w:val="18"/>
              </w:rPr>
              <w:t>Internal</w:t>
            </w:r>
          </w:p>
        </w:tc>
        <w:tc>
          <w:tcPr>
            <w:tcW w:w="1134" w:type="dxa"/>
            <w:tcBorders>
              <w:right w:val="single" w:sz="12" w:space="0" w:color="auto"/>
            </w:tcBorders>
            <w:vAlign w:val="center"/>
          </w:tcPr>
          <w:p w14:paraId="14564A8C" w14:textId="77D3AF6C" w:rsidR="00C86F1F" w:rsidRPr="00C86F1F" w:rsidRDefault="00C86F1F" w:rsidP="007B5326">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等线"/>
                <w:sz w:val="18"/>
                <w:szCs w:val="18"/>
                <w:vertAlign w:val="superscript"/>
              </w:rPr>
            </w:pPr>
            <w:r w:rsidRPr="00C86F1F">
              <w:rPr>
                <w:rFonts w:eastAsia="等线"/>
                <w:sz w:val="18"/>
                <w:szCs w:val="18"/>
                <w:vertAlign w:val="superscript"/>
              </w:rPr>
              <w:fldChar w:fldCharType="begin"/>
            </w:r>
            <w:r w:rsidR="005438C1">
              <w:rPr>
                <w:rFonts w:eastAsia="等线"/>
                <w:sz w:val="18"/>
                <w:szCs w:val="18"/>
                <w:vertAlign w:val="superscript"/>
              </w:rPr>
              <w:instrText xml:space="preserve"> ADDIN ZOTERO_ITEM CSL_CITATION {"citationID":"qmOYwepG","properties":{"formattedCitation":"\\super 7,8\\nosupersub{}","plainCitation":"7,8","noteIndex":0},"citationItems":[{"id":1666,"uris":["http://zotero.org/users/4242308/items/5WX8653P"],"itemData":{"id":1666,"type":"article-journal","abstract":"The Himalaya is the result of the on-going convergence and collision of India and Asia. The internal conﬁguration and processes that govern the rise of the Himalayan Mountains and Tibetan Plateau are crucial to understand continental collision zones. However, knowledge of the prior conﬁguration of the colliding plates is equally important, since inherited (pre-orogenic/basement) structures can undeniably inﬂuence the development of the orogenic architecture throughout the orogen’s cycle of collision and eventual collapse. Three northeasttrending palaeotopographic ridges of faulted Precambrian Indian basement underlie the Ganga basin south of the Himalaya. Our paper illustrates a crustal-scale fault origin for these ridges and succeeds in determining how far north beneath the Himalayan system they extend and how they ultimately govern the location of upper crustal faults in southern Tibet. Spectrally ﬁltered EGM2008 Bouguer gravity data and edges in its horizontal gradient at different source depths (‘gravity worms’) over northern Peninsular India, the Himalaya and southern Tibet reveal several continuous Himalayan cross-strike discontinuities interpreted to represent crustal faults. Gravity lineaments in Peninsular India coincide with edges of the Precambrian basement ridges and megakinks up to 100 km wide develop in foreland cover sequences between the interpreted basement faults. The interpreted basement faults project northward beneath the Himalayan system and southern Tibet. Our results suggest that several active Himalayan cross-strike faults, such as the ones related to many graben in southern Tibet, are rooted in the underplated Indian lower crust or step en e´chelon along interpreted basement faults. Our interpretation thus suggests that south Tibet graben are spatially related to deep-seated crustalscale faults rooted in the underplated Indian crust. These major discontinuities partition the Himalayan range into distinct zones, and could ultimately contribute to lateral variability in tectonic evolution along the orogen’s strike.","container-title":"Geophysical Journal International","DOI":"10.1093/gji/ggu131","ISSN":"0956-540X, 1365-246X","issue":"1","language":"en","page":"198-215","source":"DOI.org (Crossref)","title":"Tracking basement cross-strike discontinuities in the Indian crust beneath the Himalayan orogen using gravity data – relationship to upper crustal faults","volume":"198","author":[{"family":"Godin","given":"Laurent"},{"family":"Harris","given":"Lyal B."}],"issued":{"date-parts":[["2014",7,1]]}}},{"id":2137,"uris":["http://zotero.org/users/4242308/items/5QB96FLH"],"itemData":{"id":2137,"type":"article-journal","abstract":"Unlike the other Himalayan plate boundary segments, the eastern Nepal to Bhutan Himalayan region is not known to have generated prominent shallow thrust faulting earthquakes, typical of the ongoing convergence. This region features strike-slip earthquakes over the depth ranges of 40–120 km, indicating intraslab deformation. Here we present for the first time a slip distribution model for the largest recorded intraslab strike-slip earthquake in this region, the Mw 6.9 Sikkim event that occurred on 18 September 2011. Relying on kinematic source process modeling, our results indicate a NE-SW trending, steeply dipping sinistral source zone within the underthrusting Indian slab. The rupture propagated radially, with a low rupture velocity of 1.7 km/s, breaking a large asperity of 20 × 20 km2 with a maximum slip of 1.6 m. The rupture nucleated at a depth of 45 km and reached upper mantle depths. The computed coseismic stress drop value is 13.6 MPa. We suggest that most of the aftershocks occurred on the conjugate plane, possibly due to stress triggering. Stress inversion of focal mechanisms indicates a transpressive stress regime throughout the crust and pure strike-slip regime in the upper mantle. We observed a unimodal distribution of earthquakes beneath the Higher Himalaya. This indicates a strong, brittle Indian slab and unravels a scenario of an eventual breakup of the lithosphere; the key trigger might be variation in the convergence rates along the Himalayan arc.","container-title":"Journal of Geophysical Research: Solid Earth","DOI":"10.1029/2018JB015931","ISSN":"2169-9356","issue":"3","language":"en","note":"_eprint: https://agupubs.onlinelibrary.wiley.com/doi/pdf/10.1029/2018JB015931","page":"2623-2637","source":"Wiley Online Library","title":"Rupture of the Indian Slab in the 2011 Mw 6.9 Sikkim Himalaya Earthquake and Its Tectonic Implications","volume":"124","author":[{"family":"Sunilkumar","given":"T. C."},{"family":"Earnest","given":"Anil"},{"family":"Silpa","given":"K."},{"family":"Andrews","given":"Ronia"}],"issued":{"date-parts":[["2019"]]}}}],"schema":"https://github.com/citation-style-language/schema/raw/master/csl-citation.json"} </w:instrText>
            </w:r>
            <w:r w:rsidRPr="00C86F1F">
              <w:rPr>
                <w:rFonts w:eastAsia="等线"/>
                <w:sz w:val="18"/>
                <w:szCs w:val="18"/>
                <w:vertAlign w:val="superscript"/>
              </w:rPr>
              <w:fldChar w:fldCharType="separate"/>
            </w:r>
            <w:r w:rsidR="005438C1" w:rsidRPr="005438C1">
              <w:rPr>
                <w:kern w:val="0"/>
                <w:sz w:val="18"/>
                <w:vertAlign w:val="superscript"/>
              </w:rPr>
              <w:t>7,8</w:t>
            </w:r>
            <w:r w:rsidRPr="00C86F1F">
              <w:rPr>
                <w:rFonts w:eastAsia="等线"/>
                <w:sz w:val="18"/>
                <w:szCs w:val="18"/>
                <w:vertAlign w:val="superscript"/>
              </w:rPr>
              <w:fldChar w:fldCharType="end"/>
            </w:r>
          </w:p>
        </w:tc>
      </w:tr>
      <w:tr w:rsidR="00C86F1F" w:rsidRPr="00DF1D9D" w14:paraId="1A34A7D8" w14:textId="77777777" w:rsidTr="009D1B0F">
        <w:trPr>
          <w:trHeight w:val="454"/>
        </w:trPr>
        <w:tc>
          <w:tcPr>
            <w:cnfStyle w:val="001000000000" w:firstRow="0" w:lastRow="0" w:firstColumn="1" w:lastColumn="0" w:oddVBand="0" w:evenVBand="0" w:oddHBand="0" w:evenHBand="0" w:firstRowFirstColumn="0" w:firstRowLastColumn="0" w:lastRowFirstColumn="0" w:lastRowLastColumn="0"/>
            <w:tcW w:w="2396" w:type="dxa"/>
            <w:tcBorders>
              <w:left w:val="single" w:sz="12" w:space="0" w:color="auto"/>
              <w:right w:val="single" w:sz="12" w:space="0" w:color="auto"/>
            </w:tcBorders>
            <w:vAlign w:val="center"/>
          </w:tcPr>
          <w:p w14:paraId="5918DE93" w14:textId="77777777" w:rsidR="00C86F1F" w:rsidRPr="00DF1D9D" w:rsidRDefault="00C86F1F" w:rsidP="007B5326">
            <w:pPr>
              <w:spacing w:line="240" w:lineRule="auto"/>
              <w:jc w:val="center"/>
              <w:rPr>
                <w:rFonts w:eastAsia="等线"/>
                <w:i w:val="0"/>
                <w:iCs w:val="0"/>
                <w:sz w:val="18"/>
                <w:szCs w:val="18"/>
              </w:rPr>
            </w:pPr>
            <w:r w:rsidRPr="00DF1D9D">
              <w:rPr>
                <w:i w:val="0"/>
                <w:iCs w:val="0"/>
                <w:sz w:val="18"/>
                <w:szCs w:val="18"/>
              </w:rPr>
              <w:t>Juan Fernandez Ridge</w:t>
            </w:r>
          </w:p>
        </w:tc>
        <w:tc>
          <w:tcPr>
            <w:tcW w:w="1275" w:type="dxa"/>
            <w:tcBorders>
              <w:left w:val="single" w:sz="12" w:space="0" w:color="auto"/>
              <w:right w:val="single" w:sz="12" w:space="0" w:color="auto"/>
            </w:tcBorders>
            <w:vAlign w:val="center"/>
          </w:tcPr>
          <w:p w14:paraId="2A1FA30B" w14:textId="77777777" w:rsidR="00C86F1F" w:rsidRPr="00DF1D9D" w:rsidRDefault="00C86F1F" w:rsidP="007B5326">
            <w:pPr>
              <w:spacing w:line="240" w:lineRule="auto"/>
              <w:jc w:val="center"/>
              <w:cnfStyle w:val="000000000000" w:firstRow="0" w:lastRow="0" w:firstColumn="0" w:lastColumn="0" w:oddVBand="0" w:evenVBand="0" w:oddHBand="0" w:evenHBand="0" w:firstRowFirstColumn="0" w:firstRowLastColumn="0" w:lastRowFirstColumn="0" w:lastRowLastColumn="0"/>
              <w:rPr>
                <w:sz w:val="18"/>
                <w:szCs w:val="18"/>
              </w:rPr>
            </w:pPr>
            <w:r>
              <w:rPr>
                <w:rFonts w:hint="eastAsia"/>
                <w:sz w:val="18"/>
                <w:szCs w:val="18"/>
              </w:rPr>
              <w:t>J</w:t>
            </w:r>
            <w:r>
              <w:rPr>
                <w:sz w:val="18"/>
                <w:szCs w:val="18"/>
              </w:rPr>
              <w:t>FR</w:t>
            </w:r>
          </w:p>
        </w:tc>
        <w:tc>
          <w:tcPr>
            <w:tcW w:w="1134" w:type="dxa"/>
            <w:tcBorders>
              <w:left w:val="single" w:sz="12" w:space="0" w:color="auto"/>
            </w:tcBorders>
            <w:vAlign w:val="center"/>
          </w:tcPr>
          <w:p w14:paraId="1ABE9738" w14:textId="77777777" w:rsidR="00C86F1F" w:rsidRPr="00DF1D9D" w:rsidRDefault="00C86F1F" w:rsidP="007B5326">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等线"/>
                <w:sz w:val="18"/>
                <w:szCs w:val="18"/>
              </w:rPr>
            </w:pPr>
            <w:r w:rsidRPr="00DF1D9D">
              <w:rPr>
                <w:sz w:val="18"/>
                <w:szCs w:val="18"/>
              </w:rPr>
              <w:t>-73.31</w:t>
            </w:r>
          </w:p>
        </w:tc>
        <w:tc>
          <w:tcPr>
            <w:tcW w:w="993" w:type="dxa"/>
            <w:vAlign w:val="center"/>
          </w:tcPr>
          <w:p w14:paraId="1CBBF7FE" w14:textId="77777777" w:rsidR="00C86F1F" w:rsidRPr="00DF1D9D" w:rsidRDefault="00C86F1F" w:rsidP="007B5326">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等线"/>
                <w:sz w:val="18"/>
                <w:szCs w:val="18"/>
              </w:rPr>
            </w:pPr>
            <w:r w:rsidRPr="00DF1D9D">
              <w:rPr>
                <w:sz w:val="18"/>
                <w:szCs w:val="18"/>
              </w:rPr>
              <w:t>-32.81</w:t>
            </w:r>
          </w:p>
        </w:tc>
        <w:tc>
          <w:tcPr>
            <w:tcW w:w="1701" w:type="dxa"/>
            <w:vAlign w:val="center"/>
          </w:tcPr>
          <w:p w14:paraId="72258B09" w14:textId="77777777" w:rsidR="00C86F1F" w:rsidRPr="00DF1D9D" w:rsidRDefault="00C86F1F" w:rsidP="007B5326">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等线"/>
                <w:sz w:val="18"/>
                <w:szCs w:val="18"/>
              </w:rPr>
            </w:pPr>
            <w:r w:rsidRPr="00DF1D9D">
              <w:rPr>
                <w:sz w:val="18"/>
                <w:szCs w:val="18"/>
              </w:rPr>
              <w:t>Internal</w:t>
            </w:r>
          </w:p>
        </w:tc>
        <w:tc>
          <w:tcPr>
            <w:tcW w:w="1134" w:type="dxa"/>
            <w:tcBorders>
              <w:right w:val="single" w:sz="12" w:space="0" w:color="auto"/>
            </w:tcBorders>
            <w:vAlign w:val="center"/>
          </w:tcPr>
          <w:p w14:paraId="2553C837" w14:textId="349A44A9" w:rsidR="00C86F1F" w:rsidRPr="00C86F1F" w:rsidRDefault="00C86F1F" w:rsidP="007B5326">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等线"/>
                <w:sz w:val="18"/>
                <w:szCs w:val="18"/>
                <w:vertAlign w:val="superscript"/>
              </w:rPr>
            </w:pPr>
            <w:r w:rsidRPr="00C86F1F">
              <w:rPr>
                <w:rFonts w:eastAsia="等线"/>
                <w:sz w:val="18"/>
                <w:szCs w:val="18"/>
                <w:vertAlign w:val="superscript"/>
              </w:rPr>
              <w:fldChar w:fldCharType="begin"/>
            </w:r>
            <w:r w:rsidR="005438C1">
              <w:rPr>
                <w:rFonts w:eastAsia="等线"/>
                <w:sz w:val="18"/>
                <w:szCs w:val="18"/>
                <w:vertAlign w:val="superscript"/>
              </w:rPr>
              <w:instrText xml:space="preserve"> ADDIN ZOTERO_ITEM CSL_CITATION {"citationID":"xK7WPadw","properties":{"formattedCitation":"\\super 11\\nosupersub{}","plainCitation":"11","noteIndex":0},"citationItems":[{"id":2168,"uris":["http://zotero.org/users/4242308/items/Q9W8ZQM8"],"itemData":{"id":2168,"type":"article-journal","abstract":"Summary.  We present a new tomographic model of the mantle in the area of the 2010 M8.8 Maule earthquake and surrounding regions. Increased ray coverage provide","container-title":"Geophysical Journal International","DOI":"10.1111/j.1365-246X.2012.05624.x","ISSN":"0956-540X","issue":"1","journalAbbreviation":"Geophys J Int","language":"en","note":"publisher: Oxford Academic","page":"317-324","source":"academic.oup.com","title":"Mantle subducting slab structure in the region of the 2010 M8.8 Maule earthquake (30–40°S), Chile","volume":"191","author":[{"family":"Pesicek","given":"J. D."},{"family":"Engdahl","given":"E. R."},{"family":"Thurber","given":"C. H."},{"family":"DeShon","given":"H. R."},{"family":"Lange","given":"D."}],"issued":{"date-parts":[["2012",10,1]]}}}],"schema":"https://github.com/citation-style-language/schema/raw/master/csl-citation.json"} </w:instrText>
            </w:r>
            <w:r w:rsidRPr="00C86F1F">
              <w:rPr>
                <w:rFonts w:eastAsia="等线"/>
                <w:sz w:val="18"/>
                <w:szCs w:val="18"/>
                <w:vertAlign w:val="superscript"/>
              </w:rPr>
              <w:fldChar w:fldCharType="separate"/>
            </w:r>
            <w:r w:rsidR="005438C1" w:rsidRPr="005438C1">
              <w:rPr>
                <w:kern w:val="0"/>
                <w:sz w:val="18"/>
                <w:vertAlign w:val="superscript"/>
              </w:rPr>
              <w:t>11</w:t>
            </w:r>
            <w:r w:rsidRPr="00C86F1F">
              <w:rPr>
                <w:rFonts w:eastAsia="等线"/>
                <w:sz w:val="18"/>
                <w:szCs w:val="18"/>
                <w:vertAlign w:val="superscript"/>
              </w:rPr>
              <w:fldChar w:fldCharType="end"/>
            </w:r>
          </w:p>
        </w:tc>
      </w:tr>
      <w:tr w:rsidR="00C86F1F" w:rsidRPr="00DF1D9D" w14:paraId="057E67C3" w14:textId="77777777" w:rsidTr="009D1B0F">
        <w:trPr>
          <w:cnfStyle w:val="000000100000" w:firstRow="0" w:lastRow="0" w:firstColumn="0" w:lastColumn="0" w:oddVBand="0" w:evenVBand="0" w:oddHBand="1" w:evenHBand="0" w:firstRowFirstColumn="0" w:firstRowLastColumn="0" w:lastRowFirstColumn="0" w:lastRowLastColumn="0"/>
          <w:trHeight w:val="454"/>
        </w:trPr>
        <w:tc>
          <w:tcPr>
            <w:cnfStyle w:val="001000000000" w:firstRow="0" w:lastRow="0" w:firstColumn="1" w:lastColumn="0" w:oddVBand="0" w:evenVBand="0" w:oddHBand="0" w:evenHBand="0" w:firstRowFirstColumn="0" w:firstRowLastColumn="0" w:lastRowFirstColumn="0" w:lastRowLastColumn="0"/>
            <w:tcW w:w="2396" w:type="dxa"/>
            <w:tcBorders>
              <w:left w:val="single" w:sz="12" w:space="0" w:color="auto"/>
              <w:right w:val="single" w:sz="12" w:space="0" w:color="auto"/>
            </w:tcBorders>
            <w:vAlign w:val="center"/>
          </w:tcPr>
          <w:p w14:paraId="7117D658" w14:textId="77777777" w:rsidR="00C86F1F" w:rsidRPr="00DF1D9D" w:rsidRDefault="00C86F1F" w:rsidP="007B5326">
            <w:pPr>
              <w:spacing w:line="240" w:lineRule="auto"/>
              <w:jc w:val="center"/>
              <w:rPr>
                <w:i w:val="0"/>
                <w:iCs w:val="0"/>
                <w:sz w:val="18"/>
                <w:szCs w:val="18"/>
              </w:rPr>
            </w:pPr>
            <w:r w:rsidRPr="006C4D94">
              <w:rPr>
                <w:rFonts w:eastAsia="等线"/>
                <w:i w:val="0"/>
                <w:iCs w:val="0"/>
                <w:sz w:val="18"/>
                <w:szCs w:val="18"/>
              </w:rPr>
              <w:t>Kefalonia Transform Fault</w:t>
            </w:r>
          </w:p>
        </w:tc>
        <w:tc>
          <w:tcPr>
            <w:tcW w:w="1275" w:type="dxa"/>
            <w:tcBorders>
              <w:left w:val="single" w:sz="12" w:space="0" w:color="auto"/>
              <w:right w:val="single" w:sz="12" w:space="0" w:color="auto"/>
            </w:tcBorders>
            <w:vAlign w:val="center"/>
          </w:tcPr>
          <w:p w14:paraId="3A86D5BF" w14:textId="77777777" w:rsidR="00C86F1F" w:rsidRDefault="00C86F1F" w:rsidP="007B5326">
            <w:pPr>
              <w:spacing w:line="240" w:lineRule="auto"/>
              <w:jc w:val="center"/>
              <w:cnfStyle w:val="000000100000" w:firstRow="0" w:lastRow="0" w:firstColumn="0" w:lastColumn="0" w:oddVBand="0" w:evenVBand="0" w:oddHBand="1" w:evenHBand="0" w:firstRowFirstColumn="0" w:firstRowLastColumn="0" w:lastRowFirstColumn="0" w:lastRowLastColumn="0"/>
              <w:rPr>
                <w:sz w:val="18"/>
                <w:szCs w:val="18"/>
              </w:rPr>
            </w:pPr>
            <w:r>
              <w:rPr>
                <w:sz w:val="18"/>
                <w:szCs w:val="18"/>
              </w:rPr>
              <w:t>KTF</w:t>
            </w:r>
          </w:p>
        </w:tc>
        <w:tc>
          <w:tcPr>
            <w:tcW w:w="1134" w:type="dxa"/>
            <w:tcBorders>
              <w:left w:val="single" w:sz="12" w:space="0" w:color="auto"/>
            </w:tcBorders>
            <w:vAlign w:val="center"/>
          </w:tcPr>
          <w:p w14:paraId="61C2C9E4" w14:textId="77777777" w:rsidR="00C86F1F" w:rsidRPr="00DF1D9D" w:rsidRDefault="00C86F1F" w:rsidP="007B5326">
            <w:pPr>
              <w:spacing w:line="240" w:lineRule="auto"/>
              <w:jc w:val="center"/>
              <w:cnfStyle w:val="000000100000" w:firstRow="0" w:lastRow="0" w:firstColumn="0" w:lastColumn="0" w:oddVBand="0" w:evenVBand="0" w:oddHBand="1" w:evenHBand="0" w:firstRowFirstColumn="0" w:firstRowLastColumn="0" w:lastRowFirstColumn="0" w:lastRowLastColumn="0"/>
              <w:rPr>
                <w:sz w:val="18"/>
                <w:szCs w:val="18"/>
              </w:rPr>
            </w:pPr>
            <w:r w:rsidRPr="00DF1D9D">
              <w:rPr>
                <w:sz w:val="18"/>
                <w:szCs w:val="18"/>
              </w:rPr>
              <w:t>20.34</w:t>
            </w:r>
          </w:p>
        </w:tc>
        <w:tc>
          <w:tcPr>
            <w:tcW w:w="993" w:type="dxa"/>
            <w:vAlign w:val="center"/>
          </w:tcPr>
          <w:p w14:paraId="08C810F0" w14:textId="77777777" w:rsidR="00C86F1F" w:rsidRPr="00DF1D9D" w:rsidRDefault="00C86F1F" w:rsidP="007B5326">
            <w:pPr>
              <w:spacing w:line="240" w:lineRule="auto"/>
              <w:jc w:val="center"/>
              <w:cnfStyle w:val="000000100000" w:firstRow="0" w:lastRow="0" w:firstColumn="0" w:lastColumn="0" w:oddVBand="0" w:evenVBand="0" w:oddHBand="1" w:evenHBand="0" w:firstRowFirstColumn="0" w:firstRowLastColumn="0" w:lastRowFirstColumn="0" w:lastRowLastColumn="0"/>
              <w:rPr>
                <w:sz w:val="18"/>
                <w:szCs w:val="18"/>
              </w:rPr>
            </w:pPr>
            <w:r w:rsidRPr="00DF1D9D">
              <w:rPr>
                <w:sz w:val="18"/>
                <w:szCs w:val="18"/>
              </w:rPr>
              <w:t>38.35</w:t>
            </w:r>
          </w:p>
        </w:tc>
        <w:tc>
          <w:tcPr>
            <w:tcW w:w="1701" w:type="dxa"/>
            <w:vAlign w:val="center"/>
          </w:tcPr>
          <w:p w14:paraId="7E3E8A3F" w14:textId="77777777" w:rsidR="00C86F1F" w:rsidRPr="00DF1D9D" w:rsidRDefault="00C86F1F" w:rsidP="007B5326">
            <w:pPr>
              <w:spacing w:line="240" w:lineRule="auto"/>
              <w:jc w:val="center"/>
              <w:cnfStyle w:val="000000100000" w:firstRow="0" w:lastRow="0" w:firstColumn="0" w:lastColumn="0" w:oddVBand="0" w:evenVBand="0" w:oddHBand="1" w:evenHBand="0" w:firstRowFirstColumn="0" w:firstRowLastColumn="0" w:lastRowFirstColumn="0" w:lastRowLastColumn="0"/>
              <w:rPr>
                <w:sz w:val="18"/>
                <w:szCs w:val="18"/>
              </w:rPr>
            </w:pPr>
            <w:r w:rsidRPr="00DF1D9D">
              <w:rPr>
                <w:sz w:val="18"/>
                <w:szCs w:val="18"/>
              </w:rPr>
              <w:t>Internal</w:t>
            </w:r>
          </w:p>
        </w:tc>
        <w:tc>
          <w:tcPr>
            <w:tcW w:w="1134" w:type="dxa"/>
            <w:tcBorders>
              <w:right w:val="single" w:sz="12" w:space="0" w:color="auto"/>
            </w:tcBorders>
            <w:vAlign w:val="center"/>
          </w:tcPr>
          <w:p w14:paraId="404A8288" w14:textId="4313C67E" w:rsidR="00C86F1F" w:rsidRPr="00C86F1F" w:rsidRDefault="00C86F1F" w:rsidP="007B5326">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等线"/>
                <w:sz w:val="18"/>
                <w:szCs w:val="18"/>
                <w:vertAlign w:val="superscript"/>
              </w:rPr>
            </w:pPr>
            <w:r w:rsidRPr="00C86F1F">
              <w:rPr>
                <w:rFonts w:eastAsia="等线"/>
                <w:sz w:val="18"/>
                <w:szCs w:val="18"/>
                <w:vertAlign w:val="superscript"/>
              </w:rPr>
              <w:fldChar w:fldCharType="begin"/>
            </w:r>
            <w:r w:rsidR="005438C1">
              <w:rPr>
                <w:rFonts w:eastAsia="等线"/>
                <w:sz w:val="18"/>
                <w:szCs w:val="18"/>
                <w:vertAlign w:val="superscript"/>
              </w:rPr>
              <w:instrText xml:space="preserve"> ADDIN ZOTERO_ITEM CSL_CITATION {"citationID":"WtoxRLUg","properties":{"formattedCitation":"\\super 9,12\\nosupersub{}","plainCitation":"9,12","noteIndex":0},"citationItems":[{"id":2738,"uris":["http://zotero.org/users/4242308/items/AYVYKL95"],"itemData":{"id":2738,"type":"article-journal","abstract":"The active Hellenic subduction system has long been considered an ideal setting for studying subduction dynamics because it is easily accessible and of limited spatial extent. It has been the focus of numerous seismological studies over the last few decades but, nonetheless, the detailed structure of both the slab and the surrounding mantle remain poorly constrained in an intermediate depth range from 30 to 150 km. The objective of this paper is to fill this gap. The intermediate depth regime is of particular interest because it is pivotal for improving our understanding of the dynamic interaction between subducting lithosphere and the surrounding mantle. An interdisciplinary effort aimed at addressing this challenge is currently undertaken by the ‘Multidisciplinary Experiments for Dynamic Understanding of Subduction under the Aegean Sea’ (MEDUSA) project. As part of the MEDUSA initiative, a temporary array consisting of 40 densely spaced broad-band seismometers from the IRIS-PASSCAL pool has been deployed in southern Greece. We process the teleseismic data recorded by this array with a migration algorithm based on the generalized radon transform to obtain high-resolution images of the subduction zone in 2-D. The images reveal a sharp Mohorovičić discontinuity (Moho) at depths ranging from 30 km beneath the western margin of the Aegean Sea to 40 km beneath the central Peloponnesus, where it outlines the crustal root of the Hellenides. To the west of the Hellenides, the continental Moho is not identified, but we interpret a pronounced discontinuity imaged at </w:instrText>
            </w:r>
            <w:r w:rsidR="005438C1">
              <w:rPr>
                <w:rFonts w:ascii="Cambria Math" w:eastAsia="等线" w:hAnsi="Cambria Math" w:cs="Cambria Math"/>
                <w:sz w:val="18"/>
                <w:szCs w:val="18"/>
                <w:vertAlign w:val="superscript"/>
              </w:rPr>
              <w:instrText>∼</w:instrText>
            </w:r>
            <w:r w:rsidR="005438C1">
              <w:rPr>
                <w:rFonts w:eastAsia="等线"/>
                <w:sz w:val="18"/>
                <w:szCs w:val="18"/>
                <w:vertAlign w:val="superscript"/>
              </w:rPr>
              <w:instrText xml:space="preserve">20 km depth as the contact between low-velocity sediments and high-velocity crystalline basement. The images also show the subducted oceanic crust as a low-velocity layer that plunges at a constant angle of 21° from west to east. The oceanic crust exhibits low velocities to at least 90 km depth, indicating that the bulk of fluid transfer from the subducted slab into the mantle wedge occurs below this depth. A detailed comparison of images constructed for distinct backazimuthal illuminations reveals deviations in the geometry of the subducted slab. These deviations are attributed to structural and/or compositional changes taking place directly to the north of the MEDUSA array, and are consistent with the existence of a slab tear beneath the Central Hellenic Shear Zone.","container-title":"Geophysical Journal International","DOI":"10.1111/j.1365-246X.2009.04170.x","ISSN":"0956-540X","issue":"2","journalAbbreviation":"Geophysical Journal International","page":"775-791","source":"Silverchair","title":"High-resolution seismic imaging of the western Hellenic subduction zone using teleseismic scattered waves","volume":"178","author":[{"family":"Suckale","given":"J."},{"family":"Rondenay","given":"S."},{"family":"Sachpazi","given":"M."},{"family":"Charalampakis","given":"M."},{"family":"Hosa","given":"A."},{"family":"Royden","given":"L. H."}],"issued":{"date-parts":[["2009",8,1]]}}},{"id":2098,"uris":["http://zotero.org/users/4242308/items/M2EF67VD"],"itemData":{"id":2098,"type":"article-journal","abstract":"Vertical edges along subducted slabs have been recognized in the majority of subduction zones. Surprisingly, slab edges evolved into Subduction-Transform-Edge-Propagator (STEP) faults in only a few regions; the conditions under which STEPs form are special. It is relevant to constrain the conditions that facilitate STEP fault initiation because they leave a clear geological footprint in the overriding plate, whereas vertical tears generally do not. We therefore study a candidate region for STEP fault initiation in the western Hellenic Subduction Zone. We investigate the structure and seismicity of the shallow western Hellenic Subduction Zone using a recent full-waveform inversion model which both captures details of crustal and upper-mantle structure, yielding constraints in the depth interval from 10 to 200 km where lithosphere-mantle interactions have tectonic expressions. The western end of the Hellenic Subduction Zone is fragmented near the Kefalonia Transform Fault. We identify a separate Epirus lithospheric fragment that is roughly vertical below the southern Albanides. We also identify a new and major contrast within the lithospheric mantle of the Ionian ocean basin, which aligns with a gradient in free-air anomalies. In the overriding plate, the Kefalonia Transform Fault zone accommodates right lateral strike-slip deformation. We interpret this fault zone as a proto-STEP fault that formed simultaneously with Pliocene fragmentation of the Epirus fragment. Comparing the recent evolution of the NW Hellenic slab edge with currently active STEPs indicates that along-trench variations in convergence velocity are a prerequisite for STEP fault initiation. Such velocity variations may result from subduction of continental crust along part of the trench. Resistance to sea ward tear propagation by a mechanically strong subducting plate may prevent variations in convergence velocity to occur, and thus STEP fault initiation. The amount of time over which a velocity contrast persists will also be relevant for STEP fault initiation. Mechanical coupling between upper- and lower-plate, and the deformability of the upper-plate appear to also play a role in the initiation of the STEP fault once a slab is fragmented.","container-title":"Tectonophysics","DOI":"10.1016/j.tecto.2020.228471","ISSN":"0040-1951","journalAbbreviation":"Tectonophysics","language":"en","page":"228471","source":"ScienceDirect","title":"The Kefalonia Transform Fault: A STEP fault in the making","title-short":"The Kefalonia Transform Fault","volume":"787","author":[{"family":"Özbakır","given":"Ali Değer"},{"family":"Govers","given":"Rob"},{"family":"Fichtner","given":"Andreas"}],"issued":{"date-parts":[["2020",7,20]]}}}],"schema":"https://github.com/citation-style-language/schema/raw/master/csl-citation.json"} </w:instrText>
            </w:r>
            <w:r w:rsidRPr="00C86F1F">
              <w:rPr>
                <w:rFonts w:eastAsia="等线"/>
                <w:sz w:val="18"/>
                <w:szCs w:val="18"/>
                <w:vertAlign w:val="superscript"/>
              </w:rPr>
              <w:fldChar w:fldCharType="separate"/>
            </w:r>
            <w:r w:rsidR="005438C1" w:rsidRPr="005438C1">
              <w:rPr>
                <w:kern w:val="0"/>
                <w:sz w:val="18"/>
                <w:vertAlign w:val="superscript"/>
              </w:rPr>
              <w:t>9,12</w:t>
            </w:r>
            <w:r w:rsidRPr="00C86F1F">
              <w:rPr>
                <w:rFonts w:eastAsia="等线"/>
                <w:sz w:val="18"/>
                <w:szCs w:val="18"/>
                <w:vertAlign w:val="superscript"/>
              </w:rPr>
              <w:fldChar w:fldCharType="end"/>
            </w:r>
          </w:p>
        </w:tc>
      </w:tr>
      <w:tr w:rsidR="00C86F1F" w:rsidRPr="00DF1D9D" w14:paraId="466AC2BD" w14:textId="77777777" w:rsidTr="009D1B0F">
        <w:trPr>
          <w:trHeight w:val="454"/>
        </w:trPr>
        <w:tc>
          <w:tcPr>
            <w:cnfStyle w:val="001000000000" w:firstRow="0" w:lastRow="0" w:firstColumn="1" w:lastColumn="0" w:oddVBand="0" w:evenVBand="0" w:oddHBand="0" w:evenHBand="0" w:firstRowFirstColumn="0" w:firstRowLastColumn="0" w:lastRowFirstColumn="0" w:lastRowLastColumn="0"/>
            <w:tcW w:w="2396" w:type="dxa"/>
            <w:tcBorders>
              <w:left w:val="single" w:sz="12" w:space="0" w:color="auto"/>
              <w:right w:val="single" w:sz="12" w:space="0" w:color="auto"/>
            </w:tcBorders>
            <w:vAlign w:val="center"/>
          </w:tcPr>
          <w:p w14:paraId="5D5F5AD6" w14:textId="77777777" w:rsidR="00C86F1F" w:rsidRPr="00DF1D9D" w:rsidRDefault="00C86F1F" w:rsidP="007B5326">
            <w:pPr>
              <w:spacing w:line="240" w:lineRule="auto"/>
              <w:jc w:val="center"/>
              <w:rPr>
                <w:rFonts w:eastAsia="等线"/>
                <w:i w:val="0"/>
                <w:iCs w:val="0"/>
                <w:sz w:val="18"/>
                <w:szCs w:val="18"/>
              </w:rPr>
            </w:pPr>
            <w:r w:rsidRPr="00DF1D9D">
              <w:rPr>
                <w:i w:val="0"/>
                <w:iCs w:val="0"/>
                <w:sz w:val="18"/>
                <w:szCs w:val="18"/>
              </w:rPr>
              <w:t>Manila</w:t>
            </w:r>
            <w:r>
              <w:rPr>
                <w:i w:val="0"/>
                <w:iCs w:val="0"/>
                <w:sz w:val="18"/>
                <w:szCs w:val="18"/>
              </w:rPr>
              <w:t xml:space="preserve"> Trench</w:t>
            </w:r>
          </w:p>
        </w:tc>
        <w:tc>
          <w:tcPr>
            <w:tcW w:w="1275" w:type="dxa"/>
            <w:tcBorders>
              <w:left w:val="single" w:sz="12" w:space="0" w:color="auto"/>
              <w:right w:val="single" w:sz="12" w:space="0" w:color="auto"/>
            </w:tcBorders>
            <w:vAlign w:val="center"/>
          </w:tcPr>
          <w:p w14:paraId="2E2CAA05" w14:textId="77777777" w:rsidR="00C86F1F" w:rsidRPr="00DF1D9D" w:rsidRDefault="00C86F1F" w:rsidP="007B5326">
            <w:pPr>
              <w:spacing w:line="240" w:lineRule="auto"/>
              <w:jc w:val="center"/>
              <w:cnfStyle w:val="000000000000" w:firstRow="0" w:lastRow="0" w:firstColumn="0" w:lastColumn="0" w:oddVBand="0" w:evenVBand="0" w:oddHBand="0" w:evenHBand="0" w:firstRowFirstColumn="0" w:firstRowLastColumn="0" w:lastRowFirstColumn="0" w:lastRowLastColumn="0"/>
              <w:rPr>
                <w:sz w:val="18"/>
                <w:szCs w:val="18"/>
              </w:rPr>
            </w:pPr>
            <w:r>
              <w:rPr>
                <w:rFonts w:hint="eastAsia"/>
                <w:sz w:val="18"/>
                <w:szCs w:val="18"/>
              </w:rPr>
              <w:t>M</w:t>
            </w:r>
            <w:r>
              <w:rPr>
                <w:sz w:val="18"/>
                <w:szCs w:val="18"/>
              </w:rPr>
              <w:t>T</w:t>
            </w:r>
          </w:p>
        </w:tc>
        <w:tc>
          <w:tcPr>
            <w:tcW w:w="1134" w:type="dxa"/>
            <w:tcBorders>
              <w:left w:val="single" w:sz="12" w:space="0" w:color="auto"/>
            </w:tcBorders>
            <w:vAlign w:val="center"/>
          </w:tcPr>
          <w:p w14:paraId="02835956" w14:textId="77777777" w:rsidR="00C86F1F" w:rsidRPr="00DF1D9D" w:rsidRDefault="00C86F1F" w:rsidP="007B5326">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等线"/>
                <w:sz w:val="18"/>
                <w:szCs w:val="18"/>
              </w:rPr>
            </w:pPr>
            <w:r w:rsidRPr="00DF1D9D">
              <w:rPr>
                <w:sz w:val="18"/>
                <w:szCs w:val="18"/>
              </w:rPr>
              <w:t>119.29</w:t>
            </w:r>
          </w:p>
        </w:tc>
        <w:tc>
          <w:tcPr>
            <w:tcW w:w="993" w:type="dxa"/>
            <w:vAlign w:val="center"/>
          </w:tcPr>
          <w:p w14:paraId="0406F1B7" w14:textId="77777777" w:rsidR="00C86F1F" w:rsidRPr="00DF1D9D" w:rsidRDefault="00C86F1F" w:rsidP="007B5326">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等线"/>
                <w:sz w:val="18"/>
                <w:szCs w:val="18"/>
              </w:rPr>
            </w:pPr>
            <w:r w:rsidRPr="00DF1D9D">
              <w:rPr>
                <w:sz w:val="18"/>
                <w:szCs w:val="18"/>
              </w:rPr>
              <w:t>15.83</w:t>
            </w:r>
          </w:p>
        </w:tc>
        <w:tc>
          <w:tcPr>
            <w:tcW w:w="1701" w:type="dxa"/>
            <w:vAlign w:val="center"/>
          </w:tcPr>
          <w:p w14:paraId="1973B92D" w14:textId="77777777" w:rsidR="00C86F1F" w:rsidRPr="00DF1D9D" w:rsidRDefault="00C86F1F" w:rsidP="007B5326">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等线"/>
                <w:sz w:val="18"/>
                <w:szCs w:val="18"/>
              </w:rPr>
            </w:pPr>
            <w:r w:rsidRPr="00DF1D9D">
              <w:rPr>
                <w:sz w:val="18"/>
                <w:szCs w:val="18"/>
              </w:rPr>
              <w:t>Internal</w:t>
            </w:r>
          </w:p>
        </w:tc>
        <w:tc>
          <w:tcPr>
            <w:tcW w:w="1134" w:type="dxa"/>
            <w:tcBorders>
              <w:right w:val="single" w:sz="12" w:space="0" w:color="auto"/>
            </w:tcBorders>
            <w:vAlign w:val="center"/>
          </w:tcPr>
          <w:p w14:paraId="0793A698" w14:textId="5DC89425" w:rsidR="00C86F1F" w:rsidRPr="00C86F1F" w:rsidRDefault="00C86F1F" w:rsidP="007B5326">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等线"/>
                <w:sz w:val="18"/>
                <w:szCs w:val="18"/>
                <w:vertAlign w:val="superscript"/>
              </w:rPr>
            </w:pPr>
            <w:r w:rsidRPr="00C86F1F">
              <w:rPr>
                <w:rFonts w:eastAsia="等线"/>
                <w:sz w:val="18"/>
                <w:szCs w:val="18"/>
                <w:vertAlign w:val="superscript"/>
              </w:rPr>
              <w:fldChar w:fldCharType="begin"/>
            </w:r>
            <w:r w:rsidR="005438C1">
              <w:rPr>
                <w:rFonts w:eastAsia="等线"/>
                <w:sz w:val="18"/>
                <w:szCs w:val="18"/>
                <w:vertAlign w:val="superscript"/>
              </w:rPr>
              <w:instrText xml:space="preserve"> ADDIN ZOTERO_ITEM CSL_CITATION {"citationID":"5ngH0y2l","properties":{"formattedCitation":"\\super 13\\nosupersub{}","plainCitation":"13","noteIndex":0},"citationItems":[{"id":1817,"uris":["http://zotero.org/users/4242308/items/CD2J5I5W"],"itemData":{"id":1817,"type":"article-journal","abstract":"A tomographic travel-time inversion has been applied to trace the subducted slab of the South China Sea (SCS) beneath the Manila Trench. The dataset, taken from the International Seismological Centre (1960–2008), is composed of 13,087 P-wave arrival times from 1401 regional earthquakes and 8834 from 1350 teleseismic events. The results image the different morphology of the subducted SCS slab as a high-velocity zone. The subducting angle of the slab varies along the trench: at 16° N and 16.5° N, the slab dips at a low angle (24° 32°) for 20–250 km depth and at a moderate angle (50°) for 250–400 km depth. At 17° N, the slab dips at a low angle (32°) to near 400 km depth, and at 17.5° N and 18° N the slabs are near vertical from 70 700 km depth, while at 20° N the high-velocity anomalies exhibit features from horizontal abruptly to near vertical, extending to 500 km depth. The dramatic steepening of the slab between 17° N and 17.5° N may indicate a slab tear, which is coincident with the axis of a fossil ridge within the SCS slab at around 17° N. In addition, low-velocity zones in the three profiles above 300 km depth may represent the formation of the slab window, induced by ridge subduction and slab tear, initiating upward mantle flow and resulting in the partial melting of the edge of the slab. The slab tear could explain the volcanic gap and geochemical difference between the extinct Miocene and Quaternary volcanoes in the Luzon Arc, the much higher heat flow around the fossil ridge, and the distribution of most of the adakites and the related porphyry Cu-Au deposits in the Luzon area. Based on the geometry and morphology of the subducted slab and certain assumptions, we calculate the initial time of ridge subduction, which implies that ridge subduction and slab tear possibly started at 8 Ma.","container-title":"International Geology Review","DOI":"10.1080/00206814.2014.929054","ISSN":"0020-6814","issue":"5-8","note":"publisher: Taylor &amp; Francis\n_eprint: https://doi.org/10.1080/00206814.2014.929054","page":"998-1013","source":"Taylor and Francis+NEJM","title":"Tomographic evidence for a slab tear induced by fossil ridge subduction at Manila Trench, South China Sea","volume":"57","author":[{"family":"Fan","given":"Jian-ke"},{"family":"Wu","given":"Shi-guo"},{"family":"Spence","given":"George"}],"issued":{"date-parts":[["2015",6,11]]}}}],"schema":"https://github.com/citation-style-language/schema/raw/master/csl-citation.json"} </w:instrText>
            </w:r>
            <w:r w:rsidRPr="00C86F1F">
              <w:rPr>
                <w:rFonts w:eastAsia="等线"/>
                <w:sz w:val="18"/>
                <w:szCs w:val="18"/>
                <w:vertAlign w:val="superscript"/>
              </w:rPr>
              <w:fldChar w:fldCharType="separate"/>
            </w:r>
            <w:r w:rsidR="005438C1" w:rsidRPr="005438C1">
              <w:rPr>
                <w:kern w:val="0"/>
                <w:sz w:val="18"/>
                <w:vertAlign w:val="superscript"/>
              </w:rPr>
              <w:t>13</w:t>
            </w:r>
            <w:r w:rsidRPr="00C86F1F">
              <w:rPr>
                <w:rFonts w:eastAsia="等线"/>
                <w:sz w:val="18"/>
                <w:szCs w:val="18"/>
                <w:vertAlign w:val="superscript"/>
              </w:rPr>
              <w:fldChar w:fldCharType="end"/>
            </w:r>
          </w:p>
        </w:tc>
      </w:tr>
      <w:tr w:rsidR="00C86F1F" w:rsidRPr="00DF1D9D" w14:paraId="07C2D048" w14:textId="77777777" w:rsidTr="009D1B0F">
        <w:trPr>
          <w:cnfStyle w:val="000000100000" w:firstRow="0" w:lastRow="0" w:firstColumn="0" w:lastColumn="0" w:oddVBand="0" w:evenVBand="0" w:oddHBand="1" w:evenHBand="0" w:firstRowFirstColumn="0" w:firstRowLastColumn="0" w:lastRowFirstColumn="0" w:lastRowLastColumn="0"/>
          <w:trHeight w:val="454"/>
        </w:trPr>
        <w:tc>
          <w:tcPr>
            <w:cnfStyle w:val="001000000000" w:firstRow="0" w:lastRow="0" w:firstColumn="1" w:lastColumn="0" w:oddVBand="0" w:evenVBand="0" w:oddHBand="0" w:evenHBand="0" w:firstRowFirstColumn="0" w:firstRowLastColumn="0" w:lastRowFirstColumn="0" w:lastRowLastColumn="0"/>
            <w:tcW w:w="2396" w:type="dxa"/>
            <w:tcBorders>
              <w:left w:val="single" w:sz="12" w:space="0" w:color="auto"/>
              <w:right w:val="single" w:sz="12" w:space="0" w:color="auto"/>
            </w:tcBorders>
            <w:vAlign w:val="center"/>
          </w:tcPr>
          <w:p w14:paraId="08BDA09F" w14:textId="77777777" w:rsidR="00C86F1F" w:rsidRPr="00DF1D9D" w:rsidRDefault="00C86F1F" w:rsidP="007B5326">
            <w:pPr>
              <w:spacing w:line="240" w:lineRule="auto"/>
              <w:jc w:val="center"/>
              <w:rPr>
                <w:rFonts w:eastAsia="等线"/>
                <w:i w:val="0"/>
                <w:iCs w:val="0"/>
                <w:sz w:val="18"/>
                <w:szCs w:val="18"/>
              </w:rPr>
            </w:pPr>
            <w:r w:rsidRPr="00DF1D9D">
              <w:rPr>
                <w:i w:val="0"/>
                <w:iCs w:val="0"/>
                <w:sz w:val="18"/>
                <w:szCs w:val="18"/>
              </w:rPr>
              <w:t>Munger-Saharsa Ridge</w:t>
            </w:r>
          </w:p>
        </w:tc>
        <w:tc>
          <w:tcPr>
            <w:tcW w:w="1275" w:type="dxa"/>
            <w:tcBorders>
              <w:left w:val="single" w:sz="12" w:space="0" w:color="auto"/>
              <w:right w:val="single" w:sz="12" w:space="0" w:color="auto"/>
            </w:tcBorders>
            <w:vAlign w:val="center"/>
          </w:tcPr>
          <w:p w14:paraId="6DC7A85C" w14:textId="77777777" w:rsidR="00C86F1F" w:rsidRPr="00DF1D9D" w:rsidRDefault="00C86F1F" w:rsidP="007B5326">
            <w:pPr>
              <w:spacing w:line="240" w:lineRule="auto"/>
              <w:jc w:val="center"/>
              <w:cnfStyle w:val="000000100000" w:firstRow="0" w:lastRow="0" w:firstColumn="0" w:lastColumn="0" w:oddVBand="0" w:evenVBand="0" w:oddHBand="1" w:evenHBand="0" w:firstRowFirstColumn="0" w:firstRowLastColumn="0" w:lastRowFirstColumn="0" w:lastRowLastColumn="0"/>
              <w:rPr>
                <w:sz w:val="18"/>
                <w:szCs w:val="18"/>
              </w:rPr>
            </w:pPr>
            <w:r>
              <w:rPr>
                <w:sz w:val="18"/>
                <w:szCs w:val="18"/>
              </w:rPr>
              <w:t>MSR</w:t>
            </w:r>
          </w:p>
        </w:tc>
        <w:tc>
          <w:tcPr>
            <w:tcW w:w="1134" w:type="dxa"/>
            <w:tcBorders>
              <w:left w:val="single" w:sz="12" w:space="0" w:color="auto"/>
            </w:tcBorders>
            <w:vAlign w:val="center"/>
          </w:tcPr>
          <w:p w14:paraId="1F92BEE5" w14:textId="77777777" w:rsidR="00C86F1F" w:rsidRPr="00DF1D9D" w:rsidRDefault="00C86F1F" w:rsidP="007B5326">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等线"/>
                <w:sz w:val="18"/>
                <w:szCs w:val="18"/>
              </w:rPr>
            </w:pPr>
            <w:r w:rsidRPr="00DF1D9D">
              <w:rPr>
                <w:sz w:val="18"/>
                <w:szCs w:val="18"/>
              </w:rPr>
              <w:t>87.5</w:t>
            </w:r>
          </w:p>
        </w:tc>
        <w:tc>
          <w:tcPr>
            <w:tcW w:w="993" w:type="dxa"/>
            <w:vAlign w:val="center"/>
          </w:tcPr>
          <w:p w14:paraId="5BB21934" w14:textId="77777777" w:rsidR="00C86F1F" w:rsidRPr="00DF1D9D" w:rsidRDefault="00C86F1F" w:rsidP="007B5326">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等线"/>
                <w:sz w:val="18"/>
                <w:szCs w:val="18"/>
              </w:rPr>
            </w:pPr>
            <w:r w:rsidRPr="00DF1D9D">
              <w:rPr>
                <w:sz w:val="18"/>
                <w:szCs w:val="18"/>
              </w:rPr>
              <w:t>27</w:t>
            </w:r>
          </w:p>
        </w:tc>
        <w:tc>
          <w:tcPr>
            <w:tcW w:w="1701" w:type="dxa"/>
            <w:vAlign w:val="center"/>
          </w:tcPr>
          <w:p w14:paraId="5A7DBAB4" w14:textId="77777777" w:rsidR="00C86F1F" w:rsidRPr="00DF1D9D" w:rsidRDefault="00C86F1F" w:rsidP="007B5326">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等线"/>
                <w:sz w:val="18"/>
                <w:szCs w:val="18"/>
              </w:rPr>
            </w:pPr>
            <w:r w:rsidRPr="00DF1D9D">
              <w:rPr>
                <w:sz w:val="18"/>
                <w:szCs w:val="18"/>
              </w:rPr>
              <w:t>Internal</w:t>
            </w:r>
          </w:p>
        </w:tc>
        <w:tc>
          <w:tcPr>
            <w:tcW w:w="1134" w:type="dxa"/>
            <w:tcBorders>
              <w:right w:val="single" w:sz="12" w:space="0" w:color="auto"/>
            </w:tcBorders>
            <w:vAlign w:val="center"/>
          </w:tcPr>
          <w:p w14:paraId="24706AED" w14:textId="3F2290F9" w:rsidR="00C86F1F" w:rsidRPr="00C86F1F" w:rsidRDefault="00C86F1F" w:rsidP="007B5326">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等线"/>
                <w:sz w:val="18"/>
                <w:szCs w:val="18"/>
                <w:vertAlign w:val="superscript"/>
              </w:rPr>
            </w:pPr>
            <w:r w:rsidRPr="00C86F1F">
              <w:rPr>
                <w:rFonts w:eastAsia="等线"/>
                <w:sz w:val="18"/>
                <w:szCs w:val="18"/>
                <w:vertAlign w:val="superscript"/>
              </w:rPr>
              <w:fldChar w:fldCharType="begin"/>
            </w:r>
            <w:r w:rsidR="005438C1">
              <w:rPr>
                <w:rFonts w:eastAsia="等线"/>
                <w:sz w:val="18"/>
                <w:szCs w:val="18"/>
                <w:vertAlign w:val="superscript"/>
              </w:rPr>
              <w:instrText xml:space="preserve"> ADDIN ZOTERO_ITEM CSL_CITATION {"citationID":"z5KhbLCl","properties":{"formattedCitation":"\\super 7,8\\nosupersub{}","plainCitation":"7,8","noteIndex":0},"citationItems":[{"id":1666,"uris":["http://zotero.org/users/4242308/items/5WX8653P"],"itemData":{"id":1666,"type":"article-journal","abstract":"The Himalaya is the result of the on-going convergence and collision of India and Asia. The internal conﬁguration and processes that govern the rise of the Himalayan Mountains and Tibetan Plateau are crucial to understand continental collision zones. However, knowledge of the prior conﬁguration of the colliding plates is equally important, since inherited (pre-orogenic/basement) structures can undeniably inﬂuence the development of the orogenic architecture throughout the orogen’s cycle of collision and eventual collapse. Three northeasttrending palaeotopographic ridges of faulted Precambrian Indian basement underlie the Ganga basin south of the Himalaya. Our paper illustrates a crustal-scale fault origin for these ridges and succeeds in determining how far north beneath the Himalayan system they extend and how they ultimately govern the location of upper crustal faults in southern Tibet. Spectrally ﬁltered EGM2008 Bouguer gravity data and edges in its horizontal gradient at different source depths (‘gravity worms’) over northern Peninsular India, the Himalaya and southern Tibet reveal several continuous Himalayan cross-strike discontinuities interpreted to represent crustal faults. Gravity lineaments in Peninsular India coincide with edges of the Precambrian basement ridges and megakinks up to 100 km wide develop in foreland cover sequences between the interpreted basement faults. The interpreted basement faults project northward beneath the Himalayan system and southern Tibet. Our results suggest that several active Himalayan cross-strike faults, such as the ones related to many graben in southern Tibet, are rooted in the underplated Indian lower crust or step en e´chelon along interpreted basement faults. Our interpretation thus suggests that south Tibet graben are spatially related to deep-seated crustalscale faults rooted in the underplated Indian crust. These major discontinuities partition the Himalayan range into distinct zones, and could ultimately contribute to lateral variability in tectonic evolution along the orogen’s strike.","container-title":"Geophysical Journal International","DOI":"10.1093/gji/ggu131","ISSN":"0956-540X, 1365-246X","issue":"1","language":"en","page":"198-215","source":"DOI.org (Crossref)","title":"Tracking basement cross-strike discontinuities in the Indian crust beneath the Himalayan orogen using gravity data – relationship to upper crustal faults","volume":"198","author":[{"family":"Godin","given":"Laurent"},{"family":"Harris","given":"Lyal B."}],"issued":{"date-parts":[["2014",7,1]]}}},{"id":2137,"uris":["http://zotero.org/users/4242308/items/5QB96FLH"],"itemData":{"id":2137,"type":"article-journal","abstract":"Unlike the other Himalayan plate boundary segments, the eastern Nepal to Bhutan Himalayan region is not known to have generated prominent shallow thrust faulting earthquakes, typical of the ongoing convergence. This region features strike-slip earthquakes over the depth ranges of 40–120 km, indicating intraslab deformation. Here we present for the first time a slip distribution model for the largest recorded intraslab strike-slip earthquake in this region, the Mw 6.9 Sikkim event that occurred on 18 September 2011. Relying on kinematic source process modeling, our results indicate a NE-SW trending, steeply dipping sinistral source zone within the underthrusting Indian slab. The rupture propagated radially, with a low rupture velocity of 1.7 km/s, breaking a large asperity of 20 × 20 km2 with a maximum slip of 1.6 m. The rupture nucleated at a depth of 45 km and reached upper mantle depths. The computed coseismic stress drop value is 13.6 MPa. We suggest that most of the aftershocks occurred on the conjugate plane, possibly due to stress triggering. Stress inversion of focal mechanisms indicates a transpressive stress regime throughout the crust and pure strike-slip regime in the upper mantle. We observed a unimodal distribution of earthquakes beneath the Higher Himalaya. This indicates a strong, brittle Indian slab and unravels a scenario of an eventual breakup of the lithosphere; the key trigger might be variation in the convergence rates along the Himalayan arc.","container-title":"Journal of Geophysical Research: Solid Earth","DOI":"10.1029/2018JB015931","ISSN":"2169-9356","issue":"3","language":"en","note":"_eprint: https://agupubs.onlinelibrary.wiley.com/doi/pdf/10.1029/2018JB015931","page":"2623-2637","source":"Wiley Online Library","title":"Rupture of the Indian Slab in the 2011 Mw 6.9 Sikkim Himalaya Earthquake and Its Tectonic Implications","volume":"124","author":[{"family":"Sunilkumar","given":"T. C."},{"family":"Earnest","given":"Anil"},{"family":"Silpa","given":"K."},{"family":"Andrews","given":"Ronia"}],"issued":{"date-parts":[["2019"]]}}}],"schema":"https://github.com/citation-style-language/schema/raw/master/csl-citation.json"} </w:instrText>
            </w:r>
            <w:r w:rsidRPr="00C86F1F">
              <w:rPr>
                <w:rFonts w:eastAsia="等线"/>
                <w:sz w:val="18"/>
                <w:szCs w:val="18"/>
                <w:vertAlign w:val="superscript"/>
              </w:rPr>
              <w:fldChar w:fldCharType="separate"/>
            </w:r>
            <w:r w:rsidR="005438C1" w:rsidRPr="005438C1">
              <w:rPr>
                <w:kern w:val="0"/>
                <w:sz w:val="18"/>
                <w:vertAlign w:val="superscript"/>
              </w:rPr>
              <w:t>7,8</w:t>
            </w:r>
            <w:r w:rsidRPr="00C86F1F">
              <w:rPr>
                <w:rFonts w:eastAsia="等线"/>
                <w:sz w:val="18"/>
                <w:szCs w:val="18"/>
                <w:vertAlign w:val="superscript"/>
              </w:rPr>
              <w:fldChar w:fldCharType="end"/>
            </w:r>
          </w:p>
        </w:tc>
      </w:tr>
      <w:tr w:rsidR="00C86F1F" w:rsidRPr="00DF1D9D" w14:paraId="403E4F09" w14:textId="77777777" w:rsidTr="009D1B0F">
        <w:trPr>
          <w:trHeight w:val="454"/>
        </w:trPr>
        <w:tc>
          <w:tcPr>
            <w:cnfStyle w:val="001000000000" w:firstRow="0" w:lastRow="0" w:firstColumn="1" w:lastColumn="0" w:oddVBand="0" w:evenVBand="0" w:oddHBand="0" w:evenHBand="0" w:firstRowFirstColumn="0" w:firstRowLastColumn="0" w:lastRowFirstColumn="0" w:lastRowLastColumn="0"/>
            <w:tcW w:w="2396" w:type="dxa"/>
            <w:tcBorders>
              <w:left w:val="single" w:sz="12" w:space="0" w:color="auto"/>
              <w:right w:val="single" w:sz="12" w:space="0" w:color="auto"/>
            </w:tcBorders>
            <w:vAlign w:val="center"/>
          </w:tcPr>
          <w:p w14:paraId="57BD06E3" w14:textId="77777777" w:rsidR="00C86F1F" w:rsidRPr="00DF1D9D" w:rsidRDefault="00C86F1F" w:rsidP="007B5326">
            <w:pPr>
              <w:spacing w:line="240" w:lineRule="auto"/>
              <w:jc w:val="center"/>
              <w:rPr>
                <w:rFonts w:eastAsia="等线"/>
                <w:i w:val="0"/>
                <w:iCs w:val="0"/>
                <w:sz w:val="18"/>
                <w:szCs w:val="18"/>
              </w:rPr>
            </w:pPr>
            <w:r w:rsidRPr="00DF1D9D">
              <w:rPr>
                <w:i w:val="0"/>
                <w:iCs w:val="0"/>
                <w:sz w:val="18"/>
                <w:szCs w:val="18"/>
              </w:rPr>
              <w:t>Nazca Ridge</w:t>
            </w:r>
          </w:p>
        </w:tc>
        <w:tc>
          <w:tcPr>
            <w:tcW w:w="1275" w:type="dxa"/>
            <w:tcBorders>
              <w:left w:val="single" w:sz="12" w:space="0" w:color="auto"/>
              <w:right w:val="single" w:sz="12" w:space="0" w:color="auto"/>
            </w:tcBorders>
            <w:vAlign w:val="center"/>
          </w:tcPr>
          <w:p w14:paraId="09BE1D2B" w14:textId="77777777" w:rsidR="00C86F1F" w:rsidRPr="00DF1D9D" w:rsidRDefault="00C86F1F" w:rsidP="007B5326">
            <w:pPr>
              <w:spacing w:line="240" w:lineRule="auto"/>
              <w:jc w:val="center"/>
              <w:cnfStyle w:val="000000000000" w:firstRow="0" w:lastRow="0" w:firstColumn="0" w:lastColumn="0" w:oddVBand="0" w:evenVBand="0" w:oddHBand="0" w:evenHBand="0" w:firstRowFirstColumn="0" w:firstRowLastColumn="0" w:lastRowFirstColumn="0" w:lastRowLastColumn="0"/>
              <w:rPr>
                <w:sz w:val="18"/>
                <w:szCs w:val="18"/>
              </w:rPr>
            </w:pPr>
            <w:r>
              <w:rPr>
                <w:rFonts w:hint="eastAsia"/>
                <w:sz w:val="18"/>
                <w:szCs w:val="18"/>
              </w:rPr>
              <w:t>N</w:t>
            </w:r>
            <w:r>
              <w:rPr>
                <w:sz w:val="18"/>
                <w:szCs w:val="18"/>
              </w:rPr>
              <w:t>R</w:t>
            </w:r>
          </w:p>
        </w:tc>
        <w:tc>
          <w:tcPr>
            <w:tcW w:w="1134" w:type="dxa"/>
            <w:tcBorders>
              <w:left w:val="single" w:sz="12" w:space="0" w:color="auto"/>
            </w:tcBorders>
            <w:vAlign w:val="center"/>
          </w:tcPr>
          <w:p w14:paraId="5D71A0E8" w14:textId="77777777" w:rsidR="00C86F1F" w:rsidRPr="00DF1D9D" w:rsidRDefault="00C86F1F" w:rsidP="007B5326">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等线"/>
                <w:sz w:val="18"/>
                <w:szCs w:val="18"/>
              </w:rPr>
            </w:pPr>
            <w:r w:rsidRPr="00DF1D9D">
              <w:rPr>
                <w:sz w:val="18"/>
                <w:szCs w:val="18"/>
              </w:rPr>
              <w:t>-77.31</w:t>
            </w:r>
          </w:p>
        </w:tc>
        <w:tc>
          <w:tcPr>
            <w:tcW w:w="993" w:type="dxa"/>
            <w:vAlign w:val="center"/>
          </w:tcPr>
          <w:p w14:paraId="6B36DD83" w14:textId="77777777" w:rsidR="00C86F1F" w:rsidRPr="00DF1D9D" w:rsidRDefault="00C86F1F" w:rsidP="007B5326">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等线"/>
                <w:sz w:val="18"/>
                <w:szCs w:val="18"/>
              </w:rPr>
            </w:pPr>
            <w:r w:rsidRPr="00DF1D9D">
              <w:rPr>
                <w:sz w:val="18"/>
                <w:szCs w:val="18"/>
              </w:rPr>
              <w:t>-14.82</w:t>
            </w:r>
          </w:p>
        </w:tc>
        <w:tc>
          <w:tcPr>
            <w:tcW w:w="1701" w:type="dxa"/>
            <w:vAlign w:val="center"/>
          </w:tcPr>
          <w:p w14:paraId="32DCE6BF" w14:textId="77777777" w:rsidR="00C86F1F" w:rsidRPr="00DF1D9D" w:rsidRDefault="00C86F1F" w:rsidP="007B5326">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等线"/>
                <w:sz w:val="18"/>
                <w:szCs w:val="18"/>
              </w:rPr>
            </w:pPr>
            <w:r w:rsidRPr="00DF1D9D">
              <w:rPr>
                <w:sz w:val="18"/>
                <w:szCs w:val="18"/>
              </w:rPr>
              <w:t>Internal</w:t>
            </w:r>
          </w:p>
        </w:tc>
        <w:tc>
          <w:tcPr>
            <w:tcW w:w="1134" w:type="dxa"/>
            <w:tcBorders>
              <w:right w:val="single" w:sz="12" w:space="0" w:color="auto"/>
            </w:tcBorders>
            <w:vAlign w:val="center"/>
          </w:tcPr>
          <w:p w14:paraId="5F8D067A" w14:textId="1822D3ED" w:rsidR="00C86F1F" w:rsidRPr="00C86F1F" w:rsidRDefault="00C86F1F" w:rsidP="007B5326">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等线"/>
                <w:sz w:val="18"/>
                <w:szCs w:val="18"/>
                <w:vertAlign w:val="superscript"/>
              </w:rPr>
            </w:pPr>
            <w:r w:rsidRPr="00C86F1F">
              <w:rPr>
                <w:rFonts w:eastAsia="等线"/>
                <w:sz w:val="18"/>
                <w:szCs w:val="18"/>
                <w:vertAlign w:val="superscript"/>
              </w:rPr>
              <w:fldChar w:fldCharType="begin"/>
            </w:r>
            <w:r w:rsidR="005438C1">
              <w:rPr>
                <w:rFonts w:eastAsia="等线"/>
                <w:sz w:val="18"/>
                <w:szCs w:val="18"/>
                <w:vertAlign w:val="superscript"/>
              </w:rPr>
              <w:instrText xml:space="preserve"> ADDIN ZOTERO_ITEM CSL_CITATION {"citationID":"y5BRSzJY","properties":{"formattedCitation":"\\super 14,15\\nosupersub{}","plainCitation":"14,15","noteIndex":0},"citationItems":[{"id":2749,"uris":["http://zotero.org/users/4242308/items/FKZKJCNZ"],"itemData":{"id":2749,"type":"article-journal","abstract":"Two arrays of broad-band seismic stations were deployed in the north central Andes between 8° and 21°S, the CAUGHT array over the normally subducting slab in northwestern Bolivia and southern Peru, and the PULSE array over the southern part of the Peruvian flat slab where the Nazca Ridge is subducting under South America. We apply finite frequency teleseismic P- and S-wave tomography to data from these arrays to investigate the subducting Nazca plate and the surrounding mantle in this region where the subduction angle changes from flat north of 14°S to normally dipping in the south. We present new constraints on the location and geometry of the Nazca slab under southern Peru and northwestern Bolivia from 95 to 660 km depth. Our tomographic images show that the Peruvian flat slab extends further inland than previously proposed along the projection of the Nazca Ridge. Once the slab re-steepens inboard of the flat slab region, the Nazca slab dips very steeply (</w:instrText>
            </w:r>
            <w:r w:rsidR="005438C1">
              <w:rPr>
                <w:rFonts w:ascii="Cambria Math" w:eastAsia="等线" w:hAnsi="Cambria Math" w:cs="Cambria Math"/>
                <w:sz w:val="18"/>
                <w:szCs w:val="18"/>
                <w:vertAlign w:val="superscript"/>
              </w:rPr>
              <w:instrText>∼</w:instrText>
            </w:r>
            <w:r w:rsidR="005438C1">
              <w:rPr>
                <w:rFonts w:eastAsia="等线"/>
                <w:sz w:val="18"/>
                <w:szCs w:val="18"/>
                <w:vertAlign w:val="superscript"/>
              </w:rPr>
              <w:instrText xml:space="preserve">70°) from about 150 km depth to 410 km depth. Below this the slab thickens and deforms in the mantle transition zone. We tentatively propose a ridge-parallel slab tear along the north edge of the Nazca Ridge between 130 and 350 km depth based on the offset between the slab anomaly north of the ridge and the location of the re-steepened Nazca slab inboard of the flat slab region, although additional work is needed to confirm the existence of this feature. The subslab mantle directly below the inboard projection of the Nazca Ridge is characterized by a prominent low-velocity anomaly. South of the Peruvian flat slab, fast anomalies are imaged in an area confined to the Eastern Cordillera and bounded to the east by well-resolved low-velocity anomalies. These low-velocity anomalies at depths greater than 100 km suggest that thick mantle lithosphere associated with underthrusting of cratonic crust from the east is not present. In northwestern Bolivia a vertically elongated fast anomaly under the Subandean Zone is interpreted as a block of delaminating lithosphere.","container-title":"Geophysical Journal International","DOI":"10.1093/gji/ggv452","ISSN":"0956-540X","issue":"1","journalAbbreviation":"Geophysical Journal International","page":"457-479","source":"Silverchair","title":"Imaging the transition from flat to normal subduction: variations in the structure of the Nazca slab and upper mantle under southern Peru and northwestern Bolivia","title-short":"Imaging the transition from flat to normal subduction","volume":"204","author":[{"family":"Scire","given":"Alissa"},{"family":"Zandt","given":"George"},{"family":"Beck","given":"Susan"},{"family":"Long","given":"Maureen"},{"family":"Wagner","given":"Lara"},{"family":"Minaya","given":"Estela"},{"family":"Tavera","given":"Hernando"}],"issued":{"date-parts":[["2016",1,1]]}}},{"id":2795,"uris":["http://zotero.org/users/4242308/items/47U6ENSC"],"itemData":{"id":2795,"type":"article-journal","abstract":"The effects of complex slab geometries on the surrounding mantle flow field are still poorly understood. Here we combine shear wave velocity structure with Rayleigh wave phase anisotropy to examine these effects in southern Peru, where the slab changes its geometry from steep to flat. To the south, where the slab subducts steeply, we find trench-parallel anisotropy beneath the active volcanic arc that we attribute to the mantle wedge and/or upper portions of the subducting plate. Farther north, beneath the easternmost corner of the flat slab, we observe a pronounced low-velocity anomaly. This anomaly is caused either by the presence of volatiles and/or flux melting that could result from southward directed, volatile-rich subslab mantle flow or by increased temperature and/or decompression melting due to small-scale vertical flow. We also find evidence for mantle flow through the tear north of the subducting Nazca Ridge. Finally, we observe anisotropy patterns associated with the fast velocity anomalies that reveal along strike variations in the slab's internal deformation. The change in slab geometry from steep to flat contorts the subducting plate south of the Nazca Ridge causing an alteration of the slab petrofabric. In contrast, the torn slab to the north still preserves the primary (fossilized) petrofabric first established shortly after plate formation.","container-title":"Journal of Geophysical Research: Solid Earth","DOI":"10.1002/2016JB013064","ISSN":"2169-9356","issue":"10","language":"en","note":"_eprint: https://agupubs.onlinelibrary.wiley.com/doi/pdf/10.1002/2016JB013064","page":"7252-7270","source":"Wiley Online Library","title":"Effects of change in slab geometry on the mantle flow and slab fabric in Southern Peru","volume":"121","author":[{"family":"Antonijevic","given":"Sanja Knezevic"},{"family":"Wagner","given":"Lara S."},{"family":"Beck","given":"Susan L."},{"family":"Long","given":"Maureen D."},{"family":"Zandt","given":"George"},{"family":"Tavera","given":"Hernando"}],"issued":{"date-parts":[["2016"]]}}}],"schema":"https://github.com/citation-style-language/schema/raw/master/csl-citation.json"} </w:instrText>
            </w:r>
            <w:r w:rsidRPr="00C86F1F">
              <w:rPr>
                <w:rFonts w:eastAsia="等线"/>
                <w:sz w:val="18"/>
                <w:szCs w:val="18"/>
                <w:vertAlign w:val="superscript"/>
              </w:rPr>
              <w:fldChar w:fldCharType="separate"/>
            </w:r>
            <w:r w:rsidR="005438C1" w:rsidRPr="005438C1">
              <w:rPr>
                <w:kern w:val="0"/>
                <w:sz w:val="18"/>
                <w:vertAlign w:val="superscript"/>
              </w:rPr>
              <w:t>14,15</w:t>
            </w:r>
            <w:r w:rsidRPr="00C86F1F">
              <w:rPr>
                <w:rFonts w:eastAsia="等线"/>
                <w:sz w:val="18"/>
                <w:szCs w:val="18"/>
                <w:vertAlign w:val="superscript"/>
              </w:rPr>
              <w:fldChar w:fldCharType="end"/>
            </w:r>
          </w:p>
        </w:tc>
      </w:tr>
      <w:tr w:rsidR="001F0EB5" w:rsidRPr="00DF1D9D" w14:paraId="3B39401C" w14:textId="77777777" w:rsidTr="001F0EB5">
        <w:trPr>
          <w:cnfStyle w:val="000000100000" w:firstRow="0" w:lastRow="0" w:firstColumn="0" w:lastColumn="0" w:oddVBand="0" w:evenVBand="0" w:oddHBand="1" w:evenHBand="0" w:firstRowFirstColumn="0" w:firstRowLastColumn="0" w:lastRowFirstColumn="0" w:lastRowLastColumn="0"/>
          <w:trHeight w:val="454"/>
        </w:trPr>
        <w:tc>
          <w:tcPr>
            <w:cnfStyle w:val="001000000000" w:firstRow="0" w:lastRow="0" w:firstColumn="1" w:lastColumn="0" w:oddVBand="0" w:evenVBand="0" w:oddHBand="0" w:evenHBand="0" w:firstRowFirstColumn="0" w:firstRowLastColumn="0" w:lastRowFirstColumn="0" w:lastRowLastColumn="0"/>
            <w:tcW w:w="2396" w:type="dxa"/>
            <w:tcBorders>
              <w:left w:val="single" w:sz="12" w:space="0" w:color="auto"/>
              <w:right w:val="single" w:sz="12" w:space="0" w:color="auto"/>
            </w:tcBorders>
            <w:vAlign w:val="center"/>
          </w:tcPr>
          <w:p w14:paraId="5099A460" w14:textId="2C2E46C5" w:rsidR="001F0EB5" w:rsidRPr="001F0EB5" w:rsidRDefault="001F0EB5" w:rsidP="007B5326">
            <w:pPr>
              <w:spacing w:line="240" w:lineRule="auto"/>
              <w:jc w:val="center"/>
              <w:rPr>
                <w:i w:val="0"/>
                <w:iCs w:val="0"/>
                <w:sz w:val="18"/>
                <w:szCs w:val="18"/>
              </w:rPr>
            </w:pPr>
            <w:r w:rsidRPr="001F0EB5">
              <w:rPr>
                <w:i w:val="0"/>
                <w:iCs w:val="0"/>
                <w:sz w:val="18"/>
                <w:szCs w:val="18"/>
              </w:rPr>
              <w:t>Northern Apennines</w:t>
            </w:r>
          </w:p>
        </w:tc>
        <w:tc>
          <w:tcPr>
            <w:tcW w:w="1275" w:type="dxa"/>
            <w:tcBorders>
              <w:left w:val="single" w:sz="12" w:space="0" w:color="auto"/>
              <w:right w:val="single" w:sz="12" w:space="0" w:color="auto"/>
            </w:tcBorders>
            <w:vAlign w:val="center"/>
          </w:tcPr>
          <w:p w14:paraId="3143E8FE" w14:textId="77C873C7" w:rsidR="001F0EB5" w:rsidRPr="001F0EB5" w:rsidRDefault="00D4211E" w:rsidP="007B5326">
            <w:pPr>
              <w:spacing w:line="240" w:lineRule="auto"/>
              <w:jc w:val="center"/>
              <w:cnfStyle w:val="000000100000" w:firstRow="0" w:lastRow="0" w:firstColumn="0" w:lastColumn="0" w:oddVBand="0" w:evenVBand="0" w:oddHBand="1" w:evenHBand="0" w:firstRowFirstColumn="0" w:firstRowLastColumn="0" w:lastRowFirstColumn="0" w:lastRowLastColumn="0"/>
              <w:rPr>
                <w:sz w:val="18"/>
                <w:szCs w:val="18"/>
              </w:rPr>
            </w:pPr>
            <w:r>
              <w:rPr>
                <w:sz w:val="18"/>
                <w:szCs w:val="18"/>
              </w:rPr>
              <w:t>NA</w:t>
            </w:r>
          </w:p>
        </w:tc>
        <w:tc>
          <w:tcPr>
            <w:tcW w:w="1134" w:type="dxa"/>
            <w:tcBorders>
              <w:left w:val="single" w:sz="12" w:space="0" w:color="auto"/>
            </w:tcBorders>
            <w:vAlign w:val="center"/>
          </w:tcPr>
          <w:p w14:paraId="154E2441" w14:textId="590F97CA" w:rsidR="001F0EB5" w:rsidRPr="001F0EB5" w:rsidRDefault="001F0EB5" w:rsidP="007B5326">
            <w:pPr>
              <w:spacing w:line="240" w:lineRule="auto"/>
              <w:jc w:val="center"/>
              <w:cnfStyle w:val="000000100000" w:firstRow="0" w:lastRow="0" w:firstColumn="0" w:lastColumn="0" w:oddVBand="0" w:evenVBand="0" w:oddHBand="1" w:evenHBand="0" w:firstRowFirstColumn="0" w:firstRowLastColumn="0" w:lastRowFirstColumn="0" w:lastRowLastColumn="0"/>
              <w:rPr>
                <w:sz w:val="18"/>
                <w:szCs w:val="18"/>
              </w:rPr>
            </w:pPr>
            <w:r w:rsidRPr="001F0EB5">
              <w:rPr>
                <w:sz w:val="18"/>
                <w:szCs w:val="18"/>
              </w:rPr>
              <w:t>14.01</w:t>
            </w:r>
          </w:p>
        </w:tc>
        <w:tc>
          <w:tcPr>
            <w:tcW w:w="993" w:type="dxa"/>
            <w:vAlign w:val="center"/>
          </w:tcPr>
          <w:p w14:paraId="71D18C21" w14:textId="463EF4FA" w:rsidR="001F0EB5" w:rsidRPr="001F0EB5" w:rsidRDefault="001F0EB5" w:rsidP="007B5326">
            <w:pPr>
              <w:spacing w:line="240" w:lineRule="auto"/>
              <w:jc w:val="center"/>
              <w:cnfStyle w:val="000000100000" w:firstRow="0" w:lastRow="0" w:firstColumn="0" w:lastColumn="0" w:oddVBand="0" w:evenVBand="0" w:oddHBand="1" w:evenHBand="0" w:firstRowFirstColumn="0" w:firstRowLastColumn="0" w:lastRowFirstColumn="0" w:lastRowLastColumn="0"/>
              <w:rPr>
                <w:sz w:val="18"/>
                <w:szCs w:val="18"/>
              </w:rPr>
            </w:pPr>
            <w:r w:rsidRPr="001F0EB5">
              <w:rPr>
                <w:sz w:val="18"/>
                <w:szCs w:val="18"/>
              </w:rPr>
              <w:t>42.04</w:t>
            </w:r>
          </w:p>
        </w:tc>
        <w:tc>
          <w:tcPr>
            <w:tcW w:w="1701" w:type="dxa"/>
            <w:vAlign w:val="center"/>
          </w:tcPr>
          <w:p w14:paraId="0EF9C8E0" w14:textId="7848F76E" w:rsidR="001F0EB5" w:rsidRPr="001F0EB5" w:rsidRDefault="001F0EB5" w:rsidP="007B5326">
            <w:pPr>
              <w:spacing w:line="240" w:lineRule="auto"/>
              <w:jc w:val="center"/>
              <w:cnfStyle w:val="000000100000" w:firstRow="0" w:lastRow="0" w:firstColumn="0" w:lastColumn="0" w:oddVBand="0" w:evenVBand="0" w:oddHBand="1" w:evenHBand="0" w:firstRowFirstColumn="0" w:firstRowLastColumn="0" w:lastRowFirstColumn="0" w:lastRowLastColumn="0"/>
              <w:rPr>
                <w:sz w:val="18"/>
                <w:szCs w:val="18"/>
              </w:rPr>
            </w:pPr>
            <w:r w:rsidRPr="001F0EB5">
              <w:rPr>
                <w:sz w:val="18"/>
                <w:szCs w:val="18"/>
              </w:rPr>
              <w:t>Internal</w:t>
            </w:r>
          </w:p>
        </w:tc>
        <w:tc>
          <w:tcPr>
            <w:tcW w:w="1134" w:type="dxa"/>
            <w:tcBorders>
              <w:right w:val="single" w:sz="12" w:space="0" w:color="auto"/>
            </w:tcBorders>
          </w:tcPr>
          <w:p w14:paraId="1F9BE8A8" w14:textId="42EB329F" w:rsidR="001F0EB5" w:rsidRDefault="00D4211E" w:rsidP="007B5326">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等线"/>
                <w:sz w:val="18"/>
                <w:szCs w:val="18"/>
                <w:vertAlign w:val="superscript"/>
              </w:rPr>
            </w:pPr>
            <w:r>
              <w:rPr>
                <w:rFonts w:eastAsia="等线"/>
                <w:sz w:val="18"/>
                <w:szCs w:val="18"/>
                <w:vertAlign w:val="superscript"/>
              </w:rPr>
              <w:fldChar w:fldCharType="begin"/>
            </w:r>
            <w:r w:rsidR="005438C1">
              <w:rPr>
                <w:rFonts w:eastAsia="等线"/>
                <w:sz w:val="18"/>
                <w:szCs w:val="18"/>
                <w:vertAlign w:val="superscript"/>
              </w:rPr>
              <w:instrText xml:space="preserve"> ADDIN ZOTERO_ITEM CSL_CITATION {"citationID":"Gxej07xE","properties":{"formattedCitation":"\\super 16,17\\nosupersub{}","plainCitation":"16,17","noteIndex":0},"citationItems":[{"id":2086,"uris":["http://zotero.org/users/4242308/items/YQ8ZXNNB"],"itemData":{"id":2086,"type":"article-journal","abstract":"This study investigates the geometry of the crust–mantle boundary along the Northern Apennines (Italy) and its relationship to the tectonic evolution of a retreating subduction system. Using receiver function analysis from teleseismic records, the Moho depth was computed beneath 26 seismic stations located in key positions along the orogen. The results show a relatively shallow (~20km) Moho in the Tyrrhenian side, as expected from an extended overriding plate, and a deeper Moho (~40km) in the subducted Adriatic plate, SW-dipping 15–45° beneath the chain. Stations deployed on the Northeastern edge of the Plio-Quaternary extensional basins provide maximum Moho depth estimates, thus supporting the hypothesis that these basins define the zone where the two plates separate at depth. In addition, an abrupt change in the Moho depth is recognized along strike of the orogen, attributed to a 45km-wide, trench-normal deformation zone that crosses the Northern Apennines in the proximity of the Livorno–Sillaro lineament. This zone is interpreted as an incipient lithospheric tear fault, which accommodates varying rates of trench retreat along the length of the subduction zone.","container-title":"Tectonophysics","DOI":"10.1016/j.tecto.2015.05.013","ISSN":"0040-1951","journalAbbreviation":"Tectonophysics","language":"en","page":"88-96","source":"ScienceDirect","title":"The structure of the Moho in the Northern Apennines: Evidence for an incipient slab tear fault?","title-short":"The structure of the Moho in the Northern Apennines","volume":"655","author":[{"family":"Piana Agostinetti","given":"Nicola"}],"issued":{"date-parts":[["2015",8,1]]}}},{"id":3024,"uris":["http://zotero.org/users/4242308/items/5Y74ZEJ9"],"itemData":{"id":3024,"type":"article-journal","abstract":"Lithospheric tear faults are expected to develop in response to along-strike variations in the rates of slab rollback. However, the exact geometry of such structures and their crustal and upper mantle expressions are still debated. We present an analysis of seismic, structural, and morphological features that possibly represent the expression of lithospheric segmentation in the northern Apennines. Geophysical observations show evidence for the existence of a discontinuity in the lithospheric structure beneath the northern Apennines, characterized by a change in the spatial distribution of intermediate-depth seismicity, along-strike variations in the pattern of crustal seismicity, and a bend in the Moho topography. The near-surface expression of this discontinuity is associated with an abrupt change in the morphology and exhumation history of the northern Apennines in the proximity of the Livorno-Sillaro Lineament. We interpret these features as evidence for incipient tearing of the lithospheric slab beneath the northern Apennines, marking the boundary between domains that underwent contrasting styles of lithospheric deformation, which are either associated with different rates of slab rollback or a transition from underplating to retreat. We suggest that similar types of structures may play a crucial role in the evolution of convergent plate boundaries, allowing segmentation of orogenic belts and facilitating the development of orogenic curvatures. Ultimately, further tearing along such structures could potentially lead to the occurrence of tear-related magmatism and the formation of slab windows.","container-title":"Tectonics","DOI":"10.1002/2013TC003498","ISSN":"1944-9194","issue":"4","language":"en","note":"_eprint: https://agupubs.onlinelibrary.wiley.com/doi/pdf/10.1002/2013TC003498","page":"648-661","source":"Wiley Online Library","title":"Crustal and upper mantle responses to lithospheric segmentation in the northern Apennines","volume":"34","author":[{"family":"Rosenbaum","given":"Gideon"},{"family":"Agostinetti","given":"Nicola Piana"}],"issued":{"date-parts":[["2015"]]}}}],"schema":"https://github.com/citation-style-language/schema/raw/master/csl-citation.json"} </w:instrText>
            </w:r>
            <w:r>
              <w:rPr>
                <w:rFonts w:eastAsia="等线"/>
                <w:sz w:val="18"/>
                <w:szCs w:val="18"/>
                <w:vertAlign w:val="superscript"/>
              </w:rPr>
              <w:fldChar w:fldCharType="separate"/>
            </w:r>
            <w:r w:rsidR="005438C1" w:rsidRPr="005438C1">
              <w:rPr>
                <w:kern w:val="0"/>
                <w:sz w:val="18"/>
                <w:vertAlign w:val="superscript"/>
              </w:rPr>
              <w:t>16,17</w:t>
            </w:r>
            <w:r>
              <w:rPr>
                <w:rFonts w:eastAsia="等线"/>
                <w:sz w:val="18"/>
                <w:szCs w:val="18"/>
                <w:vertAlign w:val="superscript"/>
              </w:rPr>
              <w:fldChar w:fldCharType="end"/>
            </w:r>
          </w:p>
        </w:tc>
      </w:tr>
      <w:tr w:rsidR="00C97989" w:rsidRPr="00DF1D9D" w14:paraId="76D4B781" w14:textId="77777777" w:rsidTr="009D1B0F">
        <w:trPr>
          <w:trHeight w:val="454"/>
        </w:trPr>
        <w:tc>
          <w:tcPr>
            <w:cnfStyle w:val="001000000000" w:firstRow="0" w:lastRow="0" w:firstColumn="1" w:lastColumn="0" w:oddVBand="0" w:evenVBand="0" w:oddHBand="0" w:evenHBand="0" w:firstRowFirstColumn="0" w:firstRowLastColumn="0" w:lastRowFirstColumn="0" w:lastRowLastColumn="0"/>
            <w:tcW w:w="2396" w:type="dxa"/>
            <w:tcBorders>
              <w:left w:val="single" w:sz="12" w:space="0" w:color="auto"/>
              <w:right w:val="single" w:sz="12" w:space="0" w:color="auto"/>
            </w:tcBorders>
            <w:vAlign w:val="center"/>
          </w:tcPr>
          <w:p w14:paraId="66F996FC" w14:textId="3D21D0FD" w:rsidR="00C97989" w:rsidRPr="00C97989" w:rsidRDefault="00C97989" w:rsidP="007B5326">
            <w:pPr>
              <w:spacing w:line="240" w:lineRule="auto"/>
              <w:jc w:val="center"/>
              <w:rPr>
                <w:i w:val="0"/>
                <w:iCs w:val="0"/>
                <w:sz w:val="18"/>
                <w:szCs w:val="18"/>
              </w:rPr>
            </w:pPr>
            <w:r w:rsidRPr="00C97989">
              <w:rPr>
                <w:i w:val="0"/>
                <w:iCs w:val="0"/>
                <w:sz w:val="18"/>
                <w:szCs w:val="18"/>
              </w:rPr>
              <w:t>North-Eastern</w:t>
            </w:r>
            <w:r>
              <w:rPr>
                <w:i w:val="0"/>
                <w:iCs w:val="0"/>
                <w:sz w:val="18"/>
                <w:szCs w:val="18"/>
              </w:rPr>
              <w:t xml:space="preserve"> </w:t>
            </w:r>
            <w:r w:rsidRPr="00C97989">
              <w:rPr>
                <w:i w:val="0"/>
                <w:iCs w:val="0"/>
                <w:sz w:val="18"/>
                <w:szCs w:val="18"/>
              </w:rPr>
              <w:t>Calabro-Ionian subduction zone</w:t>
            </w:r>
          </w:p>
        </w:tc>
        <w:tc>
          <w:tcPr>
            <w:tcW w:w="1275" w:type="dxa"/>
            <w:tcBorders>
              <w:left w:val="single" w:sz="12" w:space="0" w:color="auto"/>
              <w:right w:val="single" w:sz="12" w:space="0" w:color="auto"/>
            </w:tcBorders>
            <w:vAlign w:val="center"/>
          </w:tcPr>
          <w:p w14:paraId="102229ED" w14:textId="480C91A5" w:rsidR="00C97989" w:rsidRPr="00C97989" w:rsidRDefault="00C97989" w:rsidP="007B5326">
            <w:pPr>
              <w:spacing w:line="240" w:lineRule="auto"/>
              <w:jc w:val="center"/>
              <w:cnfStyle w:val="000000000000" w:firstRow="0" w:lastRow="0" w:firstColumn="0" w:lastColumn="0" w:oddVBand="0" w:evenVBand="0" w:oddHBand="0" w:evenHBand="0" w:firstRowFirstColumn="0" w:firstRowLastColumn="0" w:lastRowFirstColumn="0" w:lastRowLastColumn="0"/>
              <w:rPr>
                <w:sz w:val="18"/>
                <w:szCs w:val="18"/>
              </w:rPr>
            </w:pPr>
            <w:r>
              <w:rPr>
                <w:rFonts w:hint="eastAsia"/>
                <w:sz w:val="18"/>
                <w:szCs w:val="18"/>
              </w:rPr>
              <w:t>N</w:t>
            </w:r>
            <w:r>
              <w:rPr>
                <w:sz w:val="18"/>
                <w:szCs w:val="18"/>
              </w:rPr>
              <w:t>ECISZ</w:t>
            </w:r>
          </w:p>
        </w:tc>
        <w:tc>
          <w:tcPr>
            <w:tcW w:w="1134" w:type="dxa"/>
            <w:tcBorders>
              <w:left w:val="single" w:sz="12" w:space="0" w:color="auto"/>
            </w:tcBorders>
            <w:vAlign w:val="center"/>
          </w:tcPr>
          <w:p w14:paraId="09AF1D8D" w14:textId="288BE00F" w:rsidR="00C97989" w:rsidRPr="00C97989" w:rsidRDefault="005F727E" w:rsidP="007B5326">
            <w:pPr>
              <w:spacing w:line="240" w:lineRule="auto"/>
              <w:jc w:val="center"/>
              <w:cnfStyle w:val="000000000000" w:firstRow="0" w:lastRow="0" w:firstColumn="0" w:lastColumn="0" w:oddVBand="0" w:evenVBand="0" w:oddHBand="0" w:evenHBand="0" w:firstRowFirstColumn="0" w:firstRowLastColumn="0" w:lastRowFirstColumn="0" w:lastRowLastColumn="0"/>
              <w:rPr>
                <w:sz w:val="18"/>
                <w:szCs w:val="18"/>
              </w:rPr>
            </w:pPr>
            <w:r w:rsidRPr="005F727E">
              <w:rPr>
                <w:sz w:val="18"/>
                <w:szCs w:val="18"/>
              </w:rPr>
              <w:t>15.35</w:t>
            </w:r>
          </w:p>
        </w:tc>
        <w:tc>
          <w:tcPr>
            <w:tcW w:w="993" w:type="dxa"/>
            <w:vAlign w:val="center"/>
          </w:tcPr>
          <w:p w14:paraId="1E0D6365" w14:textId="1A4B6DDC" w:rsidR="00C97989" w:rsidRPr="00C97989" w:rsidRDefault="005F727E" w:rsidP="007B5326">
            <w:pPr>
              <w:spacing w:line="240" w:lineRule="auto"/>
              <w:jc w:val="center"/>
              <w:cnfStyle w:val="000000000000" w:firstRow="0" w:lastRow="0" w:firstColumn="0" w:lastColumn="0" w:oddVBand="0" w:evenVBand="0" w:oddHBand="0" w:evenHBand="0" w:firstRowFirstColumn="0" w:firstRowLastColumn="0" w:lastRowFirstColumn="0" w:lastRowLastColumn="0"/>
              <w:rPr>
                <w:sz w:val="18"/>
                <w:szCs w:val="18"/>
              </w:rPr>
            </w:pPr>
            <w:r w:rsidRPr="005F727E">
              <w:rPr>
                <w:sz w:val="18"/>
                <w:szCs w:val="18"/>
              </w:rPr>
              <w:t>37.92</w:t>
            </w:r>
          </w:p>
        </w:tc>
        <w:tc>
          <w:tcPr>
            <w:tcW w:w="1701" w:type="dxa"/>
            <w:vAlign w:val="center"/>
          </w:tcPr>
          <w:p w14:paraId="02AAE3E0" w14:textId="60D5CD4A" w:rsidR="00C97989" w:rsidRPr="00C97989" w:rsidRDefault="005F727E" w:rsidP="007B5326">
            <w:pPr>
              <w:spacing w:line="240" w:lineRule="auto"/>
              <w:jc w:val="center"/>
              <w:cnfStyle w:val="000000000000" w:firstRow="0" w:lastRow="0" w:firstColumn="0" w:lastColumn="0" w:oddVBand="0" w:evenVBand="0" w:oddHBand="0" w:evenHBand="0" w:firstRowFirstColumn="0" w:firstRowLastColumn="0" w:lastRowFirstColumn="0" w:lastRowLastColumn="0"/>
              <w:rPr>
                <w:sz w:val="18"/>
                <w:szCs w:val="18"/>
              </w:rPr>
            </w:pPr>
            <w:r w:rsidRPr="005F727E">
              <w:rPr>
                <w:sz w:val="18"/>
                <w:szCs w:val="18"/>
              </w:rPr>
              <w:t>Edge</w:t>
            </w:r>
          </w:p>
        </w:tc>
        <w:tc>
          <w:tcPr>
            <w:tcW w:w="1134" w:type="dxa"/>
            <w:tcBorders>
              <w:right w:val="single" w:sz="12" w:space="0" w:color="auto"/>
            </w:tcBorders>
            <w:vAlign w:val="center"/>
          </w:tcPr>
          <w:p w14:paraId="70F4B51B" w14:textId="302E3977" w:rsidR="00C97989" w:rsidRPr="00C97989" w:rsidRDefault="00AE40BE" w:rsidP="007B5326">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等线"/>
                <w:sz w:val="18"/>
                <w:szCs w:val="18"/>
                <w:vertAlign w:val="superscript"/>
              </w:rPr>
            </w:pPr>
            <w:r>
              <w:rPr>
                <w:rFonts w:eastAsia="等线"/>
                <w:sz w:val="18"/>
                <w:szCs w:val="18"/>
                <w:vertAlign w:val="superscript"/>
              </w:rPr>
              <w:fldChar w:fldCharType="begin"/>
            </w:r>
            <w:r w:rsidR="005438C1">
              <w:rPr>
                <w:rFonts w:eastAsia="等线"/>
                <w:sz w:val="18"/>
                <w:szCs w:val="18"/>
                <w:vertAlign w:val="superscript"/>
              </w:rPr>
              <w:instrText xml:space="preserve"> ADDIN ZOTERO_ITEM CSL_CITATION {"citationID":"YEk67G8J","properties":{"formattedCitation":"\\super 18\\nosupersub{}","plainCitation":"18","noteIndex":0},"citationItems":[{"id":2745,"uris":["http://zotero.org/users/4242308/items/ZNWFUQWN"],"itemData":{"id":2745,"type":"article-journal","abstract":"Mediterranean tectonics has been characterized by an irregular, complex temporal evolution with episodic rollback and retreat of the subducted plate followed by period of slow trench-migration. To provide insight into the geodynamics of the Calabrian arc, we image the characteristics and lithospheric structure of the convergent, Apulian and Hyblean forelands at the cusps of the arc. Specifically we investigate the crustal and lithospheric thicknesses using teleseismic S-to-p converted phases, applied to the Adria-Africa plate margin for the first time. We find that the Moho in the Apulian foreland is nearly flat at </w:instrText>
            </w:r>
            <w:r w:rsidR="005438C1">
              <w:rPr>
                <w:rFonts w:ascii="Cambria Math" w:eastAsia="等线" w:hAnsi="Cambria Math" w:cs="Cambria Math"/>
                <w:sz w:val="18"/>
                <w:szCs w:val="18"/>
                <w:vertAlign w:val="superscript"/>
              </w:rPr>
              <w:instrText>∼</w:instrText>
            </w:r>
            <w:r w:rsidR="005438C1">
              <w:rPr>
                <w:rFonts w:eastAsia="等线"/>
                <w:sz w:val="18"/>
                <w:szCs w:val="18"/>
                <w:vertAlign w:val="superscript"/>
              </w:rPr>
              <w:instrText xml:space="preserve">30 km depth, consistent with previousPreceiver functions results, and that the Hyblean crustal thickness is more complex, which can be understood in terms of the nature of the individual pieces of carbonate platform and pelagic sediments that make up the Hyblean platform. The lithospheric thicknesses range between 70–120 km beneath Apulia and 70–90 km beneath Sicily. The lithosphere of the forelands at each end of the Calabrian arc are continental in nature, buoyant compared to the subducting oceanic lithosphere and have previously been interpreted as mostly undeformed carbonate platforms. Our receiver function images also show evidence of lithospheric erosion and thinning close to Mt. Etna and Mt. Vulture, two volcanoes which have been associated with asthenospheric upwelling and mantle flow around of the sides the slab. We suggest that as the continental lithosphere resists being subducted it is being thermo-mechanically modified by toroidal flow around the edges of the subducting oceanic lithosphere of the Calabrian arc.","container-title":"Geophysical Research Letters","DOI":"10.1029/2011GL049455","ISSN":"1944-8007","issue":"23","language":"en","note":"_eprint: https://agupubs.onlinelibrary.wiley.com/doi/pdf/10.1029/2011GL049455","source":"Wiley Online Library","title":"Erosion of the continental lithosphere at the cusps of the Calabrian arc: Evidence from S receiver functions analysis","title-short":"Erosion of the continental lithosphere at the cusps of the Calabrian arc","URL":"https://agupubs.onlinelibrary.wiley.com/doi/abs/10.1029/2011GL049455","volume":"38","author":[{"family":"Miller","given":"Meghan S."},{"family":"Agostinetti","given":"Nicola Piana"}],"accessed":{"date-parts":[["2021",6,17]]},"issued":{"date-parts":[["2011"]]}}}],"schema":"https://github.com/citation-style-language/schema/raw/master/csl-citation.json"} </w:instrText>
            </w:r>
            <w:r>
              <w:rPr>
                <w:rFonts w:eastAsia="等线"/>
                <w:sz w:val="18"/>
                <w:szCs w:val="18"/>
                <w:vertAlign w:val="superscript"/>
              </w:rPr>
              <w:fldChar w:fldCharType="separate"/>
            </w:r>
            <w:r w:rsidR="005438C1" w:rsidRPr="005438C1">
              <w:rPr>
                <w:kern w:val="0"/>
                <w:sz w:val="18"/>
                <w:vertAlign w:val="superscript"/>
              </w:rPr>
              <w:t>18</w:t>
            </w:r>
            <w:r>
              <w:rPr>
                <w:rFonts w:eastAsia="等线"/>
                <w:sz w:val="18"/>
                <w:szCs w:val="18"/>
                <w:vertAlign w:val="superscript"/>
              </w:rPr>
              <w:fldChar w:fldCharType="end"/>
            </w:r>
          </w:p>
        </w:tc>
      </w:tr>
      <w:tr w:rsidR="00C86F1F" w:rsidRPr="00DF1D9D" w14:paraId="1CAA9621" w14:textId="77777777" w:rsidTr="009D1B0F">
        <w:trPr>
          <w:cnfStyle w:val="000000100000" w:firstRow="0" w:lastRow="0" w:firstColumn="0" w:lastColumn="0" w:oddVBand="0" w:evenVBand="0" w:oddHBand="1" w:evenHBand="0" w:firstRowFirstColumn="0" w:firstRowLastColumn="0" w:lastRowFirstColumn="0" w:lastRowLastColumn="0"/>
          <w:trHeight w:val="454"/>
        </w:trPr>
        <w:tc>
          <w:tcPr>
            <w:cnfStyle w:val="001000000000" w:firstRow="0" w:lastRow="0" w:firstColumn="1" w:lastColumn="0" w:oddVBand="0" w:evenVBand="0" w:oddHBand="0" w:evenHBand="0" w:firstRowFirstColumn="0" w:firstRowLastColumn="0" w:lastRowFirstColumn="0" w:lastRowLastColumn="0"/>
            <w:tcW w:w="2396" w:type="dxa"/>
            <w:tcBorders>
              <w:left w:val="single" w:sz="12" w:space="0" w:color="auto"/>
              <w:right w:val="single" w:sz="12" w:space="0" w:color="auto"/>
            </w:tcBorders>
            <w:vAlign w:val="center"/>
          </w:tcPr>
          <w:p w14:paraId="316AE882" w14:textId="77777777" w:rsidR="00C86F1F" w:rsidRPr="00DF1D9D" w:rsidRDefault="00C86F1F" w:rsidP="007B5326">
            <w:pPr>
              <w:spacing w:line="240" w:lineRule="auto"/>
              <w:jc w:val="center"/>
              <w:rPr>
                <w:rFonts w:eastAsia="等线"/>
                <w:i w:val="0"/>
                <w:iCs w:val="0"/>
                <w:sz w:val="18"/>
                <w:szCs w:val="18"/>
              </w:rPr>
            </w:pPr>
            <w:r w:rsidRPr="00DF1D9D">
              <w:rPr>
                <w:i w:val="0"/>
                <w:iCs w:val="0"/>
                <w:sz w:val="18"/>
                <w:szCs w:val="18"/>
              </w:rPr>
              <w:t>N</w:t>
            </w:r>
            <w:r>
              <w:rPr>
                <w:i w:val="0"/>
                <w:iCs w:val="0"/>
                <w:sz w:val="18"/>
                <w:szCs w:val="18"/>
              </w:rPr>
              <w:t>orth-Eastern</w:t>
            </w:r>
            <w:r w:rsidRPr="00DF1D9D">
              <w:rPr>
                <w:i w:val="0"/>
                <w:iCs w:val="0"/>
                <w:sz w:val="18"/>
                <w:szCs w:val="18"/>
              </w:rPr>
              <w:t xml:space="preserve"> Pamir</w:t>
            </w:r>
            <w:r>
              <w:rPr>
                <w:i w:val="0"/>
                <w:iCs w:val="0"/>
                <w:sz w:val="18"/>
                <w:szCs w:val="18"/>
              </w:rPr>
              <w:t xml:space="preserve"> Orogen</w:t>
            </w:r>
          </w:p>
        </w:tc>
        <w:tc>
          <w:tcPr>
            <w:tcW w:w="1275" w:type="dxa"/>
            <w:tcBorders>
              <w:left w:val="single" w:sz="12" w:space="0" w:color="auto"/>
              <w:right w:val="single" w:sz="12" w:space="0" w:color="auto"/>
            </w:tcBorders>
            <w:vAlign w:val="center"/>
          </w:tcPr>
          <w:p w14:paraId="6D668DB4" w14:textId="77777777" w:rsidR="00C86F1F" w:rsidRPr="00DF1D9D" w:rsidRDefault="00C86F1F" w:rsidP="007B5326">
            <w:pPr>
              <w:spacing w:line="240" w:lineRule="auto"/>
              <w:jc w:val="center"/>
              <w:cnfStyle w:val="000000100000" w:firstRow="0" w:lastRow="0" w:firstColumn="0" w:lastColumn="0" w:oddVBand="0" w:evenVBand="0" w:oddHBand="1" w:evenHBand="0" w:firstRowFirstColumn="0" w:firstRowLastColumn="0" w:lastRowFirstColumn="0" w:lastRowLastColumn="0"/>
              <w:rPr>
                <w:sz w:val="18"/>
                <w:szCs w:val="18"/>
              </w:rPr>
            </w:pPr>
            <w:r>
              <w:rPr>
                <w:rFonts w:hint="eastAsia"/>
                <w:sz w:val="18"/>
                <w:szCs w:val="18"/>
              </w:rPr>
              <w:t>N</w:t>
            </w:r>
            <w:r>
              <w:rPr>
                <w:sz w:val="18"/>
                <w:szCs w:val="18"/>
              </w:rPr>
              <w:t>EPO</w:t>
            </w:r>
          </w:p>
        </w:tc>
        <w:tc>
          <w:tcPr>
            <w:tcW w:w="1134" w:type="dxa"/>
            <w:tcBorders>
              <w:left w:val="single" w:sz="12" w:space="0" w:color="auto"/>
            </w:tcBorders>
            <w:vAlign w:val="center"/>
          </w:tcPr>
          <w:p w14:paraId="1257215D" w14:textId="77777777" w:rsidR="00C86F1F" w:rsidRPr="00DF1D9D" w:rsidRDefault="00C86F1F" w:rsidP="007B5326">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等线"/>
                <w:sz w:val="18"/>
                <w:szCs w:val="18"/>
              </w:rPr>
            </w:pPr>
            <w:r w:rsidRPr="00DF1D9D">
              <w:rPr>
                <w:sz w:val="18"/>
                <w:szCs w:val="18"/>
              </w:rPr>
              <w:t>74.89</w:t>
            </w:r>
          </w:p>
        </w:tc>
        <w:tc>
          <w:tcPr>
            <w:tcW w:w="993" w:type="dxa"/>
            <w:vAlign w:val="center"/>
          </w:tcPr>
          <w:p w14:paraId="33A7A0B6" w14:textId="77777777" w:rsidR="00C86F1F" w:rsidRPr="00DF1D9D" w:rsidRDefault="00C86F1F" w:rsidP="007B5326">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等线"/>
                <w:sz w:val="18"/>
                <w:szCs w:val="18"/>
              </w:rPr>
            </w:pPr>
            <w:r w:rsidRPr="00DF1D9D">
              <w:rPr>
                <w:sz w:val="18"/>
                <w:szCs w:val="18"/>
              </w:rPr>
              <w:t>39.05</w:t>
            </w:r>
          </w:p>
        </w:tc>
        <w:tc>
          <w:tcPr>
            <w:tcW w:w="1701" w:type="dxa"/>
            <w:vAlign w:val="center"/>
          </w:tcPr>
          <w:p w14:paraId="40CD3B3C" w14:textId="77777777" w:rsidR="00C86F1F" w:rsidRPr="00DF1D9D" w:rsidRDefault="00C86F1F" w:rsidP="007B5326">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等线"/>
                <w:sz w:val="18"/>
                <w:szCs w:val="18"/>
              </w:rPr>
            </w:pPr>
            <w:r w:rsidRPr="00DF1D9D">
              <w:rPr>
                <w:sz w:val="18"/>
                <w:szCs w:val="18"/>
              </w:rPr>
              <w:t>Edge</w:t>
            </w:r>
          </w:p>
        </w:tc>
        <w:tc>
          <w:tcPr>
            <w:tcW w:w="1134" w:type="dxa"/>
            <w:tcBorders>
              <w:right w:val="single" w:sz="12" w:space="0" w:color="auto"/>
            </w:tcBorders>
            <w:vAlign w:val="center"/>
          </w:tcPr>
          <w:p w14:paraId="1C6653D3" w14:textId="03CBD20A" w:rsidR="00C86F1F" w:rsidRPr="00C86F1F" w:rsidRDefault="00C86F1F" w:rsidP="007B5326">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等线"/>
                <w:sz w:val="18"/>
                <w:szCs w:val="18"/>
                <w:vertAlign w:val="superscript"/>
              </w:rPr>
            </w:pPr>
            <w:r w:rsidRPr="00C86F1F">
              <w:rPr>
                <w:rFonts w:eastAsia="等线"/>
                <w:sz w:val="18"/>
                <w:szCs w:val="18"/>
                <w:vertAlign w:val="superscript"/>
              </w:rPr>
              <w:fldChar w:fldCharType="begin"/>
            </w:r>
            <w:r w:rsidR="005438C1">
              <w:rPr>
                <w:rFonts w:eastAsia="等线"/>
                <w:sz w:val="18"/>
                <w:szCs w:val="18"/>
                <w:vertAlign w:val="superscript"/>
              </w:rPr>
              <w:instrText xml:space="preserve"> ADDIN ZOTERO_ITEM CSL_CITATION {"citationID":"i1GsyuaA","properties":{"formattedCitation":"\\super 19\\nosupersub{}","plainCitation":"19","noteIndex":0},"citationItems":[{"id":450,"uris":["http://zotero.org/users/4242308/items/B9I36XPR"],"itemData":{"id":450,"type":"article-journal","abstract":"The northern part of the Pamir orogen is the preeminent example of an active intracontinental subduction zone in the early stages of continent–continent collision. Such zones are the least understood type of plate boundaries because modern examples are few and of limited access, and ancient analogs have been extensively overprinted by subsequent tectonic and erosion processes. In the Pamir, it has been assumed that most of the plate convergence was accommodated by overthrusting along the plate-bounding Main Pamir Thrust (MPT), which forms the principal northern mountain and deformation front of the Pamir. However, the synopsis of our new and previously published thermochronologic data from this region shows that the hanging wall of the MPT experienced relatively minor amounts of late Cenozoic exhumation. The Pamir orogen as a whole is an integral part of the overriding plate in a subduction system, while the remnant basin to the north constitutes the downgoing plate, with the bulk of the convergence accommodated by underthrusting. Herein, we demonstrate that the observed deformation of the upper and lower plates within the Pamir–Alai convergence zone resembles highly arcuate oceanic subduction systems characterized by slab rollback, subduction erosion, subduction accretion, and marginal slab-tear faults. We suggest that the curvature of the North Pamir is genetically linked to the short width and rollback of the south-dipping Alai slab; northward motion (indentation) of the Pamir is accommodated by crustal processes related to this rollback. The onset of south-dipping subduction is tentatively linked to intense Pamir contraction following break-off of the north-dipping Indian slab beneath the Karakoram.","container-title":"Earth and Planetary Science Letters","DOI":"10.1016/j.epsl.2012.12.009","ISSN":"0012821X","language":"en","page":"204-218","source":"CrossRef","title":"Oceanic-style subduction controls late Cenozoic deformation of the Northern Pamir orogen","volume":"363","author":[{"family":"Sobel","given":"Edward R."},{"family":"Chen","given":"Jie"},{"family":"Schoenbohm","given":"Lindsay M."},{"family":"Thiede","given":"Rasmus"},{"family":"Stockli","given":"Daniel F."},{"family":"Sudo","given":"Masafumi"},{"family":"Strecker","given":"Manfred R."}],"issued":{"date-parts":[["2013",2]]}}}],"schema":"https://github.com/citation-style-language/schema/raw/master/csl-citation.json"} </w:instrText>
            </w:r>
            <w:r w:rsidRPr="00C86F1F">
              <w:rPr>
                <w:rFonts w:eastAsia="等线"/>
                <w:sz w:val="18"/>
                <w:szCs w:val="18"/>
                <w:vertAlign w:val="superscript"/>
              </w:rPr>
              <w:fldChar w:fldCharType="separate"/>
            </w:r>
            <w:r w:rsidR="005438C1" w:rsidRPr="005438C1">
              <w:rPr>
                <w:kern w:val="0"/>
                <w:sz w:val="18"/>
                <w:vertAlign w:val="superscript"/>
              </w:rPr>
              <w:t>19</w:t>
            </w:r>
            <w:r w:rsidRPr="00C86F1F">
              <w:rPr>
                <w:rFonts w:eastAsia="等线"/>
                <w:sz w:val="18"/>
                <w:szCs w:val="18"/>
                <w:vertAlign w:val="superscript"/>
              </w:rPr>
              <w:fldChar w:fldCharType="end"/>
            </w:r>
          </w:p>
        </w:tc>
      </w:tr>
      <w:tr w:rsidR="00C86F1F" w:rsidRPr="00DF1D9D" w14:paraId="13154F52" w14:textId="77777777" w:rsidTr="009D1B0F">
        <w:trPr>
          <w:trHeight w:val="454"/>
        </w:trPr>
        <w:tc>
          <w:tcPr>
            <w:cnfStyle w:val="001000000000" w:firstRow="0" w:lastRow="0" w:firstColumn="1" w:lastColumn="0" w:oddVBand="0" w:evenVBand="0" w:oddHBand="0" w:evenHBand="0" w:firstRowFirstColumn="0" w:firstRowLastColumn="0" w:lastRowFirstColumn="0" w:lastRowLastColumn="0"/>
            <w:tcW w:w="2396" w:type="dxa"/>
            <w:tcBorders>
              <w:left w:val="single" w:sz="12" w:space="0" w:color="auto"/>
              <w:right w:val="single" w:sz="12" w:space="0" w:color="auto"/>
            </w:tcBorders>
            <w:vAlign w:val="center"/>
          </w:tcPr>
          <w:p w14:paraId="574E269C" w14:textId="77777777" w:rsidR="00C86F1F" w:rsidRPr="00DF1D9D" w:rsidRDefault="00C86F1F" w:rsidP="007B5326">
            <w:pPr>
              <w:spacing w:line="240" w:lineRule="auto"/>
              <w:jc w:val="center"/>
              <w:rPr>
                <w:i w:val="0"/>
                <w:iCs w:val="0"/>
                <w:sz w:val="18"/>
                <w:szCs w:val="18"/>
              </w:rPr>
            </w:pPr>
            <w:r>
              <w:rPr>
                <w:i w:val="0"/>
                <w:iCs w:val="0"/>
                <w:sz w:val="18"/>
                <w:szCs w:val="18"/>
              </w:rPr>
              <w:t xml:space="preserve">North-Eastern </w:t>
            </w:r>
            <w:r w:rsidRPr="00DF1D9D">
              <w:rPr>
                <w:i w:val="0"/>
                <w:iCs w:val="0"/>
                <w:sz w:val="18"/>
                <w:szCs w:val="18"/>
              </w:rPr>
              <w:t>Puerto Rico</w:t>
            </w:r>
          </w:p>
        </w:tc>
        <w:tc>
          <w:tcPr>
            <w:tcW w:w="1275" w:type="dxa"/>
            <w:tcBorders>
              <w:left w:val="single" w:sz="12" w:space="0" w:color="auto"/>
              <w:right w:val="single" w:sz="12" w:space="0" w:color="auto"/>
            </w:tcBorders>
            <w:vAlign w:val="center"/>
          </w:tcPr>
          <w:p w14:paraId="6C2C1878" w14:textId="77777777" w:rsidR="00C86F1F" w:rsidRDefault="00C86F1F" w:rsidP="007B5326">
            <w:pPr>
              <w:spacing w:line="240" w:lineRule="auto"/>
              <w:jc w:val="center"/>
              <w:cnfStyle w:val="000000000000" w:firstRow="0" w:lastRow="0" w:firstColumn="0" w:lastColumn="0" w:oddVBand="0" w:evenVBand="0" w:oddHBand="0" w:evenHBand="0" w:firstRowFirstColumn="0" w:firstRowLastColumn="0" w:lastRowFirstColumn="0" w:lastRowLastColumn="0"/>
              <w:rPr>
                <w:sz w:val="18"/>
                <w:szCs w:val="18"/>
              </w:rPr>
            </w:pPr>
            <w:r>
              <w:rPr>
                <w:sz w:val="18"/>
                <w:szCs w:val="18"/>
              </w:rPr>
              <w:t>NE</w:t>
            </w:r>
            <w:r>
              <w:rPr>
                <w:rFonts w:hint="eastAsia"/>
                <w:sz w:val="18"/>
                <w:szCs w:val="18"/>
              </w:rPr>
              <w:t>P</w:t>
            </w:r>
            <w:r>
              <w:rPr>
                <w:sz w:val="18"/>
                <w:szCs w:val="18"/>
              </w:rPr>
              <w:t>R</w:t>
            </w:r>
          </w:p>
        </w:tc>
        <w:tc>
          <w:tcPr>
            <w:tcW w:w="1134" w:type="dxa"/>
            <w:tcBorders>
              <w:left w:val="single" w:sz="12" w:space="0" w:color="auto"/>
            </w:tcBorders>
            <w:vAlign w:val="center"/>
          </w:tcPr>
          <w:p w14:paraId="72B39FB6" w14:textId="77777777" w:rsidR="00C86F1F" w:rsidRPr="00DF1D9D" w:rsidRDefault="00C86F1F" w:rsidP="007B5326">
            <w:pPr>
              <w:spacing w:line="240" w:lineRule="auto"/>
              <w:jc w:val="center"/>
              <w:cnfStyle w:val="000000000000" w:firstRow="0" w:lastRow="0" w:firstColumn="0" w:lastColumn="0" w:oddVBand="0" w:evenVBand="0" w:oddHBand="0" w:evenHBand="0" w:firstRowFirstColumn="0" w:firstRowLastColumn="0" w:lastRowFirstColumn="0" w:lastRowLastColumn="0"/>
              <w:rPr>
                <w:sz w:val="18"/>
                <w:szCs w:val="18"/>
              </w:rPr>
            </w:pPr>
            <w:r w:rsidRPr="00DF1D9D">
              <w:rPr>
                <w:sz w:val="18"/>
                <w:szCs w:val="18"/>
              </w:rPr>
              <w:t>-6</w:t>
            </w:r>
            <w:r>
              <w:rPr>
                <w:sz w:val="18"/>
                <w:szCs w:val="18"/>
              </w:rPr>
              <w:t>4</w:t>
            </w:r>
            <w:r w:rsidRPr="00DF1D9D">
              <w:rPr>
                <w:sz w:val="18"/>
                <w:szCs w:val="18"/>
              </w:rPr>
              <w:t>.</w:t>
            </w:r>
            <w:r>
              <w:rPr>
                <w:sz w:val="18"/>
                <w:szCs w:val="18"/>
              </w:rPr>
              <w:t>4</w:t>
            </w:r>
          </w:p>
        </w:tc>
        <w:tc>
          <w:tcPr>
            <w:tcW w:w="993" w:type="dxa"/>
            <w:vAlign w:val="center"/>
          </w:tcPr>
          <w:p w14:paraId="70030D83" w14:textId="77777777" w:rsidR="00C86F1F" w:rsidRPr="00DF1D9D" w:rsidRDefault="00C86F1F" w:rsidP="007B5326">
            <w:pPr>
              <w:spacing w:line="240" w:lineRule="auto"/>
              <w:jc w:val="center"/>
              <w:cnfStyle w:val="000000000000" w:firstRow="0" w:lastRow="0" w:firstColumn="0" w:lastColumn="0" w:oddVBand="0" w:evenVBand="0" w:oddHBand="0" w:evenHBand="0" w:firstRowFirstColumn="0" w:firstRowLastColumn="0" w:lastRowFirstColumn="0" w:lastRowLastColumn="0"/>
              <w:rPr>
                <w:sz w:val="18"/>
                <w:szCs w:val="18"/>
              </w:rPr>
            </w:pPr>
            <w:r w:rsidRPr="00DF1D9D">
              <w:rPr>
                <w:sz w:val="18"/>
                <w:szCs w:val="18"/>
              </w:rPr>
              <w:t>19.</w:t>
            </w:r>
            <w:r>
              <w:rPr>
                <w:sz w:val="18"/>
                <w:szCs w:val="18"/>
              </w:rPr>
              <w:t>25</w:t>
            </w:r>
          </w:p>
        </w:tc>
        <w:tc>
          <w:tcPr>
            <w:tcW w:w="1701" w:type="dxa"/>
            <w:vAlign w:val="center"/>
          </w:tcPr>
          <w:p w14:paraId="402A594B" w14:textId="77777777" w:rsidR="00C86F1F" w:rsidRPr="00DF1D9D" w:rsidRDefault="00C86F1F" w:rsidP="007B5326">
            <w:pPr>
              <w:spacing w:line="240" w:lineRule="auto"/>
              <w:jc w:val="center"/>
              <w:cnfStyle w:val="000000000000" w:firstRow="0" w:lastRow="0" w:firstColumn="0" w:lastColumn="0" w:oddVBand="0" w:evenVBand="0" w:oddHBand="0" w:evenHBand="0" w:firstRowFirstColumn="0" w:firstRowLastColumn="0" w:lastRowFirstColumn="0" w:lastRowLastColumn="0"/>
              <w:rPr>
                <w:sz w:val="18"/>
                <w:szCs w:val="18"/>
              </w:rPr>
            </w:pPr>
            <w:r w:rsidRPr="00DF1D9D">
              <w:rPr>
                <w:sz w:val="18"/>
                <w:szCs w:val="18"/>
              </w:rPr>
              <w:t>Edge</w:t>
            </w:r>
          </w:p>
        </w:tc>
        <w:tc>
          <w:tcPr>
            <w:tcW w:w="1134" w:type="dxa"/>
            <w:tcBorders>
              <w:right w:val="single" w:sz="12" w:space="0" w:color="auto"/>
            </w:tcBorders>
            <w:vAlign w:val="center"/>
          </w:tcPr>
          <w:p w14:paraId="33B07215" w14:textId="0A1EE722" w:rsidR="00C86F1F" w:rsidRPr="00C86F1F" w:rsidRDefault="00C86F1F" w:rsidP="007B5326">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等线"/>
                <w:sz w:val="18"/>
                <w:szCs w:val="18"/>
                <w:vertAlign w:val="superscript"/>
              </w:rPr>
            </w:pPr>
            <w:r w:rsidRPr="00C86F1F">
              <w:rPr>
                <w:rFonts w:eastAsia="等线"/>
                <w:sz w:val="18"/>
                <w:szCs w:val="18"/>
                <w:vertAlign w:val="superscript"/>
              </w:rPr>
              <w:fldChar w:fldCharType="begin"/>
            </w:r>
            <w:r w:rsidR="005438C1">
              <w:rPr>
                <w:rFonts w:eastAsia="等线"/>
                <w:sz w:val="18"/>
                <w:szCs w:val="18"/>
                <w:vertAlign w:val="superscript"/>
              </w:rPr>
              <w:instrText xml:space="preserve"> ADDIN ZOTERO_ITEM CSL_CITATION {"citationID":"vleKCtPF","properties":{"formattedCitation":"\\super 20,21\\nosupersub{}","plainCitation":"20,21","noteIndex":0},"citationItems":[{"id":1954,"uris":["http://zotero.org/users/4242308/items/3TUT2SVG"],"itemData":{"id":1954,"type":"article-journal","abstract":"The Puerto Rico trench exhibits great water depth, an extremely low gravity anomaly, and a tilted carbonate platform between (reconstructed) elevations of +1300 m and −4000 m. I argue that these features are manifestations of large vertical movements of a segment of the Puerto Rico trench, its forearc, and the island of Puerto Rico that took place 3.3 m.y. ago over a time period as short as 14–40 kyr. I explain these vertical movements by a sudden increase in the slab's descent angle that caused the trench to subside and the island to rise. The increased dip could have been caused by shearing or even by a complete tear of the descending North American slab, although the exact nature of this deformation is unknown. The rapid (14–40 kyr) and uniform tilt along a 250 km long section of the trench is compatible with scales of mantle flow and plate bending. The proposed shear zone or tear is inferred from seismic, morphological, and gravity observations to start at the trench at 64.5°W and trend southwestwardly toward eastern Puerto Rico. The tensile stresses necessary to deform or tear the slab could have been generated by increased curvature of the trench following a counterclockwise rotation of the upper plate and by the subduction of a large seamount.","container-title":"Journal of Geophysical Research: Solid Earth","DOI":"10.1029/2004JB003459","ISSN":"2156-2202","issue":"B6","language":"en","note":"_eprint: https://agupubs.onlinelibrary.wiley.com/doi/pdf/10.1029/2004JB003459","source":"Wiley Online Library","title":"Vertical motions of the Puerto Rico Trench and Puerto Rico and their cause","URL":"https://agupubs.onlinelibrary.wiley.com/doi/abs/10.1029/2004JB003459","volume":"110","author":[{"family":"Brink","given":"Uri","dropping-particle":"ten"}],"accessed":{"date-parts":[["2020",7,3]]},"issued":{"date-parts":[["2005"]]}}},{"id":1712,"uris":["http://zotero.org/users/4242308/items/5LJWWA4L"],"itemData":{"id":1712,"type":"article-journal","abstract":"AbstractThe fore-arc region of the northeast Caribbean plate north of Puerto Rico and the Virgin Islands has been the site of numerous seismic swarms since at least 1976. A 6 month deployment of five ocean bottom seismographs recorded two such tightly clustered swarms, along with additional events. Joint analyses of the ocean bottom seismographs and land-based seismic data reveal that the swarms are located at depths of 50–150 km. Focal mechanism solutions, found by jointly fitting P wave first-motion polarities and S/P amplitude ratios, indicate that the broadly distributed events outside the swarm generally have strike- and dip-slip mechanisms at depths of 50–100 km, while events at depths of 100–150 km have oblique mechanisms. A stress inversion reveals two distinct stress regimes: The slab segment east of 65°W longitude is dominated by trench-normal tensile stresses at shallower depths (50–100 km) and by trench-parallel tensile stresses at deeper depths (100–150 km), whereas the slab segment west of 65°W longitude has tensile stresses that are consistently trench normal throughout the depth range at which events were observed (50–100 km). The simple stress pattern in the western segment implies relatively straightforward subduction of an unimpeded slab, while the stress pattern observed in the eastern segment, shallow trench-normal tension and deeper trench-normal compression, is consistent with flexure of the slab due to rollback. These results support the hypothesis that the subducting North American plate is tearing at or near these swarms. The 35 year record of seismic swarms at this location and the recent increase in seismicity suggest that the tear is still propagating.","container-title":"Journal of Geophysical Research: Solid Earth","DOI":"10.1002/jgrb.50227","ISSN":"2169-9356","issue":"6","language":"en","page":"2915-2923","source":"Wiley Online Library","title":"Seismic evidence for a slab tear at the Puerto Rico Trench","volume":"118","author":[{"family":"Meighan","given":"Hallie E."},{"family</w:instrText>
            </w:r>
            <w:r w:rsidR="005438C1">
              <w:rPr>
                <w:rFonts w:eastAsia="等线" w:hint="eastAsia"/>
                <w:sz w:val="18"/>
                <w:szCs w:val="18"/>
                <w:vertAlign w:val="superscript"/>
              </w:rPr>
              <w:instrText>":"Pulliam","given":"Jay"},{"family":"Brink","given":"Uri","dropping-particle":"ten"},{"family":"L</w:instrText>
            </w:r>
            <w:r w:rsidR="005438C1">
              <w:rPr>
                <w:rFonts w:eastAsia="等线" w:hint="eastAsia"/>
                <w:sz w:val="18"/>
                <w:szCs w:val="18"/>
                <w:vertAlign w:val="superscript"/>
              </w:rPr>
              <w:instrText>ó</w:instrText>
            </w:r>
            <w:r w:rsidR="005438C1">
              <w:rPr>
                <w:rFonts w:eastAsia="等线" w:hint="eastAsia"/>
                <w:sz w:val="18"/>
                <w:szCs w:val="18"/>
                <w:vertAlign w:val="superscript"/>
              </w:rPr>
              <w:instrText>pez</w:instrText>
            </w:r>
            <w:r w:rsidR="005438C1">
              <w:rPr>
                <w:rFonts w:eastAsia="等线" w:hint="eastAsia"/>
                <w:sz w:val="18"/>
                <w:szCs w:val="18"/>
                <w:vertAlign w:val="superscript"/>
              </w:rPr>
              <w:instrText>‐</w:instrText>
            </w:r>
            <w:r w:rsidR="005438C1">
              <w:rPr>
                <w:rFonts w:eastAsia="等线" w:hint="eastAsia"/>
                <w:sz w:val="18"/>
                <w:szCs w:val="18"/>
                <w:vertAlign w:val="superscript"/>
              </w:rPr>
              <w:instrText>Venegas","given":"Alberto M."}],"issued":{"date-parts":[["2013"]]}}}],"schema":"https://github.com/citation-style-language/schema/raw/master/csl-citatio</w:instrText>
            </w:r>
            <w:r w:rsidR="005438C1">
              <w:rPr>
                <w:rFonts w:eastAsia="等线"/>
                <w:sz w:val="18"/>
                <w:szCs w:val="18"/>
                <w:vertAlign w:val="superscript"/>
              </w:rPr>
              <w:instrText xml:space="preserve">n.json"} </w:instrText>
            </w:r>
            <w:r w:rsidRPr="00C86F1F">
              <w:rPr>
                <w:rFonts w:eastAsia="等线"/>
                <w:sz w:val="18"/>
                <w:szCs w:val="18"/>
                <w:vertAlign w:val="superscript"/>
              </w:rPr>
              <w:fldChar w:fldCharType="separate"/>
            </w:r>
            <w:r w:rsidR="005438C1" w:rsidRPr="005438C1">
              <w:rPr>
                <w:kern w:val="0"/>
                <w:sz w:val="18"/>
                <w:vertAlign w:val="superscript"/>
              </w:rPr>
              <w:t>20,21</w:t>
            </w:r>
            <w:r w:rsidRPr="00C86F1F">
              <w:rPr>
                <w:rFonts w:eastAsia="等线"/>
                <w:sz w:val="18"/>
                <w:szCs w:val="18"/>
                <w:vertAlign w:val="superscript"/>
              </w:rPr>
              <w:fldChar w:fldCharType="end"/>
            </w:r>
          </w:p>
        </w:tc>
      </w:tr>
      <w:tr w:rsidR="00C86F1F" w:rsidRPr="00DF1D9D" w14:paraId="026ED1BE" w14:textId="77777777" w:rsidTr="009D1B0F">
        <w:trPr>
          <w:cnfStyle w:val="000000100000" w:firstRow="0" w:lastRow="0" w:firstColumn="0" w:lastColumn="0" w:oddVBand="0" w:evenVBand="0" w:oddHBand="1" w:evenHBand="0" w:firstRowFirstColumn="0" w:firstRowLastColumn="0" w:lastRowFirstColumn="0" w:lastRowLastColumn="0"/>
          <w:trHeight w:val="454"/>
        </w:trPr>
        <w:tc>
          <w:tcPr>
            <w:cnfStyle w:val="001000000000" w:firstRow="0" w:lastRow="0" w:firstColumn="1" w:lastColumn="0" w:oddVBand="0" w:evenVBand="0" w:oddHBand="0" w:evenHBand="0" w:firstRowFirstColumn="0" w:firstRowLastColumn="0" w:lastRowFirstColumn="0" w:lastRowLastColumn="0"/>
            <w:tcW w:w="2396" w:type="dxa"/>
            <w:tcBorders>
              <w:left w:val="single" w:sz="12" w:space="0" w:color="auto"/>
              <w:right w:val="single" w:sz="12" w:space="0" w:color="auto"/>
            </w:tcBorders>
            <w:vAlign w:val="center"/>
          </w:tcPr>
          <w:p w14:paraId="3390BF67" w14:textId="77777777" w:rsidR="00C86F1F" w:rsidRPr="00DF1D9D" w:rsidRDefault="00C86F1F" w:rsidP="007B5326">
            <w:pPr>
              <w:spacing w:line="240" w:lineRule="auto"/>
              <w:jc w:val="center"/>
              <w:rPr>
                <w:rFonts w:eastAsia="等线"/>
                <w:i w:val="0"/>
                <w:iCs w:val="0"/>
                <w:sz w:val="18"/>
                <w:szCs w:val="18"/>
              </w:rPr>
            </w:pPr>
            <w:r w:rsidRPr="00DF1D9D">
              <w:rPr>
                <w:i w:val="0"/>
                <w:iCs w:val="0"/>
                <w:sz w:val="18"/>
                <w:szCs w:val="18"/>
              </w:rPr>
              <w:t>N</w:t>
            </w:r>
            <w:r>
              <w:rPr>
                <w:i w:val="0"/>
                <w:iCs w:val="0"/>
                <w:sz w:val="18"/>
                <w:szCs w:val="18"/>
              </w:rPr>
              <w:t>orthern</w:t>
            </w:r>
            <w:r w:rsidRPr="00DF1D9D">
              <w:rPr>
                <w:i w:val="0"/>
                <w:iCs w:val="0"/>
                <w:sz w:val="18"/>
                <w:szCs w:val="18"/>
              </w:rPr>
              <w:t xml:space="preserve"> Gibraltar</w:t>
            </w:r>
            <w:r>
              <w:rPr>
                <w:i w:val="0"/>
                <w:iCs w:val="0"/>
                <w:sz w:val="18"/>
                <w:szCs w:val="18"/>
              </w:rPr>
              <w:t xml:space="preserve"> Arc</w:t>
            </w:r>
          </w:p>
        </w:tc>
        <w:tc>
          <w:tcPr>
            <w:tcW w:w="1275" w:type="dxa"/>
            <w:tcBorders>
              <w:left w:val="single" w:sz="12" w:space="0" w:color="auto"/>
              <w:right w:val="single" w:sz="12" w:space="0" w:color="auto"/>
            </w:tcBorders>
            <w:vAlign w:val="center"/>
          </w:tcPr>
          <w:p w14:paraId="530B9840" w14:textId="77777777" w:rsidR="00C86F1F" w:rsidRPr="00DF1D9D" w:rsidRDefault="00C86F1F" w:rsidP="007B5326">
            <w:pPr>
              <w:spacing w:line="240" w:lineRule="auto"/>
              <w:jc w:val="center"/>
              <w:cnfStyle w:val="000000100000" w:firstRow="0" w:lastRow="0" w:firstColumn="0" w:lastColumn="0" w:oddVBand="0" w:evenVBand="0" w:oddHBand="1" w:evenHBand="0" w:firstRowFirstColumn="0" w:firstRowLastColumn="0" w:lastRowFirstColumn="0" w:lastRowLastColumn="0"/>
              <w:rPr>
                <w:sz w:val="18"/>
                <w:szCs w:val="18"/>
              </w:rPr>
            </w:pPr>
            <w:r>
              <w:rPr>
                <w:rFonts w:hint="eastAsia"/>
                <w:sz w:val="18"/>
                <w:szCs w:val="18"/>
              </w:rPr>
              <w:t>N</w:t>
            </w:r>
            <w:r>
              <w:rPr>
                <w:sz w:val="18"/>
                <w:szCs w:val="18"/>
              </w:rPr>
              <w:t>GA</w:t>
            </w:r>
          </w:p>
        </w:tc>
        <w:tc>
          <w:tcPr>
            <w:tcW w:w="1134" w:type="dxa"/>
            <w:tcBorders>
              <w:left w:val="single" w:sz="12" w:space="0" w:color="auto"/>
            </w:tcBorders>
            <w:vAlign w:val="center"/>
          </w:tcPr>
          <w:p w14:paraId="7EDCB42D" w14:textId="77777777" w:rsidR="00C86F1F" w:rsidRPr="00DF1D9D" w:rsidRDefault="00C86F1F" w:rsidP="007B5326">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等线"/>
                <w:sz w:val="18"/>
                <w:szCs w:val="18"/>
              </w:rPr>
            </w:pPr>
            <w:r w:rsidRPr="00DF1D9D">
              <w:rPr>
                <w:sz w:val="18"/>
                <w:szCs w:val="18"/>
              </w:rPr>
              <w:t>-4</w:t>
            </w:r>
          </w:p>
        </w:tc>
        <w:tc>
          <w:tcPr>
            <w:tcW w:w="993" w:type="dxa"/>
            <w:vAlign w:val="center"/>
          </w:tcPr>
          <w:p w14:paraId="73F915E2" w14:textId="77777777" w:rsidR="00C86F1F" w:rsidRPr="00DF1D9D" w:rsidRDefault="00C86F1F" w:rsidP="007B5326">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等线"/>
                <w:sz w:val="18"/>
                <w:szCs w:val="18"/>
              </w:rPr>
            </w:pPr>
            <w:r w:rsidRPr="00DF1D9D">
              <w:rPr>
                <w:sz w:val="18"/>
                <w:szCs w:val="18"/>
              </w:rPr>
              <w:t>37.15</w:t>
            </w:r>
          </w:p>
        </w:tc>
        <w:tc>
          <w:tcPr>
            <w:tcW w:w="1701" w:type="dxa"/>
            <w:vAlign w:val="center"/>
          </w:tcPr>
          <w:p w14:paraId="35C982E7" w14:textId="77777777" w:rsidR="00C86F1F" w:rsidRPr="00DF1D9D" w:rsidRDefault="00C86F1F" w:rsidP="007B5326">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等线"/>
                <w:sz w:val="18"/>
                <w:szCs w:val="18"/>
              </w:rPr>
            </w:pPr>
            <w:r w:rsidRPr="00DF1D9D">
              <w:rPr>
                <w:sz w:val="18"/>
                <w:szCs w:val="18"/>
              </w:rPr>
              <w:t>Edge</w:t>
            </w:r>
          </w:p>
        </w:tc>
        <w:tc>
          <w:tcPr>
            <w:tcW w:w="1134" w:type="dxa"/>
            <w:tcBorders>
              <w:right w:val="single" w:sz="12" w:space="0" w:color="auto"/>
            </w:tcBorders>
            <w:vAlign w:val="center"/>
          </w:tcPr>
          <w:p w14:paraId="0EAF9EE1" w14:textId="37CE48B5" w:rsidR="00C86F1F" w:rsidRPr="00C86F1F" w:rsidRDefault="00C86F1F" w:rsidP="007B5326">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等线"/>
                <w:sz w:val="18"/>
                <w:szCs w:val="18"/>
                <w:vertAlign w:val="superscript"/>
              </w:rPr>
            </w:pPr>
            <w:r w:rsidRPr="00C86F1F">
              <w:rPr>
                <w:rFonts w:eastAsia="等线"/>
                <w:sz w:val="18"/>
                <w:szCs w:val="18"/>
                <w:vertAlign w:val="superscript"/>
              </w:rPr>
              <w:fldChar w:fldCharType="begin"/>
            </w:r>
            <w:r w:rsidR="005438C1">
              <w:rPr>
                <w:rFonts w:eastAsia="等线"/>
                <w:sz w:val="18"/>
                <w:szCs w:val="18"/>
                <w:vertAlign w:val="superscript"/>
              </w:rPr>
              <w:instrText xml:space="preserve"> ADDIN ZOTERO_ITEM CSL_CITATION {"citationID":"b5MDE9e6","properties":{"formattedCitation":"\\super 22\\nosupersub{}","plainCitation":"22","noteIndex":0},"citationItems":[{"id":2143,"uris":["http://zotero.org/users/4242308/items/M88ZK84D"],"itemData":{"id":2143,"type":"article-journal","abstract":"We map the lithospheric structure under the westernmost Mediterranean convergent setting interpreting P-receiver functions obtained from a dense seismic network. No orogenic root occurs under the eastern and great part of the central Betics. However, the subducted South Iberian continental lithosphere is found beneath the western Betics where the Iberian Moho reaches depths of approximately 65km, dipping gently towards the SE. Meanwhile, at the Rif, strong crustal and lithospheric thickness contrasts occur across the Nekor NW-SE sinistral fault that overlies the region of present slab tearing. East of the Nekor fault there is no orogenic root and the crust has been thinned to approximately 22km, whilst to the west the crust reaches 55km thickness and the Maghrebian continental lithosphere is attached to the lithospheric slab imaged by tomography under the Alboran basin. These data suggest that subduction rollback under the Alboran and Algerian basins, together with continental slab tearing or detachment producing edge delamination under the Betics and Rif have been the main tectonic mechanisms driving extension, magmatism and regional uplift in the westernmost Mediterranean since the Late Miocene until present. The surface expression of edge-delamination and slab tearing is marked by regional uplift, denudation of HP rocks in elongated core-complex type domes, late Miocene volcanism in the Eastern Betics and Rif, and by large NE-SW strike-slip transfer faults like the Alpujarras, Crevillente, Torcal or Nekor faults that accommodate strong gradients in crustal displacements. The Iberian slab is still attached to the oceanic slab imaged under the Alboran basin at the western Betics where intermediate depth seismicity, recent dextral strike-slip faulting and folding, could reflect slab tearing. Meanwhile, active faulting and differential GPS-measured displacements would mark slab tearing beneath the Rif coinciding with the trace of the sinistral Nekor fault.","collection-title":"Special issue on Iberia geodynamics: An integrative approach from the Topo-Iberia framework","container-title":"Tectonophysics","DOI":"10.1016/j.tecto.2015.06.028","ISSN":"0040-1951","journalAbbreviation":"Tectonophysics","language":"en","page":"225-237","source":"ScienceDirect","title":"Slab rupture and delamination under the Betics and Rif constrained from receiver functions","volume":"663","author":[{"family":"Mancilla","given":"Flor de Lis"},{"family":"Booth-Rea","given":"Guillermo"},{"family":"Stich","given":"Daniel"},{"family":"Pérez-Peña","given":"José Vicente"},{"family":"Morales","given":"José"},{"family":"Azañón","given":"José Miguel"},{"family":"Martin","given":"Rosa"},{"family":"Giaconia","given":"Flavio"}],"issued":{"date-parts":[["2015",11,16]]}}}],"schema":"https://github.com/citation-style-language/schema/raw/master/csl-citation.json"} </w:instrText>
            </w:r>
            <w:r w:rsidRPr="00C86F1F">
              <w:rPr>
                <w:rFonts w:eastAsia="等线"/>
                <w:sz w:val="18"/>
                <w:szCs w:val="18"/>
                <w:vertAlign w:val="superscript"/>
              </w:rPr>
              <w:fldChar w:fldCharType="separate"/>
            </w:r>
            <w:r w:rsidR="005438C1" w:rsidRPr="005438C1">
              <w:rPr>
                <w:kern w:val="0"/>
                <w:sz w:val="18"/>
                <w:vertAlign w:val="superscript"/>
              </w:rPr>
              <w:t>22</w:t>
            </w:r>
            <w:r w:rsidRPr="00C86F1F">
              <w:rPr>
                <w:rFonts w:eastAsia="等线"/>
                <w:sz w:val="18"/>
                <w:szCs w:val="18"/>
                <w:vertAlign w:val="superscript"/>
              </w:rPr>
              <w:fldChar w:fldCharType="end"/>
            </w:r>
          </w:p>
        </w:tc>
      </w:tr>
      <w:tr w:rsidR="00C86F1F" w:rsidRPr="00DF1D9D" w14:paraId="31082808" w14:textId="77777777" w:rsidTr="009D1B0F">
        <w:trPr>
          <w:trHeight w:val="454"/>
        </w:trPr>
        <w:tc>
          <w:tcPr>
            <w:cnfStyle w:val="001000000000" w:firstRow="0" w:lastRow="0" w:firstColumn="1" w:lastColumn="0" w:oddVBand="0" w:evenVBand="0" w:oddHBand="0" w:evenHBand="0" w:firstRowFirstColumn="0" w:firstRowLastColumn="0" w:lastRowFirstColumn="0" w:lastRowLastColumn="0"/>
            <w:tcW w:w="2396" w:type="dxa"/>
            <w:tcBorders>
              <w:left w:val="single" w:sz="12" w:space="0" w:color="auto"/>
              <w:right w:val="single" w:sz="12" w:space="0" w:color="auto"/>
            </w:tcBorders>
            <w:vAlign w:val="center"/>
          </w:tcPr>
          <w:p w14:paraId="70711BBF" w14:textId="77777777" w:rsidR="00C86F1F" w:rsidRPr="00DF1D9D" w:rsidRDefault="00C86F1F" w:rsidP="007B5326">
            <w:pPr>
              <w:spacing w:line="240" w:lineRule="auto"/>
              <w:jc w:val="center"/>
              <w:rPr>
                <w:i w:val="0"/>
                <w:iCs w:val="0"/>
                <w:sz w:val="18"/>
                <w:szCs w:val="18"/>
              </w:rPr>
            </w:pPr>
            <w:r>
              <w:rPr>
                <w:i w:val="0"/>
                <w:iCs w:val="0"/>
                <w:sz w:val="18"/>
                <w:szCs w:val="18"/>
              </w:rPr>
              <w:t>Nor</w:t>
            </w:r>
            <w:r w:rsidRPr="00C7541C">
              <w:rPr>
                <w:i w:val="0"/>
                <w:iCs w:val="0"/>
                <w:sz w:val="18"/>
                <w:szCs w:val="18"/>
              </w:rPr>
              <w:t>thern Mariana Trench</w:t>
            </w:r>
          </w:p>
        </w:tc>
        <w:tc>
          <w:tcPr>
            <w:tcW w:w="1275" w:type="dxa"/>
            <w:tcBorders>
              <w:left w:val="single" w:sz="12" w:space="0" w:color="auto"/>
              <w:right w:val="single" w:sz="12" w:space="0" w:color="auto"/>
            </w:tcBorders>
            <w:vAlign w:val="center"/>
          </w:tcPr>
          <w:p w14:paraId="3E42514B" w14:textId="77777777" w:rsidR="00C86F1F" w:rsidRDefault="00C86F1F" w:rsidP="007B5326">
            <w:pPr>
              <w:spacing w:line="240" w:lineRule="auto"/>
              <w:jc w:val="center"/>
              <w:cnfStyle w:val="000000000000" w:firstRow="0" w:lastRow="0" w:firstColumn="0" w:lastColumn="0" w:oddVBand="0" w:evenVBand="0" w:oddHBand="0" w:evenHBand="0" w:firstRowFirstColumn="0" w:firstRowLastColumn="0" w:lastRowFirstColumn="0" w:lastRowLastColumn="0"/>
              <w:rPr>
                <w:sz w:val="18"/>
                <w:szCs w:val="18"/>
              </w:rPr>
            </w:pPr>
            <w:r>
              <w:rPr>
                <w:rFonts w:hint="eastAsia"/>
                <w:sz w:val="18"/>
                <w:szCs w:val="18"/>
              </w:rPr>
              <w:t>N</w:t>
            </w:r>
            <w:r>
              <w:rPr>
                <w:sz w:val="18"/>
                <w:szCs w:val="18"/>
              </w:rPr>
              <w:t>MT</w:t>
            </w:r>
          </w:p>
        </w:tc>
        <w:tc>
          <w:tcPr>
            <w:tcW w:w="1134" w:type="dxa"/>
            <w:tcBorders>
              <w:left w:val="single" w:sz="12" w:space="0" w:color="auto"/>
            </w:tcBorders>
            <w:vAlign w:val="center"/>
          </w:tcPr>
          <w:p w14:paraId="1135922D" w14:textId="77777777" w:rsidR="00C86F1F" w:rsidRPr="00DF1D9D" w:rsidRDefault="00C86F1F" w:rsidP="007B5326">
            <w:pPr>
              <w:spacing w:line="240" w:lineRule="auto"/>
              <w:jc w:val="center"/>
              <w:cnfStyle w:val="000000000000" w:firstRow="0" w:lastRow="0" w:firstColumn="0" w:lastColumn="0" w:oddVBand="0" w:evenVBand="0" w:oddHBand="0" w:evenHBand="0" w:firstRowFirstColumn="0" w:firstRowLastColumn="0" w:lastRowFirstColumn="0" w:lastRowLastColumn="0"/>
              <w:rPr>
                <w:sz w:val="18"/>
                <w:szCs w:val="18"/>
              </w:rPr>
            </w:pPr>
            <w:r w:rsidRPr="00C7541C">
              <w:rPr>
                <w:sz w:val="18"/>
                <w:szCs w:val="18"/>
              </w:rPr>
              <w:t>143.0</w:t>
            </w:r>
            <w:r>
              <w:rPr>
                <w:sz w:val="18"/>
                <w:szCs w:val="18"/>
              </w:rPr>
              <w:t>4</w:t>
            </w:r>
          </w:p>
        </w:tc>
        <w:tc>
          <w:tcPr>
            <w:tcW w:w="993" w:type="dxa"/>
            <w:vAlign w:val="center"/>
          </w:tcPr>
          <w:p w14:paraId="4F35795A" w14:textId="77777777" w:rsidR="00C86F1F" w:rsidRPr="00DF1D9D" w:rsidRDefault="00C86F1F" w:rsidP="007B5326">
            <w:pPr>
              <w:spacing w:line="240" w:lineRule="auto"/>
              <w:jc w:val="center"/>
              <w:cnfStyle w:val="000000000000" w:firstRow="0" w:lastRow="0" w:firstColumn="0" w:lastColumn="0" w:oddVBand="0" w:evenVBand="0" w:oddHBand="0" w:evenHBand="0" w:firstRowFirstColumn="0" w:firstRowLastColumn="0" w:lastRowFirstColumn="0" w:lastRowLastColumn="0"/>
              <w:rPr>
                <w:sz w:val="18"/>
                <w:szCs w:val="18"/>
              </w:rPr>
            </w:pPr>
            <w:r w:rsidRPr="00C7541C">
              <w:rPr>
                <w:sz w:val="18"/>
                <w:szCs w:val="18"/>
              </w:rPr>
              <w:t>25.8</w:t>
            </w:r>
            <w:r>
              <w:rPr>
                <w:sz w:val="18"/>
                <w:szCs w:val="18"/>
              </w:rPr>
              <w:t>6</w:t>
            </w:r>
          </w:p>
        </w:tc>
        <w:tc>
          <w:tcPr>
            <w:tcW w:w="1701" w:type="dxa"/>
            <w:vAlign w:val="center"/>
          </w:tcPr>
          <w:p w14:paraId="517D4397" w14:textId="77777777" w:rsidR="00C86F1F" w:rsidRPr="00DF1D9D" w:rsidRDefault="00C86F1F" w:rsidP="007B5326">
            <w:pPr>
              <w:spacing w:line="240" w:lineRule="auto"/>
              <w:jc w:val="center"/>
              <w:cnfStyle w:val="000000000000" w:firstRow="0" w:lastRow="0" w:firstColumn="0" w:lastColumn="0" w:oddVBand="0" w:evenVBand="0" w:oddHBand="0" w:evenHBand="0" w:firstRowFirstColumn="0" w:firstRowLastColumn="0" w:lastRowFirstColumn="0" w:lastRowLastColumn="0"/>
              <w:rPr>
                <w:sz w:val="18"/>
                <w:szCs w:val="18"/>
              </w:rPr>
            </w:pPr>
            <w:r w:rsidRPr="00C7541C">
              <w:rPr>
                <w:sz w:val="18"/>
                <w:szCs w:val="18"/>
              </w:rPr>
              <w:t>Internal</w:t>
            </w:r>
          </w:p>
        </w:tc>
        <w:tc>
          <w:tcPr>
            <w:tcW w:w="1134" w:type="dxa"/>
            <w:tcBorders>
              <w:right w:val="single" w:sz="12" w:space="0" w:color="auto"/>
            </w:tcBorders>
            <w:vAlign w:val="center"/>
          </w:tcPr>
          <w:p w14:paraId="4D96E626" w14:textId="657A05ED" w:rsidR="00C86F1F" w:rsidRPr="00C86F1F" w:rsidRDefault="00C86F1F" w:rsidP="007B5326">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等线"/>
                <w:sz w:val="18"/>
                <w:szCs w:val="18"/>
                <w:vertAlign w:val="superscript"/>
              </w:rPr>
            </w:pPr>
            <w:r w:rsidRPr="00C86F1F">
              <w:rPr>
                <w:rFonts w:eastAsia="等线"/>
                <w:sz w:val="18"/>
                <w:szCs w:val="18"/>
                <w:vertAlign w:val="superscript"/>
              </w:rPr>
              <w:fldChar w:fldCharType="begin"/>
            </w:r>
            <w:r w:rsidR="005438C1">
              <w:rPr>
                <w:rFonts w:eastAsia="等线"/>
                <w:sz w:val="18"/>
                <w:szCs w:val="18"/>
                <w:vertAlign w:val="superscript"/>
              </w:rPr>
              <w:instrText xml:space="preserve"> ADDIN ZOTERO_ITEM CSL_CITATION {"citationID":"oVSMq3JI","properties":{"formattedCitation":"\\super 23,24\\nosupersub{}","plainCitation":"23,24","noteIndex":0},"citationItems":[{"id":1964,"uris":["http://zotero.org/users/4242308/items/GLU6BQYT"],"itemData":{"id":1964,"type":"article-journal","abstract":"On 30 May 2015 an isolated deep earthquake (~670 km, Mw 7.9) occurred to the west of the Bonin Islands. To clarify its causal mechanism and its relationship to the subducting Pacific slab, we determined a detailed P-wave tomography of the deep earthquake source zone using a large number of arrival-time data. Our results show that this large deep event occurred within the subducting Pacific slab which is penetrating into the lower mantle. In the Izu-Bonin region, the Pacific slab is split at ~28° north latitude, i.e., slightly north of the 2015 deep event hypocenter. In the north the slab becomes stagnant in the mantle transition zone, whereas in the south the slab is directly penetrating into the lower mantle. This deep earthquake was caused by joint effects of several factors, including the Pacific slab’s fast deep subduction, slab tearing, slab thermal variation, stress changes and phase transformations in the slab, and complex interactions between the slab and the ambient mantle.","container-title":"Scientific Reports","DOI":"10.1038/srep44487","ISSN":"2045-2322","issue":"1","language":"en","note":"number: 1\npublisher: Nature Publishing Group","page":"44487","source":"www.nature.com","title":"Tomography of the subducting Pacific slab and the 2015 Bonin deepest earthquake (Mw 7.9)","volume":"7","author":[{"family":"Zhao","given":"Dapeng"},{"family":"Fujisawa","given":"Moeto"},{"family":"Toyokuni","given":"Genti"}],"issued":{"date-parts":[["2017",3,15]]}}},{"id":2861,"uris":["http://zotero.org/users/4242308/items/JH6LV3EH"],"itemData":{"id":2861,"type":"article-journal","abstract":"Statistics about the occurrence frequency of earthquakes (1973–2015) at shallow, intermediate and great depths along the Izu-Bonin-Mariana (IBM) Arc is presented and a percent perturbation relative to P-wave mean value (LLNL-G3Dv3) is adopted to show the deep structure. The correlation coefficient between the subduction rate and the frequency of shallow seismic events along the IBM is 0.605, proving that the subduction rate is an important factor for shallow seismic events. The relationship between relief amplitudes of the seafloor and earthquake occurrences implies that some seamount chains riding on the Pacific seafloor may have an effect on intermediate-depth seismic events along the IBM. A probable hypothesis is proposed that the seamounts or surrounding seafloor with high degree of fracture may bring numerous hydrous minerals into the deep and may result in a different thermal structure compared to the seafloor where no seamounts are subducted. Fluids from the seamounts or surrounding seafloor are released to trigger earthquakes at intermediate-depth. Deep events in the northern and southern Mariana arc are likely affected by a horizontal propagating tear parallel to the trench.","container-title":"Journal of Asian Earth Sciences","DOI":"10.1016/j.jseaes.2017.10.015","ISSN":"1367-9120","journalAbbreviation":"Journal of Asian Earth Sciences","language":"en","page":"90-100","source":"ScienceDirect","title":"Causes of earthquake spatial distribution beneath the Izu-Bonin-Mariana Arc","volume":"151","author":[{"family":"Kong","given":"Xiangchao"},{"family":"Li","given":"Sanzhong"},{"family":"Wang","given":"Yongming"},{"family":"Suo","given":"Yanhui"},{"family":"Dai","given":"Liming"},{"family":"Géli","given":"Louis"},{"family":"Zhang","given":"Yong"},{"family":"Guo","given":"Lingli"},{"family":"Wang","given":"Pengcheng"}],"issued":{"date-parts":[["2018",1,1]]}}}],"schema":"https://github.com/citation-style-language/schema/raw/master/csl-citation.json"} </w:instrText>
            </w:r>
            <w:r w:rsidRPr="00C86F1F">
              <w:rPr>
                <w:rFonts w:eastAsia="等线"/>
                <w:sz w:val="18"/>
                <w:szCs w:val="18"/>
                <w:vertAlign w:val="superscript"/>
              </w:rPr>
              <w:fldChar w:fldCharType="separate"/>
            </w:r>
            <w:r w:rsidR="005438C1" w:rsidRPr="005438C1">
              <w:rPr>
                <w:kern w:val="0"/>
                <w:sz w:val="18"/>
                <w:vertAlign w:val="superscript"/>
              </w:rPr>
              <w:t>23,24</w:t>
            </w:r>
            <w:r w:rsidRPr="00C86F1F">
              <w:rPr>
                <w:rFonts w:eastAsia="等线"/>
                <w:sz w:val="18"/>
                <w:szCs w:val="18"/>
                <w:vertAlign w:val="superscript"/>
              </w:rPr>
              <w:fldChar w:fldCharType="end"/>
            </w:r>
          </w:p>
        </w:tc>
      </w:tr>
      <w:tr w:rsidR="00C86F1F" w:rsidRPr="00DF1D9D" w14:paraId="590C4E11" w14:textId="77777777" w:rsidTr="009D1B0F">
        <w:trPr>
          <w:cnfStyle w:val="000000100000" w:firstRow="0" w:lastRow="0" w:firstColumn="0" w:lastColumn="0" w:oddVBand="0" w:evenVBand="0" w:oddHBand="1" w:evenHBand="0" w:firstRowFirstColumn="0" w:firstRowLastColumn="0" w:lastRowFirstColumn="0" w:lastRowLastColumn="0"/>
          <w:trHeight w:val="454"/>
        </w:trPr>
        <w:tc>
          <w:tcPr>
            <w:cnfStyle w:val="001000000000" w:firstRow="0" w:lastRow="0" w:firstColumn="1" w:lastColumn="0" w:oddVBand="0" w:evenVBand="0" w:oddHBand="0" w:evenHBand="0" w:firstRowFirstColumn="0" w:firstRowLastColumn="0" w:lastRowFirstColumn="0" w:lastRowLastColumn="0"/>
            <w:tcW w:w="2396" w:type="dxa"/>
            <w:tcBorders>
              <w:left w:val="single" w:sz="12" w:space="0" w:color="auto"/>
              <w:right w:val="single" w:sz="12" w:space="0" w:color="auto"/>
            </w:tcBorders>
            <w:vAlign w:val="center"/>
          </w:tcPr>
          <w:p w14:paraId="20F487C9" w14:textId="77777777" w:rsidR="00C86F1F" w:rsidRPr="00DF1D9D" w:rsidRDefault="00C86F1F" w:rsidP="007B5326">
            <w:pPr>
              <w:spacing w:line="240" w:lineRule="auto"/>
              <w:jc w:val="center"/>
              <w:rPr>
                <w:rFonts w:eastAsia="等线"/>
                <w:i w:val="0"/>
                <w:iCs w:val="0"/>
                <w:sz w:val="18"/>
                <w:szCs w:val="18"/>
              </w:rPr>
            </w:pPr>
            <w:r w:rsidRPr="00DF1D9D">
              <w:rPr>
                <w:i w:val="0"/>
                <w:iCs w:val="0"/>
                <w:sz w:val="18"/>
                <w:szCs w:val="18"/>
              </w:rPr>
              <w:t>N</w:t>
            </w:r>
            <w:r>
              <w:rPr>
                <w:i w:val="0"/>
                <w:iCs w:val="0"/>
                <w:sz w:val="18"/>
                <w:szCs w:val="18"/>
              </w:rPr>
              <w:t>orthern</w:t>
            </w:r>
            <w:r w:rsidRPr="00DF1D9D">
              <w:rPr>
                <w:i w:val="0"/>
                <w:iCs w:val="0"/>
                <w:sz w:val="18"/>
                <w:szCs w:val="18"/>
              </w:rPr>
              <w:t xml:space="preserve"> Sandwich</w:t>
            </w:r>
            <w:r>
              <w:rPr>
                <w:i w:val="0"/>
                <w:iCs w:val="0"/>
                <w:sz w:val="18"/>
                <w:szCs w:val="18"/>
              </w:rPr>
              <w:t xml:space="preserve"> Trench</w:t>
            </w:r>
          </w:p>
        </w:tc>
        <w:tc>
          <w:tcPr>
            <w:tcW w:w="1275" w:type="dxa"/>
            <w:tcBorders>
              <w:left w:val="single" w:sz="12" w:space="0" w:color="auto"/>
              <w:right w:val="single" w:sz="12" w:space="0" w:color="auto"/>
            </w:tcBorders>
            <w:vAlign w:val="center"/>
          </w:tcPr>
          <w:p w14:paraId="6009EB6E" w14:textId="77777777" w:rsidR="00C86F1F" w:rsidRPr="00DF1D9D" w:rsidRDefault="00C86F1F" w:rsidP="007B5326">
            <w:pPr>
              <w:spacing w:line="240" w:lineRule="auto"/>
              <w:jc w:val="center"/>
              <w:cnfStyle w:val="000000100000" w:firstRow="0" w:lastRow="0" w:firstColumn="0" w:lastColumn="0" w:oddVBand="0" w:evenVBand="0" w:oddHBand="1" w:evenHBand="0" w:firstRowFirstColumn="0" w:firstRowLastColumn="0" w:lastRowFirstColumn="0" w:lastRowLastColumn="0"/>
              <w:rPr>
                <w:sz w:val="18"/>
                <w:szCs w:val="18"/>
              </w:rPr>
            </w:pPr>
            <w:r>
              <w:rPr>
                <w:rFonts w:hint="eastAsia"/>
                <w:sz w:val="18"/>
                <w:szCs w:val="18"/>
              </w:rPr>
              <w:t>N</w:t>
            </w:r>
            <w:r>
              <w:rPr>
                <w:sz w:val="18"/>
                <w:szCs w:val="18"/>
              </w:rPr>
              <w:t>ST</w:t>
            </w:r>
          </w:p>
        </w:tc>
        <w:tc>
          <w:tcPr>
            <w:tcW w:w="1134" w:type="dxa"/>
            <w:tcBorders>
              <w:left w:val="single" w:sz="12" w:space="0" w:color="auto"/>
            </w:tcBorders>
            <w:vAlign w:val="center"/>
          </w:tcPr>
          <w:p w14:paraId="7799CAC0" w14:textId="77777777" w:rsidR="00C86F1F" w:rsidRPr="00DF1D9D" w:rsidRDefault="00C86F1F" w:rsidP="007B5326">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等线"/>
                <w:sz w:val="18"/>
                <w:szCs w:val="18"/>
              </w:rPr>
            </w:pPr>
            <w:r w:rsidRPr="00DF1D9D">
              <w:rPr>
                <w:sz w:val="18"/>
                <w:szCs w:val="18"/>
              </w:rPr>
              <w:t>-30.7</w:t>
            </w:r>
          </w:p>
        </w:tc>
        <w:tc>
          <w:tcPr>
            <w:tcW w:w="993" w:type="dxa"/>
            <w:vAlign w:val="center"/>
          </w:tcPr>
          <w:p w14:paraId="62042840" w14:textId="77777777" w:rsidR="00C86F1F" w:rsidRPr="00DF1D9D" w:rsidRDefault="00C86F1F" w:rsidP="007B5326">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等线"/>
                <w:sz w:val="18"/>
                <w:szCs w:val="18"/>
              </w:rPr>
            </w:pPr>
            <w:r w:rsidRPr="00DF1D9D">
              <w:rPr>
                <w:sz w:val="18"/>
                <w:szCs w:val="18"/>
              </w:rPr>
              <w:t>-54.93</w:t>
            </w:r>
          </w:p>
        </w:tc>
        <w:tc>
          <w:tcPr>
            <w:tcW w:w="1701" w:type="dxa"/>
            <w:vAlign w:val="center"/>
          </w:tcPr>
          <w:p w14:paraId="54890CDF" w14:textId="77777777" w:rsidR="00C86F1F" w:rsidRPr="00DF1D9D" w:rsidRDefault="00C86F1F" w:rsidP="007B5326">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等线"/>
                <w:sz w:val="18"/>
                <w:szCs w:val="18"/>
              </w:rPr>
            </w:pPr>
            <w:r w:rsidRPr="00DF1D9D">
              <w:rPr>
                <w:sz w:val="18"/>
                <w:szCs w:val="18"/>
              </w:rPr>
              <w:t>Edge</w:t>
            </w:r>
          </w:p>
        </w:tc>
        <w:tc>
          <w:tcPr>
            <w:tcW w:w="1134" w:type="dxa"/>
            <w:tcBorders>
              <w:right w:val="single" w:sz="12" w:space="0" w:color="auto"/>
            </w:tcBorders>
            <w:vAlign w:val="center"/>
          </w:tcPr>
          <w:p w14:paraId="28BF96E3" w14:textId="1C397E9A" w:rsidR="00C86F1F" w:rsidRPr="00C86F1F" w:rsidRDefault="00C86F1F" w:rsidP="007B5326">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等线"/>
                <w:sz w:val="18"/>
                <w:szCs w:val="18"/>
                <w:vertAlign w:val="superscript"/>
              </w:rPr>
            </w:pPr>
            <w:r w:rsidRPr="00C86F1F">
              <w:rPr>
                <w:rFonts w:eastAsia="等线"/>
                <w:sz w:val="18"/>
                <w:szCs w:val="18"/>
                <w:vertAlign w:val="superscript"/>
              </w:rPr>
              <w:fldChar w:fldCharType="begin"/>
            </w:r>
            <w:r w:rsidR="005438C1">
              <w:rPr>
                <w:rFonts w:eastAsia="等线"/>
                <w:sz w:val="18"/>
                <w:szCs w:val="18"/>
                <w:vertAlign w:val="superscript"/>
              </w:rPr>
              <w:instrText xml:space="preserve"> ADDIN ZOTERO_ITEM CSL_CITATION {"citationID":"Uv9F2QDw","properties":{"formattedCitation":"\\super 25\\nosupersub{}","plainCitation":"25","noteIndex":0},"citationItems":[{"id":2771,"uris":["http://zotero.org/users/4242308/items/CJHLGVYB"],"itemData":{"id":2771,"type":"article-journal","abstract":"The intra-oceanic South Sandwich subduction system is distinctive in having a narrow slab with slab edges at its northern and southern ends. We present new geochemical data to investigate magma genesis beneath the parts of the arc and back-arc segments that lie close to the two slab edges: Kemp and Nelson seamounts at the southern edge of the South Sandwich arc, and segments E1 and E2 in the south, plus segments E9 and E10 in the north, of the East Scotia Sea. In the arc, Kemp and Nelson seamounts exhibit enhanced subduction fluxes compared to the remainder of the arc. The southernmost (Nelson) has the isotope (low Nd and high Sr isotope ratios) and elemental (ultra-high Th and Ba and high Hf/Nd ratios) characteristics of a sediment melt, or supercritical aqueous fluid, component. The more northerly (Kemp) has the same characteristics as the remainder of the arc (high Nd and slightly raised Sr isotope ratios, high Nd/Hf ratios, high Ba/Th ratios), indicative of a fluid component derived mainly from subducted crust, but has a greater mass fraction of that component than the rest of the arc. In the back-arc basin, the slab-edge segments are generally fed by more fertile mantle (E-MORB in all but E1) than the segments in the centre of the basin (N-MORB). At the edges, segments furthest from the trench (E2, E9) have small subduction components while those nearer to the trench (E1, E10) have larger subduction components and slightly more depleted mantle. We argue that several processes were important at the slab edges: roll-back of the slab, forcing sideways flow of relatively enriched mantle into the mantle wedge; convergence of the arc with the back-arc spreading centre, imparting a greater subduction component into the back-arc lavas; and anomalous heating of the subducting slab, increasing subduction fluxes and the contribution of sediment melts to the subduction component.","container-title":"Earth and Planetary Science Letters","DOI":"10.1016/j.epsl.2004.08.016","ISSN":"0012-821X","issue":"1","journalAbbreviation":"Earth and Planetary Science Letters","language":"en","page":"17-35","source":"ScienceDirect","title":"Magma genesis and mantle flow at a subducting slab edge: the South Sandwich arc-basin system","title-short":"Magma genesis and mantle flow at a subducting slab edge","volume":"227","author":[{"family":"Leat","given":"P. T."},{"family":"Pearce","given":"J. A."},{"family":"Barker","given":"P. F."},{"family":"Millar","given":"I. L."},{"family":"Barry","given":"T. L."},{"family":"Larter","given":"R. D."}],"issued":{"date-parts":[["2004",10,30]]}}}],"schema":"https://github.com/citation-style-language/schema/raw/master/csl-citation.json"} </w:instrText>
            </w:r>
            <w:r w:rsidRPr="00C86F1F">
              <w:rPr>
                <w:rFonts w:eastAsia="等线"/>
                <w:sz w:val="18"/>
                <w:szCs w:val="18"/>
                <w:vertAlign w:val="superscript"/>
              </w:rPr>
              <w:fldChar w:fldCharType="separate"/>
            </w:r>
            <w:r w:rsidR="005438C1" w:rsidRPr="005438C1">
              <w:rPr>
                <w:kern w:val="0"/>
                <w:sz w:val="18"/>
                <w:vertAlign w:val="superscript"/>
              </w:rPr>
              <w:t>25</w:t>
            </w:r>
            <w:r w:rsidRPr="00C86F1F">
              <w:rPr>
                <w:rFonts w:eastAsia="等线"/>
                <w:sz w:val="18"/>
                <w:szCs w:val="18"/>
                <w:vertAlign w:val="superscript"/>
              </w:rPr>
              <w:fldChar w:fldCharType="end"/>
            </w:r>
          </w:p>
        </w:tc>
      </w:tr>
      <w:tr w:rsidR="00C86F1F" w:rsidRPr="00DF1D9D" w14:paraId="6E661AD1" w14:textId="77777777" w:rsidTr="009D1B0F">
        <w:trPr>
          <w:trHeight w:val="454"/>
        </w:trPr>
        <w:tc>
          <w:tcPr>
            <w:cnfStyle w:val="001000000000" w:firstRow="0" w:lastRow="0" w:firstColumn="1" w:lastColumn="0" w:oddVBand="0" w:evenVBand="0" w:oddHBand="0" w:evenHBand="0" w:firstRowFirstColumn="0" w:firstRowLastColumn="0" w:lastRowFirstColumn="0" w:lastRowLastColumn="0"/>
            <w:tcW w:w="2396" w:type="dxa"/>
            <w:tcBorders>
              <w:left w:val="single" w:sz="12" w:space="0" w:color="auto"/>
              <w:right w:val="single" w:sz="12" w:space="0" w:color="auto"/>
            </w:tcBorders>
            <w:vAlign w:val="center"/>
          </w:tcPr>
          <w:p w14:paraId="481BC694" w14:textId="77777777" w:rsidR="00C86F1F" w:rsidRPr="00DF1D9D" w:rsidRDefault="00C86F1F" w:rsidP="007B5326">
            <w:pPr>
              <w:spacing w:line="240" w:lineRule="auto"/>
              <w:jc w:val="center"/>
              <w:rPr>
                <w:rFonts w:eastAsia="等线"/>
                <w:i w:val="0"/>
                <w:iCs w:val="0"/>
                <w:sz w:val="18"/>
                <w:szCs w:val="18"/>
              </w:rPr>
            </w:pPr>
            <w:r w:rsidRPr="00DF1D9D">
              <w:rPr>
                <w:i w:val="0"/>
                <w:iCs w:val="0"/>
                <w:sz w:val="18"/>
                <w:szCs w:val="18"/>
              </w:rPr>
              <w:t>N</w:t>
            </w:r>
            <w:r>
              <w:rPr>
                <w:i w:val="0"/>
                <w:iCs w:val="0"/>
                <w:sz w:val="18"/>
                <w:szCs w:val="18"/>
              </w:rPr>
              <w:t>orthern</w:t>
            </w:r>
            <w:r w:rsidRPr="00DF1D9D">
              <w:rPr>
                <w:i w:val="0"/>
                <w:iCs w:val="0"/>
                <w:sz w:val="18"/>
                <w:szCs w:val="18"/>
              </w:rPr>
              <w:t xml:space="preserve"> Sumatra</w:t>
            </w:r>
          </w:p>
        </w:tc>
        <w:tc>
          <w:tcPr>
            <w:tcW w:w="1275" w:type="dxa"/>
            <w:tcBorders>
              <w:left w:val="single" w:sz="12" w:space="0" w:color="auto"/>
              <w:right w:val="single" w:sz="12" w:space="0" w:color="auto"/>
            </w:tcBorders>
            <w:vAlign w:val="center"/>
          </w:tcPr>
          <w:p w14:paraId="6C9E04E3" w14:textId="77777777" w:rsidR="00C86F1F" w:rsidRPr="00DF1D9D" w:rsidRDefault="00C86F1F" w:rsidP="007B5326">
            <w:pPr>
              <w:spacing w:line="240" w:lineRule="auto"/>
              <w:jc w:val="center"/>
              <w:cnfStyle w:val="000000000000" w:firstRow="0" w:lastRow="0" w:firstColumn="0" w:lastColumn="0" w:oddVBand="0" w:evenVBand="0" w:oddHBand="0" w:evenHBand="0" w:firstRowFirstColumn="0" w:firstRowLastColumn="0" w:lastRowFirstColumn="0" w:lastRowLastColumn="0"/>
              <w:rPr>
                <w:sz w:val="18"/>
                <w:szCs w:val="18"/>
              </w:rPr>
            </w:pPr>
            <w:r>
              <w:rPr>
                <w:rFonts w:hint="eastAsia"/>
                <w:sz w:val="18"/>
                <w:szCs w:val="18"/>
              </w:rPr>
              <w:t>N</w:t>
            </w:r>
            <w:r>
              <w:rPr>
                <w:sz w:val="18"/>
                <w:szCs w:val="18"/>
              </w:rPr>
              <w:t>S</w:t>
            </w:r>
          </w:p>
        </w:tc>
        <w:tc>
          <w:tcPr>
            <w:tcW w:w="1134" w:type="dxa"/>
            <w:tcBorders>
              <w:left w:val="single" w:sz="12" w:space="0" w:color="auto"/>
            </w:tcBorders>
            <w:vAlign w:val="center"/>
          </w:tcPr>
          <w:p w14:paraId="052E729A" w14:textId="77777777" w:rsidR="00C86F1F" w:rsidRPr="00DF1D9D" w:rsidRDefault="00C86F1F" w:rsidP="007B5326">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等线"/>
                <w:sz w:val="18"/>
                <w:szCs w:val="18"/>
              </w:rPr>
            </w:pPr>
            <w:r w:rsidRPr="00DF1D9D">
              <w:rPr>
                <w:sz w:val="18"/>
                <w:szCs w:val="18"/>
              </w:rPr>
              <w:t>96.41</w:t>
            </w:r>
          </w:p>
        </w:tc>
        <w:tc>
          <w:tcPr>
            <w:tcW w:w="993" w:type="dxa"/>
            <w:vAlign w:val="center"/>
          </w:tcPr>
          <w:p w14:paraId="61EF346B" w14:textId="77777777" w:rsidR="00C86F1F" w:rsidRPr="00DF1D9D" w:rsidRDefault="00C86F1F" w:rsidP="007B5326">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等线"/>
                <w:sz w:val="18"/>
                <w:szCs w:val="18"/>
              </w:rPr>
            </w:pPr>
            <w:r w:rsidRPr="00DF1D9D">
              <w:rPr>
                <w:sz w:val="18"/>
                <w:szCs w:val="18"/>
              </w:rPr>
              <w:t>1.09</w:t>
            </w:r>
          </w:p>
        </w:tc>
        <w:tc>
          <w:tcPr>
            <w:tcW w:w="1701" w:type="dxa"/>
            <w:vAlign w:val="center"/>
          </w:tcPr>
          <w:p w14:paraId="30BAC8BC" w14:textId="77777777" w:rsidR="00C86F1F" w:rsidRPr="00DF1D9D" w:rsidRDefault="00C86F1F" w:rsidP="007B5326">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等线"/>
                <w:sz w:val="18"/>
                <w:szCs w:val="18"/>
              </w:rPr>
            </w:pPr>
            <w:r w:rsidRPr="00DF1D9D">
              <w:rPr>
                <w:sz w:val="18"/>
                <w:szCs w:val="18"/>
              </w:rPr>
              <w:t>Internal</w:t>
            </w:r>
          </w:p>
        </w:tc>
        <w:tc>
          <w:tcPr>
            <w:tcW w:w="1134" w:type="dxa"/>
            <w:tcBorders>
              <w:right w:val="single" w:sz="12" w:space="0" w:color="auto"/>
            </w:tcBorders>
            <w:vAlign w:val="center"/>
          </w:tcPr>
          <w:p w14:paraId="08B3A24D" w14:textId="504CAD24" w:rsidR="00C86F1F" w:rsidRPr="00C86F1F" w:rsidRDefault="00C86F1F" w:rsidP="007B5326">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等线"/>
                <w:sz w:val="18"/>
                <w:szCs w:val="18"/>
                <w:vertAlign w:val="superscript"/>
              </w:rPr>
            </w:pPr>
            <w:r w:rsidRPr="00C86F1F">
              <w:rPr>
                <w:rFonts w:eastAsia="等线"/>
                <w:sz w:val="18"/>
                <w:szCs w:val="18"/>
                <w:vertAlign w:val="superscript"/>
              </w:rPr>
              <w:fldChar w:fldCharType="begin"/>
            </w:r>
            <w:r w:rsidR="005438C1">
              <w:rPr>
                <w:rFonts w:eastAsia="等线"/>
                <w:sz w:val="18"/>
                <w:szCs w:val="18"/>
                <w:vertAlign w:val="superscript"/>
              </w:rPr>
              <w:instrText xml:space="preserve"> ADDIN ZOTERO_ITEM CSL_CITATION {"citationID":"n04KgPqn","properties":{"formattedCitation":"\\super 26\\nosupersub{}","plainCitation":"26","noteIndex":0},"citationItems":[{"id":2798,"uris":["http://zotero.org/users/4242308/items/IBDVSNZU"],"itemData":{"id":2798,"type":"article-journal","abstract":"An eikonal equation-based tomography method is used to invert the high-quality regional and teleseismic traveltime data recorded by 26 broadband seismic stations in northern Sumatra, following which we obtain the P and S wave velocity structures of the crust and mantle down to a depth of 800 km. The results of both P and S wave tomography clearly show that the Indo-Australian oceanic plate continuously penetrates downward beneath northern Sumatra and the maximum penetration depth varies approximately from 400 km at the northern tip of Sumatra to about 800 km around the southern boundary of our study area. Significant slab folding or bending reported in the literature as the main feature of the subducted slab beneath northern Sumatra is not found in our results. Instead, our tomographic images demonstrate only a less curved slab that mimics the shape of the Sunda Trench and volcanic arc and generally extends over depths from 120 to 450 km. P wave tomography shows broad and pronounced low-velocity anomalies beneath the island of Sumatra in the lower crust and uppermost mantle. Our model also reveals a slab tear approximately at 120-km depth, which has been documented in previous studies and considered to be related to the eruption of the Toba supervolcano.","container-title":"Journal of Geophysical Research: Solid Earth","DOI":"10.1029/2019JB017625","ISSN":"2169-9356","issue":"10","language":"en","note":"_eprint: https://agupubs.onlinelibrary.wiley.com/doi/pdf/10.1029/2019JB017625","page":"10544-10564","source":"Wiley Online Library","title":"Slab Morphology Beneath Northern Sumatra Revealed by Regional and Teleseismic Traveltime Tomography","volume":"124","author":[{"family":"Liu","given":"Shaolin"},{"family":"Suardi","given":"Iman"},{"family":"Zheng","given":"Ming"},{"family":"Yang","given":"Dinghui"},{"family":"Huang","given":"Xueyuan"},{"family":"Tong","given":"Ping"}],"issued":{"date-parts":[["2019"]]}}}],"schema":"https://github.com/citation-style-language/schema/raw/master/csl-citation.json"} </w:instrText>
            </w:r>
            <w:r w:rsidRPr="00C86F1F">
              <w:rPr>
                <w:rFonts w:eastAsia="等线"/>
                <w:sz w:val="18"/>
                <w:szCs w:val="18"/>
                <w:vertAlign w:val="superscript"/>
              </w:rPr>
              <w:fldChar w:fldCharType="separate"/>
            </w:r>
            <w:r w:rsidR="005438C1" w:rsidRPr="005438C1">
              <w:rPr>
                <w:kern w:val="0"/>
                <w:sz w:val="18"/>
                <w:vertAlign w:val="superscript"/>
              </w:rPr>
              <w:t>26</w:t>
            </w:r>
            <w:r w:rsidRPr="00C86F1F">
              <w:rPr>
                <w:rFonts w:eastAsia="等线"/>
                <w:sz w:val="18"/>
                <w:szCs w:val="18"/>
                <w:vertAlign w:val="superscript"/>
              </w:rPr>
              <w:fldChar w:fldCharType="end"/>
            </w:r>
          </w:p>
        </w:tc>
      </w:tr>
      <w:tr w:rsidR="00C86F1F" w:rsidRPr="00DF1D9D" w14:paraId="08343F5D" w14:textId="77777777" w:rsidTr="009D1B0F">
        <w:trPr>
          <w:cnfStyle w:val="000000100000" w:firstRow="0" w:lastRow="0" w:firstColumn="0" w:lastColumn="0" w:oddVBand="0" w:evenVBand="0" w:oddHBand="1" w:evenHBand="0" w:firstRowFirstColumn="0" w:firstRowLastColumn="0" w:lastRowFirstColumn="0" w:lastRowLastColumn="0"/>
          <w:trHeight w:val="454"/>
        </w:trPr>
        <w:tc>
          <w:tcPr>
            <w:cnfStyle w:val="001000000000" w:firstRow="0" w:lastRow="0" w:firstColumn="1" w:lastColumn="0" w:oddVBand="0" w:evenVBand="0" w:oddHBand="0" w:evenHBand="0" w:firstRowFirstColumn="0" w:firstRowLastColumn="0" w:lastRowFirstColumn="0" w:lastRowLastColumn="0"/>
            <w:tcW w:w="2396" w:type="dxa"/>
            <w:tcBorders>
              <w:left w:val="single" w:sz="12" w:space="0" w:color="auto"/>
              <w:right w:val="single" w:sz="12" w:space="0" w:color="auto"/>
            </w:tcBorders>
            <w:vAlign w:val="center"/>
          </w:tcPr>
          <w:p w14:paraId="5E1FC2A1" w14:textId="77777777" w:rsidR="00C86F1F" w:rsidRPr="00DF1D9D" w:rsidRDefault="00C86F1F" w:rsidP="007B5326">
            <w:pPr>
              <w:spacing w:line="240" w:lineRule="auto"/>
              <w:jc w:val="center"/>
              <w:rPr>
                <w:rFonts w:eastAsia="等线"/>
                <w:i w:val="0"/>
                <w:iCs w:val="0"/>
                <w:sz w:val="18"/>
                <w:szCs w:val="18"/>
              </w:rPr>
            </w:pPr>
            <w:r w:rsidRPr="00DF1D9D">
              <w:rPr>
                <w:i w:val="0"/>
                <w:iCs w:val="0"/>
                <w:sz w:val="18"/>
                <w:szCs w:val="18"/>
              </w:rPr>
              <w:t>N</w:t>
            </w:r>
            <w:r>
              <w:rPr>
                <w:i w:val="0"/>
                <w:iCs w:val="0"/>
                <w:sz w:val="18"/>
                <w:szCs w:val="18"/>
              </w:rPr>
              <w:t>orthern</w:t>
            </w:r>
            <w:r w:rsidRPr="00DF1D9D">
              <w:rPr>
                <w:i w:val="0"/>
                <w:iCs w:val="0"/>
                <w:sz w:val="18"/>
                <w:szCs w:val="18"/>
              </w:rPr>
              <w:t xml:space="preserve"> Tonga</w:t>
            </w:r>
            <w:r>
              <w:rPr>
                <w:i w:val="0"/>
                <w:iCs w:val="0"/>
                <w:sz w:val="18"/>
                <w:szCs w:val="18"/>
              </w:rPr>
              <w:t xml:space="preserve"> Trench</w:t>
            </w:r>
          </w:p>
        </w:tc>
        <w:tc>
          <w:tcPr>
            <w:tcW w:w="1275" w:type="dxa"/>
            <w:tcBorders>
              <w:left w:val="single" w:sz="12" w:space="0" w:color="auto"/>
              <w:right w:val="single" w:sz="12" w:space="0" w:color="auto"/>
            </w:tcBorders>
            <w:vAlign w:val="center"/>
          </w:tcPr>
          <w:p w14:paraId="037A7A53" w14:textId="77777777" w:rsidR="00C86F1F" w:rsidRPr="00DF1D9D" w:rsidRDefault="00C86F1F" w:rsidP="007B5326">
            <w:pPr>
              <w:spacing w:line="240" w:lineRule="auto"/>
              <w:jc w:val="center"/>
              <w:cnfStyle w:val="000000100000" w:firstRow="0" w:lastRow="0" w:firstColumn="0" w:lastColumn="0" w:oddVBand="0" w:evenVBand="0" w:oddHBand="1" w:evenHBand="0" w:firstRowFirstColumn="0" w:firstRowLastColumn="0" w:lastRowFirstColumn="0" w:lastRowLastColumn="0"/>
              <w:rPr>
                <w:sz w:val="18"/>
                <w:szCs w:val="18"/>
              </w:rPr>
            </w:pPr>
            <w:r>
              <w:rPr>
                <w:rFonts w:hint="eastAsia"/>
                <w:sz w:val="18"/>
                <w:szCs w:val="18"/>
              </w:rPr>
              <w:t>N</w:t>
            </w:r>
            <w:r>
              <w:rPr>
                <w:sz w:val="18"/>
                <w:szCs w:val="18"/>
              </w:rPr>
              <w:t>TT</w:t>
            </w:r>
          </w:p>
        </w:tc>
        <w:tc>
          <w:tcPr>
            <w:tcW w:w="1134" w:type="dxa"/>
            <w:tcBorders>
              <w:left w:val="single" w:sz="12" w:space="0" w:color="auto"/>
            </w:tcBorders>
            <w:vAlign w:val="center"/>
          </w:tcPr>
          <w:p w14:paraId="0CB381D8" w14:textId="77777777" w:rsidR="00C86F1F" w:rsidRPr="00DF1D9D" w:rsidRDefault="00C86F1F" w:rsidP="007B5326">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等线"/>
                <w:sz w:val="18"/>
                <w:szCs w:val="18"/>
              </w:rPr>
            </w:pPr>
            <w:r w:rsidRPr="00DF1D9D">
              <w:rPr>
                <w:sz w:val="18"/>
                <w:szCs w:val="18"/>
              </w:rPr>
              <w:t>-174.05</w:t>
            </w:r>
          </w:p>
        </w:tc>
        <w:tc>
          <w:tcPr>
            <w:tcW w:w="993" w:type="dxa"/>
            <w:vAlign w:val="center"/>
          </w:tcPr>
          <w:p w14:paraId="5D88FE14" w14:textId="77777777" w:rsidR="00C86F1F" w:rsidRPr="00DF1D9D" w:rsidRDefault="00C86F1F" w:rsidP="007B5326">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等线"/>
                <w:sz w:val="18"/>
                <w:szCs w:val="18"/>
              </w:rPr>
            </w:pPr>
            <w:r w:rsidRPr="00DF1D9D">
              <w:rPr>
                <w:sz w:val="18"/>
                <w:szCs w:val="18"/>
              </w:rPr>
              <w:t>-14.5</w:t>
            </w:r>
          </w:p>
        </w:tc>
        <w:tc>
          <w:tcPr>
            <w:tcW w:w="1701" w:type="dxa"/>
            <w:vAlign w:val="center"/>
          </w:tcPr>
          <w:p w14:paraId="6B883176" w14:textId="77777777" w:rsidR="00C86F1F" w:rsidRPr="00DF1D9D" w:rsidRDefault="00C86F1F" w:rsidP="007B5326">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等线"/>
                <w:sz w:val="18"/>
                <w:szCs w:val="18"/>
              </w:rPr>
            </w:pPr>
            <w:r w:rsidRPr="00DF1D9D">
              <w:rPr>
                <w:sz w:val="18"/>
                <w:szCs w:val="18"/>
              </w:rPr>
              <w:t>Edge</w:t>
            </w:r>
          </w:p>
        </w:tc>
        <w:tc>
          <w:tcPr>
            <w:tcW w:w="1134" w:type="dxa"/>
            <w:tcBorders>
              <w:right w:val="single" w:sz="12" w:space="0" w:color="auto"/>
            </w:tcBorders>
            <w:vAlign w:val="center"/>
          </w:tcPr>
          <w:p w14:paraId="62DE60CB" w14:textId="75AE06D3" w:rsidR="00C86F1F" w:rsidRPr="00C86F1F" w:rsidRDefault="00C86F1F" w:rsidP="007B5326">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等线"/>
                <w:sz w:val="18"/>
                <w:szCs w:val="18"/>
                <w:vertAlign w:val="superscript"/>
              </w:rPr>
            </w:pPr>
            <w:r w:rsidRPr="00C86F1F">
              <w:rPr>
                <w:rFonts w:eastAsia="等线"/>
                <w:sz w:val="18"/>
                <w:szCs w:val="18"/>
                <w:vertAlign w:val="superscript"/>
              </w:rPr>
              <w:fldChar w:fldCharType="begin"/>
            </w:r>
            <w:r w:rsidR="005438C1">
              <w:rPr>
                <w:rFonts w:eastAsia="等线"/>
                <w:sz w:val="18"/>
                <w:szCs w:val="18"/>
                <w:vertAlign w:val="superscript"/>
              </w:rPr>
              <w:instrText xml:space="preserve"> ADDIN ZOTERO_ITEM CSL_CITATION {"citationID":"vkbJdBz9","properties":{"formattedCitation":"\\super 27\\nosupersub{}","plainCitation":"27","noteIndex":0},"citationItems":[{"id":1729,"uris":["http://zotero.org/users/4242308/items/NL8AKB66"],"itemData":{"id":1729,"type":"article-journal","container-title":"Geology","DOI":"10.1130/0091-7613(1998)026&lt;0659:SEFTOT&gt;2.3.CO;2","ISSN":"0091-7613","issue":"7","journalAbbreviation":"Geology","language":"en","page":"659-662","source":"pubs.geoscienceworld.org","title":"Seismological evidence for tearing of the Pacific plate at the northern termination of the Tonga subduction zone","volume":"26","author":[{"family":"Millen","given":"David W."},{"family":"Hamburger","given":"Michael W."}],"issued":{"date-parts":[["1998",7,1]]}}}],"schema":"https://github.com/citation-style-language/schema/raw/master/csl-citation.json"} </w:instrText>
            </w:r>
            <w:r w:rsidRPr="00C86F1F">
              <w:rPr>
                <w:rFonts w:eastAsia="等线"/>
                <w:sz w:val="18"/>
                <w:szCs w:val="18"/>
                <w:vertAlign w:val="superscript"/>
              </w:rPr>
              <w:fldChar w:fldCharType="separate"/>
            </w:r>
            <w:r w:rsidR="005438C1" w:rsidRPr="005438C1">
              <w:rPr>
                <w:kern w:val="0"/>
                <w:sz w:val="18"/>
                <w:vertAlign w:val="superscript"/>
              </w:rPr>
              <w:t>27</w:t>
            </w:r>
            <w:r w:rsidRPr="00C86F1F">
              <w:rPr>
                <w:rFonts w:eastAsia="等线"/>
                <w:sz w:val="18"/>
                <w:szCs w:val="18"/>
                <w:vertAlign w:val="superscript"/>
              </w:rPr>
              <w:fldChar w:fldCharType="end"/>
            </w:r>
          </w:p>
        </w:tc>
      </w:tr>
      <w:tr w:rsidR="00C86F1F" w:rsidRPr="00DF1D9D" w14:paraId="4BE0EA42" w14:textId="77777777" w:rsidTr="00D545AF">
        <w:trPr>
          <w:trHeight w:val="454"/>
        </w:trPr>
        <w:tc>
          <w:tcPr>
            <w:cnfStyle w:val="001000000000" w:firstRow="0" w:lastRow="0" w:firstColumn="1" w:lastColumn="0" w:oddVBand="0" w:evenVBand="0" w:oddHBand="0" w:evenHBand="0" w:firstRowFirstColumn="0" w:firstRowLastColumn="0" w:lastRowFirstColumn="0" w:lastRowLastColumn="0"/>
            <w:tcW w:w="2396" w:type="dxa"/>
            <w:tcBorders>
              <w:left w:val="single" w:sz="12" w:space="0" w:color="auto"/>
              <w:right w:val="single" w:sz="12" w:space="0" w:color="auto"/>
            </w:tcBorders>
            <w:vAlign w:val="center"/>
          </w:tcPr>
          <w:p w14:paraId="576F90AD" w14:textId="77777777" w:rsidR="00C86F1F" w:rsidRPr="00DF1D9D" w:rsidRDefault="00C86F1F" w:rsidP="007B5326">
            <w:pPr>
              <w:spacing w:line="240" w:lineRule="auto"/>
              <w:jc w:val="center"/>
              <w:rPr>
                <w:rFonts w:eastAsia="等线"/>
                <w:i w:val="0"/>
                <w:iCs w:val="0"/>
                <w:sz w:val="18"/>
                <w:szCs w:val="18"/>
              </w:rPr>
            </w:pPr>
            <w:r>
              <w:rPr>
                <w:i w:val="0"/>
                <w:iCs w:val="0"/>
                <w:sz w:val="18"/>
                <w:szCs w:val="18"/>
              </w:rPr>
              <w:t xml:space="preserve">North-Western </w:t>
            </w:r>
            <w:r w:rsidRPr="00DF1D9D">
              <w:rPr>
                <w:i w:val="0"/>
                <w:iCs w:val="0"/>
                <w:sz w:val="18"/>
                <w:szCs w:val="18"/>
              </w:rPr>
              <w:t>Puerto Rico</w:t>
            </w:r>
          </w:p>
        </w:tc>
        <w:tc>
          <w:tcPr>
            <w:tcW w:w="1275" w:type="dxa"/>
            <w:tcBorders>
              <w:left w:val="single" w:sz="12" w:space="0" w:color="auto"/>
              <w:right w:val="single" w:sz="12" w:space="0" w:color="auto"/>
            </w:tcBorders>
            <w:vAlign w:val="center"/>
          </w:tcPr>
          <w:p w14:paraId="6E0E1808" w14:textId="77777777" w:rsidR="00C86F1F" w:rsidRPr="00DF1D9D" w:rsidRDefault="00C86F1F" w:rsidP="007B5326">
            <w:pPr>
              <w:spacing w:line="240" w:lineRule="auto"/>
              <w:jc w:val="center"/>
              <w:cnfStyle w:val="000000000000" w:firstRow="0" w:lastRow="0" w:firstColumn="0" w:lastColumn="0" w:oddVBand="0" w:evenVBand="0" w:oddHBand="0" w:evenHBand="0" w:firstRowFirstColumn="0" w:firstRowLastColumn="0" w:lastRowFirstColumn="0" w:lastRowLastColumn="0"/>
              <w:rPr>
                <w:sz w:val="18"/>
                <w:szCs w:val="18"/>
              </w:rPr>
            </w:pPr>
            <w:r>
              <w:rPr>
                <w:sz w:val="18"/>
                <w:szCs w:val="18"/>
              </w:rPr>
              <w:t>NW</w:t>
            </w:r>
            <w:r>
              <w:rPr>
                <w:rFonts w:hint="eastAsia"/>
                <w:sz w:val="18"/>
                <w:szCs w:val="18"/>
              </w:rPr>
              <w:t>P</w:t>
            </w:r>
            <w:r>
              <w:rPr>
                <w:sz w:val="18"/>
                <w:szCs w:val="18"/>
              </w:rPr>
              <w:t>R</w:t>
            </w:r>
          </w:p>
        </w:tc>
        <w:tc>
          <w:tcPr>
            <w:tcW w:w="1134" w:type="dxa"/>
            <w:tcBorders>
              <w:left w:val="single" w:sz="12" w:space="0" w:color="auto"/>
            </w:tcBorders>
            <w:vAlign w:val="center"/>
          </w:tcPr>
          <w:p w14:paraId="2DBCED48" w14:textId="77777777" w:rsidR="00C86F1F" w:rsidRPr="00DF1D9D" w:rsidRDefault="00C86F1F" w:rsidP="007B5326">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等线"/>
                <w:sz w:val="18"/>
                <w:szCs w:val="18"/>
              </w:rPr>
            </w:pPr>
            <w:r w:rsidRPr="00DF1D9D">
              <w:rPr>
                <w:sz w:val="18"/>
                <w:szCs w:val="18"/>
              </w:rPr>
              <w:t>-67.</w:t>
            </w:r>
            <w:r>
              <w:rPr>
                <w:sz w:val="18"/>
                <w:szCs w:val="18"/>
              </w:rPr>
              <w:t>39</w:t>
            </w:r>
          </w:p>
        </w:tc>
        <w:tc>
          <w:tcPr>
            <w:tcW w:w="993" w:type="dxa"/>
            <w:vAlign w:val="center"/>
          </w:tcPr>
          <w:p w14:paraId="43E7BF18" w14:textId="77777777" w:rsidR="00C86F1F" w:rsidRPr="00DF1D9D" w:rsidRDefault="00C86F1F" w:rsidP="007B5326">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等线"/>
                <w:sz w:val="18"/>
                <w:szCs w:val="18"/>
              </w:rPr>
            </w:pPr>
            <w:r w:rsidRPr="00DF1D9D">
              <w:rPr>
                <w:sz w:val="18"/>
                <w:szCs w:val="18"/>
              </w:rPr>
              <w:t>19.</w:t>
            </w:r>
            <w:r>
              <w:rPr>
                <w:sz w:val="18"/>
                <w:szCs w:val="18"/>
              </w:rPr>
              <w:t>03</w:t>
            </w:r>
          </w:p>
        </w:tc>
        <w:tc>
          <w:tcPr>
            <w:tcW w:w="1701" w:type="dxa"/>
            <w:vAlign w:val="center"/>
          </w:tcPr>
          <w:p w14:paraId="2C9AD0B0" w14:textId="77777777" w:rsidR="00C86F1F" w:rsidRPr="00DF1D9D" w:rsidRDefault="00C86F1F" w:rsidP="007B5326">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等线"/>
                <w:sz w:val="18"/>
                <w:szCs w:val="18"/>
              </w:rPr>
            </w:pPr>
            <w:r w:rsidRPr="00DF1D9D">
              <w:rPr>
                <w:sz w:val="18"/>
                <w:szCs w:val="18"/>
              </w:rPr>
              <w:t>E</w:t>
            </w:r>
            <w:bookmarkStart w:id="1" w:name="_GoBack"/>
            <w:bookmarkEnd w:id="1"/>
            <w:r w:rsidRPr="00DF1D9D">
              <w:rPr>
                <w:sz w:val="18"/>
                <w:szCs w:val="18"/>
              </w:rPr>
              <w:t>dge</w:t>
            </w:r>
          </w:p>
        </w:tc>
        <w:tc>
          <w:tcPr>
            <w:tcW w:w="1134" w:type="dxa"/>
            <w:tcBorders>
              <w:right w:val="single" w:sz="12" w:space="0" w:color="auto"/>
            </w:tcBorders>
            <w:vAlign w:val="center"/>
          </w:tcPr>
          <w:p w14:paraId="4A44C907" w14:textId="29A19199" w:rsidR="00C86F1F" w:rsidRPr="00C86F1F" w:rsidRDefault="00C86F1F" w:rsidP="007B5326">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等线" w:hint="eastAsia"/>
                <w:sz w:val="18"/>
                <w:szCs w:val="18"/>
                <w:vertAlign w:val="superscript"/>
              </w:rPr>
            </w:pPr>
            <w:r w:rsidRPr="00C86F1F">
              <w:rPr>
                <w:rFonts w:eastAsia="等线"/>
                <w:sz w:val="18"/>
                <w:szCs w:val="18"/>
                <w:vertAlign w:val="superscript"/>
              </w:rPr>
              <w:fldChar w:fldCharType="begin"/>
            </w:r>
            <w:r w:rsidR="00022AEB">
              <w:rPr>
                <w:rFonts w:eastAsia="等线"/>
                <w:sz w:val="18"/>
                <w:szCs w:val="18"/>
                <w:vertAlign w:val="superscript"/>
              </w:rPr>
              <w:instrText xml:space="preserve"> ADDIN ZOTERO_ITEM CSL_CITATION {"citationID":"a0LsDyrH","properties":{"formattedCitation":"\\super 28,29\\nosupersub{}","plainCitation":"28,29","noteIndex":0},"citationItems":[{"id":2207,"uris":["http://zotero.org/users/4242308/items/NYW24IIY"],"itemData":{"id":2207,"type":"article-journal","abstract":"We present a new tomographic P wave model of the upper mantle in the east Caribbean region. The model was built using 3-D finite frequency sensitivity kernels and 20,000 teleseismic P and PP traveltime residuals from 535 events recorded across 130 broadband seismometers. We observe high-velocity features corresponding to a Caribbean beneath northern South America and an arcuate slab beneath the Lesser and Greater Antilles island arcs. The latter exhibits an along strike gradient in dip with steep edges and a reclined middle, consistent with ongoing slab rollback and collision. We divide the arcuate slab into three sections from two lateral discontinuities. The southern and northern Lesser Antilles sections are separated by a gap 15°N down to 200 km. Between Puerto Rico and Hispaniola, another gap down to 300 km separates the northern Lesser Antilles slab from a narrow slab fragment further east. We relate these discontinuities to the subducted North American-South American plate boundary and a slab segmentation tear, respectively. The northern and southern ends of the Lesser Antilles trench are actively deforming from collision and differential rollback. However, these areas exhibit different styles of lithospheric tearing, as manifest in the morphology of the slab. We infer the contrast in tearing relates to the presence of microplates at the northern boundary of the Caribbean plate. Microplates facilitate block divergence and differential trench retreat/rollback, which drive slab segmentation. These results offer new insight into the tectonics of the Caribbean region and the factors driving lithospheric tearing in slabs generally.","container-title":"Geochemistry, Geophysics, Geosystems","DOI":"https://doi.org/10.1029/2018GC007603","ISSN":"1525-2027","issue":"8","language":"en","note":"_eprint: https://agupubs.onlinelibrary.wiley.com/doi/pdf/10.1029/2018GC007603","page":"2292-2307","source":"Wiley Online Library","title":"Tomographic Imaging of Slab Segmentation and Deformation in the Greater Antilles","volume":"19","author":[{"family":"Harris","given":"Cooper W."},{"family":"Miller","given":"Meghan S."},{"family":"Porritt","given":"Robert W."}],"issued":{"date-parts":[["2018"]]}}},{"id":2982,"uris":["http://zotero.org/users/4242308/items/UEYIWN8E"],"itemData":{"id":2982,"type":"article-journal","abstract":"The margins of the Caribbean and associated hazards and resources have been shaped by a poorly understood history of subduction. Using new data, we improve teleseismic P-wave imaging of the eastern Caribbean upper mantle and compare identified subducted-plate fragments with trench locations predicted from plate reconstruction. This shows that material at 700–1200 km depth below South America derives from 90–115 Myr old westward subduction, initiated prior to Caribbean Large-Igneous-Province volcanism. At shallower depths, an accumulation of subducted material is attributed to Great Arc of the Caribbean subduction as it evolved over the past 70 Ma. We interpret gaps in these subducted-plate anomalies as: a plate window and tear along the subducted Proto-Caribbean ridge; tearing along subducted fracture zones, and subduction of a volatile-rich boundary between Proto-Caribbean and Atlantic domains. Phases of back-arc spreading and arc jumps correlate with changes in age, and hence buoyancy, of the subducting plate.","container-title":"Nature Communications","DOI":"10.1038/s41467-021-24413-0","ISSN":"2041-1723","issue":"1","journalAbbreviation":"Nat Commun","language":"en","note":"Bandiera_abtest: a\nCc_license_type: cc_by\nCg_type: Nature Research Journals\nnumber: 1\nPrimary_atype: Research\npublisher: Nature Publishing Group\nSubject_term: Geodynamics;Geophysics;Seismology;Tectonics\nSubject_term_id: geodynamics;geophysics;seismology;tectonics","page":"4211","source":"www.nature.com","title":"Subduction history of the Caribbean from upper-mantle seismic imaging and plate reconstruction","volume":"12","author":[{"family":"Braszus","given":"Benedikt"},{"family":"Goes","given":"Saskia"},{"family":"Allen","given":"Rob"},{"family":"Rietbrock","given":"Andreas"},{"family":"Collier","given":"Jenny"},{"family":"Harmon","given":"Nick"},{"family":"Henstock","given":"Tim"},{"family":"Hicks","given":"Stephen"},{"family":"Rychert","given":"Catherine A."},{"family":"Maunder","given":"Ben"},{"family":"Hunen","given":"Jeroen","non-dropping-particle":"van"},{"family":"Bie","given":"Lidong"},{"family":"Blundy","given":"Jon"},{"family":"Cooper","given":"George"},{"family":"Davy","given":"Richard"},{"family":"Kendall","given":"J. Michael"},{"family":"Macpherson","given":"Colin"},{"family":"Wilkinson","given":"Jamie"},{"family":"Wilson","given":"Marjorie"}],"issued":{"date-parts":[["2021",7,9]]}}}],"schema":"https://github.com/citation-style-language/schema/raw/master/csl-citation.json"} </w:instrText>
            </w:r>
            <w:r w:rsidRPr="00C86F1F">
              <w:rPr>
                <w:rFonts w:eastAsia="等线"/>
                <w:sz w:val="18"/>
                <w:szCs w:val="18"/>
                <w:vertAlign w:val="superscript"/>
              </w:rPr>
              <w:fldChar w:fldCharType="separate"/>
            </w:r>
            <w:r w:rsidR="00022AEB" w:rsidRPr="00022AEB">
              <w:rPr>
                <w:kern w:val="0"/>
                <w:sz w:val="18"/>
                <w:vertAlign w:val="superscript"/>
              </w:rPr>
              <w:t>28,29</w:t>
            </w:r>
            <w:r w:rsidRPr="00C86F1F">
              <w:rPr>
                <w:rFonts w:eastAsia="等线"/>
                <w:sz w:val="18"/>
                <w:szCs w:val="18"/>
                <w:vertAlign w:val="superscript"/>
              </w:rPr>
              <w:fldChar w:fldCharType="end"/>
            </w:r>
          </w:p>
        </w:tc>
      </w:tr>
      <w:tr w:rsidR="00C86F1F" w:rsidRPr="00DF1D9D" w14:paraId="791E7877" w14:textId="77777777" w:rsidTr="00D545AF">
        <w:trPr>
          <w:cnfStyle w:val="000000100000" w:firstRow="0" w:lastRow="0" w:firstColumn="0" w:lastColumn="0" w:oddVBand="0" w:evenVBand="0" w:oddHBand="1" w:evenHBand="0" w:firstRowFirstColumn="0" w:firstRowLastColumn="0" w:lastRowFirstColumn="0" w:lastRowLastColumn="0"/>
          <w:trHeight w:val="454"/>
        </w:trPr>
        <w:tc>
          <w:tcPr>
            <w:cnfStyle w:val="001000000000" w:firstRow="0" w:lastRow="0" w:firstColumn="1" w:lastColumn="0" w:oddVBand="0" w:evenVBand="0" w:oddHBand="0" w:evenHBand="0" w:firstRowFirstColumn="0" w:firstRowLastColumn="0" w:lastRowFirstColumn="0" w:lastRowLastColumn="0"/>
            <w:tcW w:w="2396" w:type="dxa"/>
            <w:tcBorders>
              <w:left w:val="single" w:sz="12" w:space="0" w:color="auto"/>
              <w:bottom w:val="dashed" w:sz="12" w:space="0" w:color="auto"/>
              <w:right w:val="single" w:sz="12" w:space="0" w:color="auto"/>
            </w:tcBorders>
            <w:vAlign w:val="center"/>
          </w:tcPr>
          <w:p w14:paraId="0E87C237" w14:textId="77777777" w:rsidR="00C86F1F" w:rsidRPr="00DF1D9D" w:rsidRDefault="00C86F1F" w:rsidP="007B5326">
            <w:pPr>
              <w:spacing w:line="240" w:lineRule="auto"/>
              <w:jc w:val="center"/>
              <w:rPr>
                <w:i w:val="0"/>
                <w:iCs w:val="0"/>
                <w:sz w:val="18"/>
                <w:szCs w:val="18"/>
              </w:rPr>
            </w:pPr>
            <w:r w:rsidRPr="003C505D">
              <w:rPr>
                <w:i w:val="0"/>
                <w:iCs w:val="0"/>
                <w:sz w:val="18"/>
                <w:szCs w:val="18"/>
              </w:rPr>
              <w:t>Pliny-Strabo Trenches</w:t>
            </w:r>
          </w:p>
        </w:tc>
        <w:tc>
          <w:tcPr>
            <w:tcW w:w="1275" w:type="dxa"/>
            <w:tcBorders>
              <w:left w:val="single" w:sz="12" w:space="0" w:color="auto"/>
              <w:bottom w:val="dashed" w:sz="12" w:space="0" w:color="auto"/>
              <w:right w:val="single" w:sz="12" w:space="0" w:color="auto"/>
            </w:tcBorders>
            <w:vAlign w:val="center"/>
          </w:tcPr>
          <w:p w14:paraId="09328276" w14:textId="77777777" w:rsidR="00C86F1F" w:rsidRDefault="00C86F1F" w:rsidP="007B5326">
            <w:pPr>
              <w:spacing w:line="240" w:lineRule="auto"/>
              <w:jc w:val="center"/>
              <w:cnfStyle w:val="000000100000" w:firstRow="0" w:lastRow="0" w:firstColumn="0" w:lastColumn="0" w:oddVBand="0" w:evenVBand="0" w:oddHBand="1" w:evenHBand="0" w:firstRowFirstColumn="0" w:firstRowLastColumn="0" w:lastRowFirstColumn="0" w:lastRowLastColumn="0"/>
              <w:rPr>
                <w:sz w:val="18"/>
                <w:szCs w:val="18"/>
              </w:rPr>
            </w:pPr>
            <w:r>
              <w:rPr>
                <w:sz w:val="18"/>
                <w:szCs w:val="18"/>
              </w:rPr>
              <w:t>PST</w:t>
            </w:r>
          </w:p>
        </w:tc>
        <w:tc>
          <w:tcPr>
            <w:tcW w:w="1134" w:type="dxa"/>
            <w:tcBorders>
              <w:left w:val="single" w:sz="12" w:space="0" w:color="auto"/>
              <w:bottom w:val="dashed" w:sz="12" w:space="0" w:color="auto"/>
            </w:tcBorders>
            <w:vAlign w:val="center"/>
          </w:tcPr>
          <w:p w14:paraId="71C3B178" w14:textId="77777777" w:rsidR="00C86F1F" w:rsidRPr="00DF1D9D" w:rsidRDefault="00C86F1F" w:rsidP="007B5326">
            <w:pPr>
              <w:spacing w:line="240" w:lineRule="auto"/>
              <w:jc w:val="center"/>
              <w:cnfStyle w:val="000000100000" w:firstRow="0" w:lastRow="0" w:firstColumn="0" w:lastColumn="0" w:oddVBand="0" w:evenVBand="0" w:oddHBand="1" w:evenHBand="0" w:firstRowFirstColumn="0" w:firstRowLastColumn="0" w:lastRowFirstColumn="0" w:lastRowLastColumn="0"/>
              <w:rPr>
                <w:sz w:val="18"/>
                <w:szCs w:val="18"/>
              </w:rPr>
            </w:pPr>
            <w:r w:rsidRPr="00DF1D9D">
              <w:rPr>
                <w:sz w:val="18"/>
                <w:szCs w:val="18"/>
              </w:rPr>
              <w:t>28.46</w:t>
            </w:r>
          </w:p>
        </w:tc>
        <w:tc>
          <w:tcPr>
            <w:tcW w:w="993" w:type="dxa"/>
            <w:tcBorders>
              <w:bottom w:val="dashed" w:sz="12" w:space="0" w:color="auto"/>
            </w:tcBorders>
            <w:vAlign w:val="center"/>
          </w:tcPr>
          <w:p w14:paraId="7B7C492B" w14:textId="77777777" w:rsidR="00C86F1F" w:rsidRPr="00DF1D9D" w:rsidRDefault="00C86F1F" w:rsidP="007B5326">
            <w:pPr>
              <w:spacing w:line="240" w:lineRule="auto"/>
              <w:jc w:val="center"/>
              <w:cnfStyle w:val="000000100000" w:firstRow="0" w:lastRow="0" w:firstColumn="0" w:lastColumn="0" w:oddVBand="0" w:evenVBand="0" w:oddHBand="1" w:evenHBand="0" w:firstRowFirstColumn="0" w:firstRowLastColumn="0" w:lastRowFirstColumn="0" w:lastRowLastColumn="0"/>
              <w:rPr>
                <w:sz w:val="18"/>
                <w:szCs w:val="18"/>
              </w:rPr>
            </w:pPr>
            <w:r w:rsidRPr="00DF1D9D">
              <w:rPr>
                <w:sz w:val="18"/>
                <w:szCs w:val="18"/>
              </w:rPr>
              <w:t>35.8</w:t>
            </w:r>
          </w:p>
        </w:tc>
        <w:tc>
          <w:tcPr>
            <w:tcW w:w="1701" w:type="dxa"/>
            <w:tcBorders>
              <w:bottom w:val="dashed" w:sz="12" w:space="0" w:color="auto"/>
            </w:tcBorders>
            <w:vAlign w:val="center"/>
          </w:tcPr>
          <w:p w14:paraId="6A0FEB22" w14:textId="77777777" w:rsidR="00C86F1F" w:rsidRPr="00DF1D9D" w:rsidRDefault="00C86F1F" w:rsidP="007B5326">
            <w:pPr>
              <w:spacing w:line="240" w:lineRule="auto"/>
              <w:jc w:val="center"/>
              <w:cnfStyle w:val="000000100000" w:firstRow="0" w:lastRow="0" w:firstColumn="0" w:lastColumn="0" w:oddVBand="0" w:evenVBand="0" w:oddHBand="1" w:evenHBand="0" w:firstRowFirstColumn="0" w:firstRowLastColumn="0" w:lastRowFirstColumn="0" w:lastRowLastColumn="0"/>
              <w:rPr>
                <w:sz w:val="18"/>
                <w:szCs w:val="18"/>
              </w:rPr>
            </w:pPr>
            <w:r w:rsidRPr="00DF1D9D">
              <w:rPr>
                <w:sz w:val="18"/>
                <w:szCs w:val="18"/>
              </w:rPr>
              <w:t>Internal</w:t>
            </w:r>
          </w:p>
        </w:tc>
        <w:tc>
          <w:tcPr>
            <w:tcW w:w="1134" w:type="dxa"/>
            <w:tcBorders>
              <w:bottom w:val="dashed" w:sz="12" w:space="0" w:color="auto"/>
              <w:right w:val="single" w:sz="12" w:space="0" w:color="auto"/>
            </w:tcBorders>
            <w:vAlign w:val="center"/>
          </w:tcPr>
          <w:p w14:paraId="7FBC6292" w14:textId="2385C620" w:rsidR="00C86F1F" w:rsidRPr="00C86F1F" w:rsidRDefault="00C86F1F" w:rsidP="007B5326">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等线"/>
                <w:sz w:val="18"/>
                <w:szCs w:val="18"/>
                <w:vertAlign w:val="superscript"/>
              </w:rPr>
            </w:pPr>
            <w:r w:rsidRPr="00C86F1F">
              <w:rPr>
                <w:rFonts w:eastAsia="等线"/>
                <w:sz w:val="18"/>
                <w:szCs w:val="18"/>
                <w:vertAlign w:val="superscript"/>
              </w:rPr>
              <w:fldChar w:fldCharType="begin"/>
            </w:r>
            <w:r w:rsidR="00022AEB">
              <w:rPr>
                <w:rFonts w:eastAsia="等线"/>
                <w:sz w:val="18"/>
                <w:szCs w:val="18"/>
                <w:vertAlign w:val="superscript"/>
              </w:rPr>
              <w:instrText xml:space="preserve"> ADDIN ZOTERO_ITEM CSL_CITATION {"citationID":"BASGsFby","properties":{"formattedCitation":"\\super 30,31\\nosupersub{}","plainCitation":"30,31","noteIndex":0},"citationItems":[{"id":2319,"uris":["http://zotero.org/users/4242308/items/5G3MQLV4"],"itemData":{"id":2319,"type":"article-journal","abstract":"Lithospheric deformation throughout Anatolia, a part of the Alpine–Himalayan orogenic belt, is controlled mainly by collision-related tectonic escape of the Anatolian Plate and subduction roll-back along the Aegean Subduction Zone. We study the deeper lithosphere and mantle structure of Anatolia using teleseismic, finite-frequency, P-wave traveltime tomography. We use data from several temporary and permanent seismic networks deployed in the region. Approximately 34 000 P-wave relative traveltime residuals, measured in multiple frequency bands, are inverted using approximate finite-frequency sensitivity kernels. Our tomograms reveal segmented fast seismic anomalies beneath Anatolia that corresponds to the subducted portion of the African lithosphere along the Cyprean and the Aegean trenches. We identify these anomalies as the subducted Aegean and the Cyprus slabs that are separated from each other by a gap as wide as 300 km beneath Western Anatolia. This gap is occupied by slow velocity perturbations that we interpret as hot upwelling asthenosphere. The eastern termination of the subducting African lithosphere is located near the transition from central Anatolia to the Eastern Anatolian Plateau or Arabian–Eurasian collision front that is underlain by large volumes of hot, underplating asthenosphere marked by slow velocity perturbations. Our tomograms also show fast velocity perturbations at shallow depths beneath northwestern Anatolia that sharply terminates towards the south at the North Anatolian Fault Zone (NAFZ). The associated velocity contrast across the NAFZ persists down to a depth of 100–150 km. Hence, our study is the first to investigate and interpret the vertical extent of deformation along this nascent transform plate boundary. Overall, the resolved upper-mantle structure of Anatolia is directly related with the geology and tectonic features observed at the surface of the Anatolian Plate and suggest that the segmented nature of the subducted African lithosphere plays an important role in the evolution of Anatolia and distribution of its tectonic provinces.","container-title":"Geophysical Journal International","DOI":"https://doi.org/10.1111/j.1365-246X.2010.04910.x","ISSN":"1365-246X","issue":"3","language":"en","note":"_eprint: https://onlinelibrary.wiley.com/doi/pdf/10.1111/j.1365-246X.2010.04910.x","page":"1037-1057","source":"Wiley Online Library","title":"Segmented African lithosphere beneath the Anatolian region inferred from teleseismic P-wave tomography","volume":"184","author":[{"family":"Biryol","given":"C. Berk"},{"family":"Beck","given":"Susan L."},{"family":"Zandt","given":"George"},{"family":"Özacar","given":"A. Arda"}],"issued":{"date-parts":[["2011"]]}}},{"id":2809,"uris":["http://zotero.org/users/4242308/items/62TLP2BI"],"itemData":{"id":2809,"type":"article-journal","abstract":"This study provides new constraints on the upper-mantle structure from western Greece to central Anatolia using seismic data of permanent broad-band networks recently installed in Greece and Turkey and from a two-year temporary array (SIMBAAD experiment). We used </w:instrText>
            </w:r>
            <w:r w:rsidR="00022AEB">
              <w:rPr>
                <w:rFonts w:ascii="Cambria Math" w:eastAsia="等线" w:hAnsi="Cambria Math" w:cs="Cambria Math"/>
                <w:sz w:val="18"/>
                <w:szCs w:val="18"/>
                <w:vertAlign w:val="superscript"/>
              </w:rPr>
              <w:instrText>∼</w:instrText>
            </w:r>
            <w:r w:rsidR="00022AEB">
              <w:rPr>
                <w:rFonts w:eastAsia="等线"/>
                <w:sz w:val="18"/>
                <w:szCs w:val="18"/>
                <w:vertAlign w:val="superscript"/>
              </w:rPr>
              <w:instrText>200 seismic events recorded at 146 broad-band stations with a typical interstation distance of 60-100 km across the study area. The high-resolution 3-D shear wave velocity model of the mantle is obtained by inversion of fundamental-mode Rayleigh wave phase velocity maps for periods between 20 and 195 s. The tomography is based on ray tracing in heterogeneous media taking into account external propagation effects. The horizontal resolution is approximately 100 km, however small heterogeneities may suffer from some horizontal smearing and damping. The vertical resolution is approximately 100 km. The vertical smoothing is necessary to avoid unresolved spurious shear wave velocity oscillations in the upper mantle. The errors on shear wave velocities in our 3-D model (0.02–0.1 km s−1) are significantly smaller than the amplitude of Vs variations (0.3–0.5 km s−1). In spite of the vertical and horizontal smoothing, our model shows details in the upper-mantle structure never reached at regional scale in the area. The overall structure is characterized by a low-velocity zone (80–200 km depth) reflecting a slow and warm asthenosphere underlying a thin lithosphere. The southwesternmost termination of the low-velocity anomaly corresponds to the northward dipping Hellenic slab. The detailed shear velocity structure of the upper mantle beneath Anatolia appears to be far more geometrically complex than revealed in previous tomographic studies of the area. At depths larger than or equal to 160 km, velocities are overall high beneath Anatolia, partly due to the presence of dipping high-velocity anomalies which we tentatively interpret as remnant slabs. The southernmost high-velocity anomaly beneath Anatolia is separated from the eastern edge of the Hellenic slab by a major low-velocity anomaly which we interpret as the trace of asthenospheric mantle material rising inside a vertical slab tear beneath southwestern Anatolia.","container-title":"Geophysical Journal International","DOI":"10.1111/j.1365-246X.2012.05483.x","ISSN":"0956-540X","issue":"1","journalAbbreviation":"Geophysical Journal International","page":"406-420","source":"Silverchair","title":"High-resolution surface wave tomography beneath the Aegean-Anatolia region: constraints on upper-mantle structure","title-short":"High-resolution surface wave tomography beneath the Aegean-Anatolia region","volume":"190","author":[{"family":"Salaün","given":"Gw</w:instrText>
            </w:r>
            <w:r w:rsidR="00022AEB">
              <w:rPr>
                <w:rFonts w:eastAsia="等线" w:hint="eastAsia"/>
                <w:sz w:val="18"/>
                <w:szCs w:val="18"/>
                <w:vertAlign w:val="superscript"/>
              </w:rPr>
              <w:instrText>é</w:instrText>
            </w:r>
            <w:r w:rsidR="00022AEB">
              <w:rPr>
                <w:rFonts w:eastAsia="等线"/>
                <w:sz w:val="18"/>
                <w:szCs w:val="18"/>
                <w:vertAlign w:val="superscript"/>
              </w:rPr>
              <w:instrText xml:space="preserve">naëlle"},{"family":"Pedersen","given":"Helle A."},{"family":"Paul","given":"Anne"},{"family":"Farra","given":"Véronique"},{"family":"Karabulut","given":"Hayrullah"},{"family":"Hatzfeld","given":"Denis"},{"family":"Papazachos","given":"Costas"},{"family":"Childs","given":"Dean M."},{"family":"Pequegnat","given":"Catherine"},{"literal":"and SIMBAAD Team"}],"issued":{"date-parts":[["2012",8,1]]}}}],"schema":"https://github.com/citation-style-language/schema/raw/master/csl-citation.json"} </w:instrText>
            </w:r>
            <w:r w:rsidRPr="00C86F1F">
              <w:rPr>
                <w:rFonts w:eastAsia="等线"/>
                <w:sz w:val="18"/>
                <w:szCs w:val="18"/>
                <w:vertAlign w:val="superscript"/>
              </w:rPr>
              <w:fldChar w:fldCharType="separate"/>
            </w:r>
            <w:r w:rsidR="00022AEB" w:rsidRPr="00022AEB">
              <w:rPr>
                <w:kern w:val="0"/>
                <w:sz w:val="18"/>
                <w:vertAlign w:val="superscript"/>
              </w:rPr>
              <w:t>30,31</w:t>
            </w:r>
            <w:r w:rsidRPr="00C86F1F">
              <w:rPr>
                <w:rFonts w:eastAsia="等线"/>
                <w:sz w:val="18"/>
                <w:szCs w:val="18"/>
                <w:vertAlign w:val="superscript"/>
              </w:rPr>
              <w:fldChar w:fldCharType="end"/>
            </w:r>
          </w:p>
        </w:tc>
      </w:tr>
      <w:tr w:rsidR="00C86F1F" w:rsidRPr="00DF1D9D" w14:paraId="23C430A1" w14:textId="77777777" w:rsidTr="00D545AF">
        <w:trPr>
          <w:trHeight w:val="454"/>
        </w:trPr>
        <w:tc>
          <w:tcPr>
            <w:cnfStyle w:val="001000000000" w:firstRow="0" w:lastRow="0" w:firstColumn="1" w:lastColumn="0" w:oddVBand="0" w:evenVBand="0" w:oddHBand="0" w:evenHBand="0" w:firstRowFirstColumn="0" w:firstRowLastColumn="0" w:lastRowFirstColumn="0" w:lastRowLastColumn="0"/>
            <w:tcW w:w="2396" w:type="dxa"/>
            <w:tcBorders>
              <w:top w:val="dashed" w:sz="12" w:space="0" w:color="auto"/>
              <w:left w:val="single" w:sz="12" w:space="0" w:color="auto"/>
              <w:right w:val="single" w:sz="12" w:space="0" w:color="auto"/>
            </w:tcBorders>
            <w:vAlign w:val="center"/>
          </w:tcPr>
          <w:p w14:paraId="21007022" w14:textId="77777777" w:rsidR="00C86F1F" w:rsidRPr="00DF1D9D" w:rsidRDefault="00C86F1F" w:rsidP="007B5326">
            <w:pPr>
              <w:spacing w:line="240" w:lineRule="auto"/>
              <w:jc w:val="center"/>
              <w:rPr>
                <w:i w:val="0"/>
                <w:iCs w:val="0"/>
                <w:sz w:val="18"/>
                <w:szCs w:val="18"/>
              </w:rPr>
            </w:pPr>
            <w:r>
              <w:rPr>
                <w:rFonts w:hint="eastAsia"/>
                <w:i w:val="0"/>
                <w:iCs w:val="0"/>
                <w:sz w:val="18"/>
                <w:szCs w:val="18"/>
              </w:rPr>
              <w:lastRenderedPageBreak/>
              <w:t>S</w:t>
            </w:r>
            <w:r>
              <w:rPr>
                <w:i w:val="0"/>
                <w:iCs w:val="0"/>
                <w:sz w:val="18"/>
                <w:szCs w:val="18"/>
              </w:rPr>
              <w:t>andra Ridge</w:t>
            </w:r>
          </w:p>
        </w:tc>
        <w:tc>
          <w:tcPr>
            <w:tcW w:w="1275" w:type="dxa"/>
            <w:tcBorders>
              <w:top w:val="dashed" w:sz="12" w:space="0" w:color="auto"/>
              <w:left w:val="single" w:sz="12" w:space="0" w:color="auto"/>
              <w:right w:val="single" w:sz="12" w:space="0" w:color="auto"/>
            </w:tcBorders>
            <w:vAlign w:val="center"/>
          </w:tcPr>
          <w:p w14:paraId="28DA886B" w14:textId="77777777" w:rsidR="00C86F1F" w:rsidRDefault="00C86F1F" w:rsidP="007B5326">
            <w:pPr>
              <w:spacing w:line="240" w:lineRule="auto"/>
              <w:jc w:val="center"/>
              <w:cnfStyle w:val="000000000000" w:firstRow="0" w:lastRow="0" w:firstColumn="0" w:lastColumn="0" w:oddVBand="0" w:evenVBand="0" w:oddHBand="0" w:evenHBand="0" w:firstRowFirstColumn="0" w:firstRowLastColumn="0" w:lastRowFirstColumn="0" w:lastRowLastColumn="0"/>
              <w:rPr>
                <w:sz w:val="18"/>
                <w:szCs w:val="18"/>
              </w:rPr>
            </w:pPr>
            <w:r>
              <w:rPr>
                <w:rFonts w:hint="eastAsia"/>
                <w:sz w:val="18"/>
                <w:szCs w:val="18"/>
              </w:rPr>
              <w:t>S</w:t>
            </w:r>
            <w:r>
              <w:rPr>
                <w:sz w:val="18"/>
                <w:szCs w:val="18"/>
              </w:rPr>
              <w:t>R</w:t>
            </w:r>
          </w:p>
        </w:tc>
        <w:tc>
          <w:tcPr>
            <w:tcW w:w="1134" w:type="dxa"/>
            <w:tcBorders>
              <w:top w:val="dashed" w:sz="12" w:space="0" w:color="auto"/>
              <w:left w:val="single" w:sz="12" w:space="0" w:color="auto"/>
            </w:tcBorders>
            <w:vAlign w:val="center"/>
          </w:tcPr>
          <w:p w14:paraId="62B02FF5" w14:textId="77777777" w:rsidR="00C86F1F" w:rsidRPr="00DF1D9D" w:rsidRDefault="00C86F1F" w:rsidP="007B5326">
            <w:pPr>
              <w:spacing w:line="240" w:lineRule="auto"/>
              <w:jc w:val="center"/>
              <w:cnfStyle w:val="000000000000" w:firstRow="0" w:lastRow="0" w:firstColumn="0" w:lastColumn="0" w:oddVBand="0" w:evenVBand="0" w:oddHBand="0" w:evenHBand="0" w:firstRowFirstColumn="0" w:firstRowLastColumn="0" w:lastRowFirstColumn="0" w:lastRowLastColumn="0"/>
              <w:rPr>
                <w:sz w:val="18"/>
                <w:szCs w:val="18"/>
              </w:rPr>
            </w:pPr>
            <w:r>
              <w:rPr>
                <w:rFonts w:hint="eastAsia"/>
                <w:sz w:val="18"/>
                <w:szCs w:val="18"/>
              </w:rPr>
              <w:t>-</w:t>
            </w:r>
            <w:r>
              <w:rPr>
                <w:sz w:val="18"/>
                <w:szCs w:val="18"/>
              </w:rPr>
              <w:t>77.98</w:t>
            </w:r>
          </w:p>
        </w:tc>
        <w:tc>
          <w:tcPr>
            <w:tcW w:w="993" w:type="dxa"/>
            <w:tcBorders>
              <w:top w:val="dashed" w:sz="12" w:space="0" w:color="auto"/>
            </w:tcBorders>
            <w:vAlign w:val="center"/>
          </w:tcPr>
          <w:p w14:paraId="1C2CC7F6" w14:textId="77777777" w:rsidR="00C86F1F" w:rsidRPr="00DF1D9D" w:rsidRDefault="00C86F1F" w:rsidP="007B5326">
            <w:pPr>
              <w:spacing w:line="240" w:lineRule="auto"/>
              <w:jc w:val="center"/>
              <w:cnfStyle w:val="000000000000" w:firstRow="0" w:lastRow="0" w:firstColumn="0" w:lastColumn="0" w:oddVBand="0" w:evenVBand="0" w:oddHBand="0" w:evenHBand="0" w:firstRowFirstColumn="0" w:firstRowLastColumn="0" w:lastRowFirstColumn="0" w:lastRowLastColumn="0"/>
              <w:rPr>
                <w:sz w:val="18"/>
                <w:szCs w:val="18"/>
              </w:rPr>
            </w:pPr>
            <w:r>
              <w:rPr>
                <w:rFonts w:hint="eastAsia"/>
                <w:sz w:val="18"/>
                <w:szCs w:val="18"/>
              </w:rPr>
              <w:t>5</w:t>
            </w:r>
            <w:r>
              <w:rPr>
                <w:sz w:val="18"/>
                <w:szCs w:val="18"/>
              </w:rPr>
              <w:t>.66</w:t>
            </w:r>
          </w:p>
        </w:tc>
        <w:tc>
          <w:tcPr>
            <w:tcW w:w="1701" w:type="dxa"/>
            <w:tcBorders>
              <w:top w:val="dashed" w:sz="12" w:space="0" w:color="auto"/>
            </w:tcBorders>
            <w:vAlign w:val="center"/>
          </w:tcPr>
          <w:p w14:paraId="7CFFE8CD" w14:textId="77777777" w:rsidR="00C86F1F" w:rsidRPr="00DF1D9D" w:rsidRDefault="00C86F1F" w:rsidP="007B5326">
            <w:pPr>
              <w:spacing w:line="240" w:lineRule="auto"/>
              <w:jc w:val="center"/>
              <w:cnfStyle w:val="000000000000" w:firstRow="0" w:lastRow="0" w:firstColumn="0" w:lastColumn="0" w:oddVBand="0" w:evenVBand="0" w:oddHBand="0" w:evenHBand="0" w:firstRowFirstColumn="0" w:firstRowLastColumn="0" w:lastRowFirstColumn="0" w:lastRowLastColumn="0"/>
              <w:rPr>
                <w:sz w:val="18"/>
                <w:szCs w:val="18"/>
              </w:rPr>
            </w:pPr>
            <w:r w:rsidRPr="008B6ABA">
              <w:rPr>
                <w:sz w:val="18"/>
                <w:szCs w:val="18"/>
              </w:rPr>
              <w:t>Internal</w:t>
            </w:r>
          </w:p>
        </w:tc>
        <w:tc>
          <w:tcPr>
            <w:tcW w:w="1134" w:type="dxa"/>
            <w:tcBorders>
              <w:top w:val="dashed" w:sz="12" w:space="0" w:color="auto"/>
              <w:right w:val="single" w:sz="12" w:space="0" w:color="auto"/>
            </w:tcBorders>
            <w:vAlign w:val="center"/>
          </w:tcPr>
          <w:p w14:paraId="009308C5" w14:textId="324CA643" w:rsidR="00C86F1F" w:rsidRPr="00C86F1F" w:rsidRDefault="00C86F1F" w:rsidP="007B5326">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等线"/>
                <w:sz w:val="18"/>
                <w:szCs w:val="18"/>
                <w:vertAlign w:val="superscript"/>
              </w:rPr>
            </w:pPr>
            <w:r w:rsidRPr="00C86F1F">
              <w:rPr>
                <w:rFonts w:eastAsia="等线"/>
                <w:sz w:val="18"/>
                <w:szCs w:val="18"/>
                <w:vertAlign w:val="superscript"/>
              </w:rPr>
              <w:fldChar w:fldCharType="begin"/>
            </w:r>
            <w:r w:rsidR="00022AEB">
              <w:rPr>
                <w:rFonts w:eastAsia="等线"/>
                <w:sz w:val="18"/>
                <w:szCs w:val="18"/>
                <w:vertAlign w:val="superscript"/>
              </w:rPr>
              <w:instrText xml:space="preserve"> ADDIN ZOTERO_ITEM CSL_CITATION {"citationID":"YRYz5Ehn","properties":{"formattedCitation":"\\super 32,33\\nosupersub{}","plainCitation":"32,33","noteIndex":0},"citationItems":[{"id":2828,"uris":["http://zotero.org/users/4242308/items/YM7LJ5I4"],"itemData</w:instrText>
            </w:r>
            <w:r w:rsidR="00022AEB">
              <w:rPr>
                <w:rFonts w:eastAsia="等线" w:hint="eastAsia"/>
                <w:sz w:val="18"/>
                <w:szCs w:val="18"/>
                <w:vertAlign w:val="superscript"/>
              </w:rPr>
              <w:instrText>":{"id":2828,"type":"article-journal","abstract":"We present two regional, lithospheric cross sections that illustrate eastward</w:instrText>
            </w:r>
            <w:r w:rsidR="00022AEB">
              <w:rPr>
                <w:rFonts w:eastAsia="等线" w:hint="eastAsia"/>
                <w:sz w:val="18"/>
                <w:szCs w:val="18"/>
                <w:vertAlign w:val="superscript"/>
              </w:rPr>
              <w:instrText>‐</w:instrText>
            </w:r>
            <w:r w:rsidR="00022AEB">
              <w:rPr>
                <w:rFonts w:eastAsia="等线" w:hint="eastAsia"/>
                <w:sz w:val="18"/>
                <w:szCs w:val="18"/>
                <w:vertAlign w:val="superscript"/>
              </w:rPr>
              <w:instrText xml:space="preserve"> and southeastward</w:instrText>
            </w:r>
            <w:r w:rsidR="00022AEB">
              <w:rPr>
                <w:rFonts w:eastAsia="等线" w:hint="eastAsia"/>
                <w:sz w:val="18"/>
                <w:szCs w:val="18"/>
                <w:vertAlign w:val="superscript"/>
              </w:rPr>
              <w:instrText>‐</w:instrText>
            </w:r>
            <w:r w:rsidR="00022AEB">
              <w:rPr>
                <w:rFonts w:eastAsia="等线" w:hint="eastAsia"/>
                <w:sz w:val="18"/>
                <w:szCs w:val="18"/>
                <w:vertAlign w:val="superscript"/>
              </w:rPr>
              <w:instrText>dipping, subducted slabs to depths of 315 km beneath the surface of Colombia in northwestern South America. These cross</w:instrText>
            </w:r>
            <w:r w:rsidR="00022AEB">
              <w:rPr>
                <w:rFonts w:eastAsia="等线" w:hint="eastAsia"/>
                <w:sz w:val="18"/>
                <w:szCs w:val="18"/>
                <w:vertAlign w:val="superscript"/>
              </w:rPr>
              <w:instrText>‐</w:instrText>
            </w:r>
            <w:r w:rsidR="00022AEB">
              <w:rPr>
                <w:rFonts w:eastAsia="等线" w:hint="eastAsia"/>
                <w:sz w:val="18"/>
                <w:szCs w:val="18"/>
                <w:vertAlign w:val="superscript"/>
              </w:rPr>
              <w:instrText>sectional interpretations are based on relocated earthquake hypocentral solutions, models supported on gravity and magnetic regional data, and coda</w:instrText>
            </w:r>
            <w:r w:rsidR="00022AEB">
              <w:rPr>
                <w:rFonts w:eastAsia="等线" w:hint="eastAsia"/>
                <w:sz w:val="18"/>
                <w:szCs w:val="18"/>
                <w:vertAlign w:val="superscript"/>
              </w:rPr>
              <w:instrText>‐</w:instrText>
            </w:r>
            <w:r w:rsidR="00022AEB">
              <w:rPr>
                <w:rFonts w:eastAsia="等线" w:hint="eastAsia"/>
                <w:sz w:val="18"/>
                <w:szCs w:val="18"/>
                <w:vertAlign w:val="superscript"/>
              </w:rPr>
              <w:instrText>Q (Qc) tomography. The method of tomographic imaging based on spatial inversion of the coda wav</w:instrText>
            </w:r>
            <w:r w:rsidR="00022AEB">
              <w:rPr>
                <w:rFonts w:eastAsia="等线"/>
                <w:sz w:val="18"/>
                <w:szCs w:val="18"/>
                <w:vertAlign w:val="superscript"/>
              </w:rPr>
              <w:instrText>e has advantages of providing information on the lateral variations of the anelastic properties and thermal structure of the lithospheric system. Mapping of earthquake</w:instrText>
            </w:r>
            <w:r w:rsidR="00022AEB">
              <w:rPr>
                <w:rFonts w:eastAsia="等线" w:hint="eastAsia"/>
                <w:sz w:val="18"/>
                <w:szCs w:val="18"/>
                <w:vertAlign w:val="superscript"/>
              </w:rPr>
              <w:instrText>‐</w:instrText>
            </w:r>
            <w:r w:rsidR="00022AEB">
              <w:rPr>
                <w:rFonts w:eastAsia="等线"/>
                <w:sz w:val="18"/>
                <w:szCs w:val="18"/>
                <w:vertAlign w:val="superscript"/>
              </w:rPr>
              <w:instrText xml:space="preserve">defined Benioff zones combined with tomographic imaging reveals the presence of an </w:instrText>
            </w:r>
            <w:r w:rsidR="00022AEB">
              <w:rPr>
                <w:rFonts w:ascii="Cambria Math" w:eastAsia="等线" w:hAnsi="Cambria Math" w:cs="Cambria Math"/>
                <w:sz w:val="18"/>
                <w:szCs w:val="18"/>
                <w:vertAlign w:val="superscript"/>
              </w:rPr>
              <w:instrText>∼</w:instrText>
            </w:r>
            <w:r w:rsidR="00022AEB">
              <w:rPr>
                <w:rFonts w:eastAsia="等线"/>
                <w:sz w:val="18"/>
                <w:szCs w:val="18"/>
                <w:vertAlign w:val="superscript"/>
              </w:rPr>
              <w:instrText>240  km long east–west</w:instrText>
            </w:r>
            <w:r w:rsidR="00022AEB">
              <w:rPr>
                <w:rFonts w:eastAsia="等线" w:hint="eastAsia"/>
                <w:sz w:val="18"/>
                <w:szCs w:val="18"/>
                <w:vertAlign w:val="superscript"/>
              </w:rPr>
              <w:instrText>‐</w:instrText>
            </w:r>
            <w:r w:rsidR="00022AEB">
              <w:rPr>
                <w:rFonts w:eastAsia="等线"/>
                <w:sz w:val="18"/>
                <w:szCs w:val="18"/>
                <w:vertAlign w:val="superscript"/>
              </w:rPr>
              <w:instrText>striking slab tear, named here the Caldas tear. The proposed Caldas tear separates a zone of shallow, 20°–30°</w:instrText>
            </w:r>
            <w:r w:rsidR="00022AEB">
              <w:rPr>
                <w:rFonts w:eastAsia="等线" w:hint="eastAsia"/>
                <w:sz w:val="18"/>
                <w:szCs w:val="18"/>
                <w:vertAlign w:val="superscript"/>
              </w:rPr>
              <w:instrText>‐</w:instrText>
            </w:r>
            <w:r w:rsidR="00022AEB">
              <w:rPr>
                <w:rFonts w:eastAsia="等线"/>
                <w:sz w:val="18"/>
                <w:szCs w:val="18"/>
                <w:vertAlign w:val="superscript"/>
              </w:rPr>
              <w:instrText>dipping, southeastward subduction in the area of Colombia adjacent to Panama and the Caribbean Sea, which is not associated w</w:instrText>
            </w:r>
            <w:r w:rsidR="00022AEB">
              <w:rPr>
                <w:rFonts w:eastAsia="等线" w:hint="eastAsia"/>
                <w:sz w:val="18"/>
                <w:szCs w:val="18"/>
                <w:vertAlign w:val="superscript"/>
              </w:rPr>
              <w:instrText>ith subduction</w:instrText>
            </w:r>
            <w:r w:rsidR="00022AEB">
              <w:rPr>
                <w:rFonts w:eastAsia="等线" w:hint="eastAsia"/>
                <w:sz w:val="18"/>
                <w:szCs w:val="18"/>
                <w:vertAlign w:val="superscript"/>
              </w:rPr>
              <w:instrText>‐</w:instrText>
            </w:r>
            <w:r w:rsidR="00022AEB">
              <w:rPr>
                <w:rFonts w:eastAsia="等线" w:hint="eastAsia"/>
                <w:sz w:val="18"/>
                <w:szCs w:val="18"/>
                <w:vertAlign w:val="superscript"/>
              </w:rPr>
              <w:instrText>related volcanism, from an area of steeper, 30</w:instrText>
            </w:r>
            <w:r w:rsidR="00022AEB">
              <w:rPr>
                <w:rFonts w:eastAsia="等线" w:hint="eastAsia"/>
                <w:sz w:val="18"/>
                <w:szCs w:val="18"/>
                <w:vertAlign w:val="superscript"/>
              </w:rPr>
              <w:instrText>°–</w:instrText>
            </w:r>
            <w:r w:rsidR="00022AEB">
              <w:rPr>
                <w:rFonts w:eastAsia="等线" w:hint="eastAsia"/>
                <w:sz w:val="18"/>
                <w:szCs w:val="18"/>
                <w:vertAlign w:val="superscript"/>
              </w:rPr>
              <w:instrText>40</w:instrText>
            </w:r>
            <w:r w:rsidR="00022AEB">
              <w:rPr>
                <w:rFonts w:eastAsia="等线" w:hint="eastAsia"/>
                <w:sz w:val="18"/>
                <w:szCs w:val="18"/>
                <w:vertAlign w:val="superscript"/>
              </w:rPr>
              <w:instrText>°‐</w:instrText>
            </w:r>
            <w:r w:rsidR="00022AEB">
              <w:rPr>
                <w:rFonts w:eastAsia="等线" w:hint="eastAsia"/>
                <w:sz w:val="18"/>
                <w:szCs w:val="18"/>
                <w:vertAlign w:val="superscript"/>
              </w:rPr>
              <w:instrText>dipping, slab adjacent to the eastern Pacific Ocean that is associated with an active north</w:instrText>
            </w:r>
            <w:r w:rsidR="00022AEB">
              <w:rPr>
                <w:rFonts w:eastAsia="等线" w:hint="eastAsia"/>
                <w:sz w:val="18"/>
                <w:szCs w:val="18"/>
                <w:vertAlign w:val="superscript"/>
              </w:rPr>
              <w:instrText>–</w:instrText>
            </w:r>
            <w:r w:rsidR="00022AEB">
              <w:rPr>
                <w:rFonts w:eastAsia="等线" w:hint="eastAsia"/>
                <w:sz w:val="18"/>
                <w:szCs w:val="18"/>
                <w:vertAlign w:val="superscript"/>
              </w:rPr>
              <w:instrText>south chain of active arc volcanoes. We propose that the Caldas slab tear separating these two d</w:instrText>
            </w:r>
            <w:r w:rsidR="00022AEB">
              <w:rPr>
                <w:rFonts w:eastAsia="等线"/>
                <w:sz w:val="18"/>
                <w:szCs w:val="18"/>
                <w:vertAlign w:val="superscript"/>
              </w:rPr>
              <w:instrText>istinct subducted slabs originally formed as the southern boundary of the Panama indenter, an extinct island arc that began subducting beneath northwestern South America about 12 Ma. The area south of the Panama indenter is Miocene oceanic crust of the Na</w:instrText>
            </w:r>
            <w:r w:rsidR="00022AEB">
              <w:rPr>
                <w:rFonts w:eastAsia="等线" w:hint="eastAsia"/>
                <w:sz w:val="18"/>
                <w:szCs w:val="18"/>
                <w:vertAlign w:val="superscript"/>
              </w:rPr>
              <w:instrText>zca plate, which subducts eastward beneath northwestern South America at normal angles and melts to form a north</w:instrText>
            </w:r>
            <w:r w:rsidR="00022AEB">
              <w:rPr>
                <w:rFonts w:eastAsia="等线" w:hint="eastAsia"/>
                <w:sz w:val="18"/>
                <w:szCs w:val="18"/>
                <w:vertAlign w:val="superscript"/>
              </w:rPr>
              <w:instrText>–</w:instrText>
            </w:r>
            <w:r w:rsidR="00022AEB">
              <w:rPr>
                <w:rFonts w:eastAsia="等线" w:hint="eastAsia"/>
                <w:sz w:val="18"/>
                <w:szCs w:val="18"/>
                <w:vertAlign w:val="superscript"/>
              </w:rPr>
              <w:instrText>south</w:instrText>
            </w:r>
            <w:r w:rsidR="00022AEB">
              <w:rPr>
                <w:rFonts w:eastAsia="等线" w:hint="eastAsia"/>
                <w:sz w:val="18"/>
                <w:szCs w:val="18"/>
                <w:vertAlign w:val="superscript"/>
              </w:rPr>
              <w:instrText>‐</w:instrText>
            </w:r>
            <w:r w:rsidR="00022AEB">
              <w:rPr>
                <w:rFonts w:eastAsia="等线" w:hint="eastAsia"/>
                <w:sz w:val="18"/>
                <w:szCs w:val="18"/>
                <w:vertAlign w:val="superscript"/>
              </w:rPr>
              <w:instrText>trending active volcanic arc. In addition to the formation of the Caldas tear, we propose that impedance of the thicker crustal area of the Panama arc</w:instrText>
            </w:r>
            <w:r w:rsidR="00022AEB">
              <w:rPr>
                <w:rFonts w:eastAsia="等线" w:hint="eastAsia"/>
                <w:sz w:val="18"/>
                <w:szCs w:val="18"/>
                <w:vertAlign w:val="superscript"/>
              </w:rPr>
              <w:instrText>‐</w:instrText>
            </w:r>
            <w:r w:rsidR="00022AEB">
              <w:rPr>
                <w:rFonts w:eastAsia="等线" w:hint="eastAsia"/>
                <w:sz w:val="18"/>
                <w:szCs w:val="18"/>
                <w:vertAlign w:val="superscript"/>
              </w:rPr>
              <w:instrText>indenter over the past 12 Ma may have led to down</w:instrText>
            </w:r>
            <w:r w:rsidR="00022AEB">
              <w:rPr>
                <w:rFonts w:eastAsia="等线" w:hint="eastAsia"/>
                <w:sz w:val="18"/>
                <w:szCs w:val="18"/>
                <w:vertAlign w:val="superscript"/>
              </w:rPr>
              <w:instrText>‐</w:instrText>
            </w:r>
            <w:r w:rsidR="00022AEB">
              <w:rPr>
                <w:rFonts w:eastAsia="等线" w:hint="eastAsia"/>
                <w:sz w:val="18"/>
                <w:szCs w:val="18"/>
                <w:vertAlign w:val="superscript"/>
              </w:rPr>
              <w:instrText>dip break</w:instrText>
            </w:r>
            <w:r w:rsidR="00022AEB">
              <w:rPr>
                <w:rFonts w:eastAsia="等线" w:hint="eastAsia"/>
                <w:sz w:val="18"/>
                <w:szCs w:val="18"/>
                <w:vertAlign w:val="superscript"/>
              </w:rPr>
              <w:instrText>‐</w:instrText>
            </w:r>
            <w:r w:rsidR="00022AEB">
              <w:rPr>
                <w:rFonts w:eastAsia="等线" w:hint="eastAsia"/>
                <w:sz w:val="18"/>
                <w:szCs w:val="18"/>
                <w:vertAlign w:val="superscript"/>
              </w:rPr>
              <w:instrText>off of previously subducted oceanic crust that is marked by an extremely concentrated and active earthquake swarm of intermediate</w:instrText>
            </w:r>
            <w:r w:rsidR="00022AEB">
              <w:rPr>
                <w:rFonts w:eastAsia="等线" w:hint="eastAsia"/>
                <w:sz w:val="18"/>
                <w:szCs w:val="18"/>
                <w:vertAlign w:val="superscript"/>
              </w:rPr>
              <w:instrText>‐</w:instrText>
            </w:r>
            <w:r w:rsidR="00022AEB">
              <w:rPr>
                <w:rFonts w:eastAsia="等线" w:hint="eastAsia"/>
                <w:sz w:val="18"/>
                <w:szCs w:val="18"/>
                <w:vertAlign w:val="superscript"/>
              </w:rPr>
              <w:instrText>depth earthquakes beneath east</w:instrText>
            </w:r>
            <w:r w:rsidR="00022AEB">
              <w:rPr>
                <w:rFonts w:eastAsia="等线" w:hint="eastAsia"/>
                <w:sz w:val="18"/>
                <w:szCs w:val="18"/>
                <w:vertAlign w:val="superscript"/>
              </w:rPr>
              <w:instrText>‐</w:instrText>
            </w:r>
            <w:r w:rsidR="00022AEB">
              <w:rPr>
                <w:rFonts w:eastAsia="等线" w:hint="eastAsia"/>
                <w:sz w:val="18"/>
                <w:szCs w:val="18"/>
                <w:vertAlign w:val="superscript"/>
              </w:rPr>
              <w:instrText>central Colombia.",</w:instrText>
            </w:r>
            <w:r w:rsidR="00022AEB">
              <w:rPr>
                <w:rFonts w:eastAsia="等线"/>
                <w:sz w:val="18"/>
                <w:szCs w:val="18"/>
                <w:vertAlign w:val="superscript"/>
              </w:rPr>
              <w:instrText>"container-title":"Bulletin of the Seismological Society of America","DOI":"10.1785/0120120328","ISSN":"0037-1106","issue":"3","journalAbbreviation":"Bulletin of the Seismological Society of America","page":"2025-2046","source":"Silverchair","title":"Tear</w:instrText>
            </w:r>
            <w:r w:rsidR="00022AEB">
              <w:rPr>
                <w:rFonts w:eastAsia="等线" w:hint="eastAsia"/>
                <w:sz w:val="18"/>
                <w:szCs w:val="18"/>
                <w:vertAlign w:val="superscript"/>
              </w:rPr>
              <w:instrText>ing and Breaking Off of Subducted Slabs as the Result of Collision of the Panama Arc</w:instrText>
            </w:r>
            <w:r w:rsidR="00022AEB">
              <w:rPr>
                <w:rFonts w:eastAsia="等线" w:hint="eastAsia"/>
                <w:sz w:val="18"/>
                <w:szCs w:val="18"/>
                <w:vertAlign w:val="superscript"/>
              </w:rPr>
              <w:instrText>‐</w:instrText>
            </w:r>
            <w:r w:rsidR="00022AEB">
              <w:rPr>
                <w:rFonts w:eastAsia="等线" w:hint="eastAsia"/>
                <w:sz w:val="18"/>
                <w:szCs w:val="18"/>
                <w:vertAlign w:val="superscript"/>
              </w:rPr>
              <w:instrText>Indenter with Northwestern South America","volume":"103","author":[{"family":"Vargas","given":"Carlos A."},{"family":"Mann","given":"Paul"}],"issued":{"date-parts":[["201</w:instrText>
            </w:r>
            <w:r w:rsidR="00022AEB">
              <w:rPr>
                <w:rFonts w:eastAsia="等线"/>
                <w:sz w:val="18"/>
                <w:szCs w:val="18"/>
                <w:vertAlign w:val="superscript"/>
              </w:rPr>
              <w:instrText xml:space="preserve">3",6,1]]}}},{"id":2830,"uris":["http://zotero.org/users/4242308/items/SBAR898A"],"itemData":{"id":2830,"type":"article-journal","abstract":"Subduction of the Nazca and Caribbean Plates beneath northwestern Colombia is seen in two distinct Wadati Benioff Zones, one associated with a flat slab to the north and one associated with normal subduction south of 5.5°N. The normal subduction region is characterized by an active arc, whereas the flat slab region has no known Holocene volcanism. We analyze volcanic patterns over the past 14 Ma to show that in the mid-Miocene a continuous arc extended up to 7°N, indicating normal subduction of the Nazca Plate all along Colombia's Pacific margin. However, by 6 Ma, we find a complete cessation of this arc north of 3°N, indicating the presence of a far more laterally extensive flat slab than at present. Volcanism did not resume between 3°N and 6°N until after 4 Ma, consistent with lateral tearing and resteepening of the southern portion of the Colombian flat slab at that time.","container-title":"Geophysical Research Letters","DOI":"10.1002/2017GL073981","ISSN":"1944-8007","issue":"13","language":"en","note":"_eprint: https://agupubs.onlinelibrary.wiley.com/doi/pdf/10.1002/2017GL073981","page":"6616-6623","source":"Wiley Online Library","title":"Transient slab flattening beneath Colombia","volume":"44","author":[{"family":"Wagner","given":"L. S."},{"family":"Jaramillo","given":"J. S."},{"family":"Ramírez-Hoyos","given":"L. F."},{"family":"Monsalve","given":"G."},{"family":"Cardona","given":"A."},{"family":"Becker","given":"T. W."}],"issued":{"date-parts":[["2017"]]}}}],"schema":"https://github.com/citation-style-language/schema/raw/master/csl-citation.json"} </w:instrText>
            </w:r>
            <w:r w:rsidRPr="00C86F1F">
              <w:rPr>
                <w:rFonts w:eastAsia="等线"/>
                <w:sz w:val="18"/>
                <w:szCs w:val="18"/>
                <w:vertAlign w:val="superscript"/>
              </w:rPr>
              <w:fldChar w:fldCharType="separate"/>
            </w:r>
            <w:r w:rsidR="00022AEB" w:rsidRPr="00022AEB">
              <w:rPr>
                <w:kern w:val="0"/>
                <w:sz w:val="18"/>
                <w:vertAlign w:val="superscript"/>
              </w:rPr>
              <w:t>32,33</w:t>
            </w:r>
            <w:r w:rsidRPr="00C86F1F">
              <w:rPr>
                <w:rFonts w:eastAsia="等线"/>
                <w:sz w:val="18"/>
                <w:szCs w:val="18"/>
                <w:vertAlign w:val="superscript"/>
              </w:rPr>
              <w:fldChar w:fldCharType="end"/>
            </w:r>
          </w:p>
        </w:tc>
      </w:tr>
      <w:tr w:rsidR="00C86F1F" w:rsidRPr="00DF1D9D" w14:paraId="011D11E2" w14:textId="77777777" w:rsidTr="009D1B0F">
        <w:trPr>
          <w:cnfStyle w:val="000000100000" w:firstRow="0" w:lastRow="0" w:firstColumn="0" w:lastColumn="0" w:oddVBand="0" w:evenVBand="0" w:oddHBand="1" w:evenHBand="0" w:firstRowFirstColumn="0" w:firstRowLastColumn="0" w:lastRowFirstColumn="0" w:lastRowLastColumn="0"/>
          <w:trHeight w:val="454"/>
        </w:trPr>
        <w:tc>
          <w:tcPr>
            <w:cnfStyle w:val="001000000000" w:firstRow="0" w:lastRow="0" w:firstColumn="1" w:lastColumn="0" w:oddVBand="0" w:evenVBand="0" w:oddHBand="0" w:evenHBand="0" w:firstRowFirstColumn="0" w:firstRowLastColumn="0" w:lastRowFirstColumn="0" w:lastRowLastColumn="0"/>
            <w:tcW w:w="2396" w:type="dxa"/>
            <w:tcBorders>
              <w:left w:val="single" w:sz="12" w:space="0" w:color="auto"/>
              <w:right w:val="single" w:sz="12" w:space="0" w:color="auto"/>
            </w:tcBorders>
            <w:vAlign w:val="center"/>
          </w:tcPr>
          <w:p w14:paraId="388A59C5" w14:textId="77777777" w:rsidR="00C86F1F" w:rsidRPr="00DF1D9D" w:rsidRDefault="00C86F1F" w:rsidP="007B5326">
            <w:pPr>
              <w:spacing w:line="240" w:lineRule="auto"/>
              <w:jc w:val="center"/>
              <w:rPr>
                <w:rFonts w:eastAsia="等线"/>
                <w:i w:val="0"/>
                <w:iCs w:val="0"/>
                <w:sz w:val="18"/>
                <w:szCs w:val="18"/>
              </w:rPr>
            </w:pPr>
            <w:r w:rsidRPr="00DF1D9D">
              <w:rPr>
                <w:i w:val="0"/>
                <w:iCs w:val="0"/>
                <w:sz w:val="18"/>
                <w:szCs w:val="18"/>
              </w:rPr>
              <w:t>S</w:t>
            </w:r>
            <w:r>
              <w:rPr>
                <w:i w:val="0"/>
                <w:iCs w:val="0"/>
                <w:sz w:val="18"/>
                <w:szCs w:val="18"/>
              </w:rPr>
              <w:t>outhern</w:t>
            </w:r>
            <w:r w:rsidRPr="00DF1D9D">
              <w:rPr>
                <w:i w:val="0"/>
                <w:iCs w:val="0"/>
                <w:sz w:val="18"/>
                <w:szCs w:val="18"/>
              </w:rPr>
              <w:t xml:space="preserve"> Gibraltar</w:t>
            </w:r>
            <w:r>
              <w:rPr>
                <w:i w:val="0"/>
                <w:iCs w:val="0"/>
                <w:sz w:val="18"/>
                <w:szCs w:val="18"/>
              </w:rPr>
              <w:t xml:space="preserve"> Arc</w:t>
            </w:r>
          </w:p>
        </w:tc>
        <w:tc>
          <w:tcPr>
            <w:tcW w:w="1275" w:type="dxa"/>
            <w:tcBorders>
              <w:left w:val="single" w:sz="12" w:space="0" w:color="auto"/>
              <w:right w:val="single" w:sz="12" w:space="0" w:color="auto"/>
            </w:tcBorders>
            <w:vAlign w:val="center"/>
          </w:tcPr>
          <w:p w14:paraId="2EA2B245" w14:textId="77777777" w:rsidR="00C86F1F" w:rsidRPr="00DF1D9D" w:rsidRDefault="00C86F1F" w:rsidP="007B5326">
            <w:pPr>
              <w:spacing w:line="240" w:lineRule="auto"/>
              <w:jc w:val="center"/>
              <w:cnfStyle w:val="000000100000" w:firstRow="0" w:lastRow="0" w:firstColumn="0" w:lastColumn="0" w:oddVBand="0" w:evenVBand="0" w:oddHBand="1" w:evenHBand="0" w:firstRowFirstColumn="0" w:firstRowLastColumn="0" w:lastRowFirstColumn="0" w:lastRowLastColumn="0"/>
              <w:rPr>
                <w:sz w:val="18"/>
                <w:szCs w:val="18"/>
              </w:rPr>
            </w:pPr>
            <w:r>
              <w:rPr>
                <w:rFonts w:hint="eastAsia"/>
                <w:sz w:val="18"/>
                <w:szCs w:val="18"/>
              </w:rPr>
              <w:t>S</w:t>
            </w:r>
            <w:r>
              <w:rPr>
                <w:sz w:val="18"/>
                <w:szCs w:val="18"/>
              </w:rPr>
              <w:t>GA</w:t>
            </w:r>
          </w:p>
        </w:tc>
        <w:tc>
          <w:tcPr>
            <w:tcW w:w="1134" w:type="dxa"/>
            <w:tcBorders>
              <w:left w:val="single" w:sz="12" w:space="0" w:color="auto"/>
            </w:tcBorders>
            <w:vAlign w:val="center"/>
          </w:tcPr>
          <w:p w14:paraId="329DDF2D" w14:textId="77777777" w:rsidR="00C86F1F" w:rsidRPr="00DF1D9D" w:rsidRDefault="00C86F1F" w:rsidP="007B5326">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等线"/>
                <w:sz w:val="18"/>
                <w:szCs w:val="18"/>
              </w:rPr>
            </w:pPr>
            <w:r w:rsidRPr="00DF1D9D">
              <w:rPr>
                <w:sz w:val="18"/>
                <w:szCs w:val="18"/>
              </w:rPr>
              <w:t>-4.34</w:t>
            </w:r>
          </w:p>
        </w:tc>
        <w:tc>
          <w:tcPr>
            <w:tcW w:w="993" w:type="dxa"/>
            <w:vAlign w:val="center"/>
          </w:tcPr>
          <w:p w14:paraId="6D87A094" w14:textId="77777777" w:rsidR="00C86F1F" w:rsidRPr="00DF1D9D" w:rsidRDefault="00C86F1F" w:rsidP="007B5326">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等线"/>
                <w:sz w:val="18"/>
                <w:szCs w:val="18"/>
              </w:rPr>
            </w:pPr>
            <w:r w:rsidRPr="00DF1D9D">
              <w:rPr>
                <w:sz w:val="18"/>
                <w:szCs w:val="18"/>
              </w:rPr>
              <w:t>34.91</w:t>
            </w:r>
          </w:p>
        </w:tc>
        <w:tc>
          <w:tcPr>
            <w:tcW w:w="1701" w:type="dxa"/>
            <w:vAlign w:val="center"/>
          </w:tcPr>
          <w:p w14:paraId="072848CD" w14:textId="77777777" w:rsidR="00C86F1F" w:rsidRPr="00DF1D9D" w:rsidRDefault="00C86F1F" w:rsidP="007B5326">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等线"/>
                <w:sz w:val="18"/>
                <w:szCs w:val="18"/>
              </w:rPr>
            </w:pPr>
            <w:r w:rsidRPr="00DF1D9D">
              <w:rPr>
                <w:sz w:val="18"/>
                <w:szCs w:val="18"/>
              </w:rPr>
              <w:t>Edge</w:t>
            </w:r>
          </w:p>
        </w:tc>
        <w:tc>
          <w:tcPr>
            <w:tcW w:w="1134" w:type="dxa"/>
            <w:tcBorders>
              <w:right w:val="single" w:sz="12" w:space="0" w:color="auto"/>
            </w:tcBorders>
            <w:vAlign w:val="center"/>
          </w:tcPr>
          <w:p w14:paraId="2F7D9DD7" w14:textId="63C4634F" w:rsidR="00C86F1F" w:rsidRPr="00C86F1F" w:rsidRDefault="00C86F1F" w:rsidP="007B5326">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等线"/>
                <w:sz w:val="18"/>
                <w:szCs w:val="18"/>
                <w:vertAlign w:val="superscript"/>
              </w:rPr>
            </w:pPr>
            <w:r w:rsidRPr="00C86F1F">
              <w:rPr>
                <w:rFonts w:eastAsia="等线"/>
                <w:sz w:val="18"/>
                <w:szCs w:val="18"/>
                <w:vertAlign w:val="superscript"/>
              </w:rPr>
              <w:fldChar w:fldCharType="begin"/>
            </w:r>
            <w:r w:rsidR="00022AEB">
              <w:rPr>
                <w:rFonts w:eastAsia="等线"/>
                <w:sz w:val="18"/>
                <w:szCs w:val="18"/>
                <w:vertAlign w:val="superscript"/>
              </w:rPr>
              <w:instrText xml:space="preserve"> ADDIN ZOTERO_ITEM CSL_CITATION {"citationID":"HFLZqU3U","properties":{"formattedCitation":"\\super 34\\nosupersub{}","plainCitation":"34","noteIndex":0},"citationItems":[{"id":2761,"uris":["http://zotero.org/users/4242308/items/D4BWBSEJ"],"itemData":{"id":2761,"type":"article-journal","abstract":"The recent tectonic evolution of the western Mediterranean region isenigmatic. The causes for the closure of the Moroccan marine gateway prior to theMessinian salinity crisis, for the ongoing shortening of the Moroccan Rif and forthe origin of the seismogenic Trans-Alboran shear zone and eastern Betics extensionare unclear. These puzzling tectonic features cannot be fully explained bysubduction of the east-dipping Gibraltar slab in the context of the regionalrelative plate motion frame. Here we use a combination of geological and geodeticdata, as well as three-dimensional numerical modelling of subduction, to show thatthese unusual tectonic features could be the consequence of slab dragging—the northto north-eastward dragging of the Gibraltar slab by the absolute motion of theAfrican Plate. Comparison of our model results to patterns of deformation in thewestern Mediterranean constrained by geological and geodetic data confirm that slabdragging provides a plausible mechanism for the observed deformation. Our resultsimply that the impact of absolute plate motion on subduction is identifiable fromcrustal observations. Identifying such signatures elsewhere may improve the mantlereference frame and provide insights on subduction evolution and associated crustaldeformation.","container-title":"Nature Geoscience","DOI":"10.1038/s41561-018-0066-z","ISSN":"1752-0908","issue":"3","journalAbbreviation":"Nature Geosci","language":"en","note":"Bandiera_abtest: a\nCg_type: Nature Research Journals\nnumber: 3\nPrimary_atype: Research\npublisher: Nature Publishing Group\nSubject_term: Geodynamics;Tectonics\nSubject_term_id: geodynamics;tectonics","page":"211-216","source":"www.nature.com","title":"Puzzling features of western Mediterranean tectonics explained by slab dragging","volume":"11","author":[{"family":"Spakman","given":"Wim"},{"family":"Chertova","given":"Maria V."},{"family":"Berg","given":"Arie","non-dropping-particle":"van den"},{"family":"Hinsbergen","given":"Douwe J. J.","non-dropping-particle":"van"}],"issued":{"date-parts":[["2018",3]]}}}],"schema":"https://github.com/citation-style-language/schema/raw/master/csl-citation.json"} </w:instrText>
            </w:r>
            <w:r w:rsidRPr="00C86F1F">
              <w:rPr>
                <w:rFonts w:eastAsia="等线"/>
                <w:sz w:val="18"/>
                <w:szCs w:val="18"/>
                <w:vertAlign w:val="superscript"/>
              </w:rPr>
              <w:fldChar w:fldCharType="separate"/>
            </w:r>
            <w:r w:rsidR="00022AEB" w:rsidRPr="00022AEB">
              <w:rPr>
                <w:kern w:val="0"/>
                <w:sz w:val="18"/>
                <w:vertAlign w:val="superscript"/>
              </w:rPr>
              <w:t>34</w:t>
            </w:r>
            <w:r w:rsidRPr="00C86F1F">
              <w:rPr>
                <w:rFonts w:eastAsia="等线"/>
                <w:sz w:val="18"/>
                <w:szCs w:val="18"/>
                <w:vertAlign w:val="superscript"/>
              </w:rPr>
              <w:fldChar w:fldCharType="end"/>
            </w:r>
          </w:p>
        </w:tc>
      </w:tr>
      <w:tr w:rsidR="00C86F1F" w:rsidRPr="00DF1D9D" w14:paraId="235C0D05" w14:textId="77777777" w:rsidTr="009D1B0F">
        <w:trPr>
          <w:trHeight w:val="454"/>
        </w:trPr>
        <w:tc>
          <w:tcPr>
            <w:cnfStyle w:val="001000000000" w:firstRow="0" w:lastRow="0" w:firstColumn="1" w:lastColumn="0" w:oddVBand="0" w:evenVBand="0" w:oddHBand="0" w:evenHBand="0" w:firstRowFirstColumn="0" w:firstRowLastColumn="0" w:lastRowFirstColumn="0" w:lastRowLastColumn="0"/>
            <w:tcW w:w="2396" w:type="dxa"/>
            <w:tcBorders>
              <w:left w:val="single" w:sz="12" w:space="0" w:color="auto"/>
              <w:right w:val="single" w:sz="12" w:space="0" w:color="auto"/>
            </w:tcBorders>
            <w:vAlign w:val="center"/>
          </w:tcPr>
          <w:p w14:paraId="5343B73C" w14:textId="77777777" w:rsidR="00C86F1F" w:rsidRPr="00DF1D9D" w:rsidRDefault="00C86F1F" w:rsidP="007B5326">
            <w:pPr>
              <w:spacing w:line="240" w:lineRule="auto"/>
              <w:jc w:val="center"/>
              <w:rPr>
                <w:rFonts w:eastAsia="等线"/>
                <w:i w:val="0"/>
                <w:iCs w:val="0"/>
                <w:sz w:val="18"/>
                <w:szCs w:val="18"/>
              </w:rPr>
            </w:pPr>
            <w:r w:rsidRPr="00DF1D9D">
              <w:rPr>
                <w:i w:val="0"/>
                <w:iCs w:val="0"/>
                <w:sz w:val="18"/>
                <w:szCs w:val="18"/>
              </w:rPr>
              <w:t>S</w:t>
            </w:r>
            <w:r>
              <w:rPr>
                <w:i w:val="0"/>
                <w:iCs w:val="0"/>
                <w:sz w:val="18"/>
                <w:szCs w:val="18"/>
              </w:rPr>
              <w:t>outhern</w:t>
            </w:r>
            <w:r w:rsidRPr="00DF1D9D">
              <w:rPr>
                <w:i w:val="0"/>
                <w:iCs w:val="0"/>
                <w:sz w:val="18"/>
                <w:szCs w:val="18"/>
              </w:rPr>
              <w:t xml:space="preserve"> Lesser Antilles</w:t>
            </w:r>
            <w:r>
              <w:rPr>
                <w:i w:val="0"/>
                <w:iCs w:val="0"/>
                <w:sz w:val="18"/>
                <w:szCs w:val="18"/>
              </w:rPr>
              <w:t xml:space="preserve"> Trench</w:t>
            </w:r>
          </w:p>
        </w:tc>
        <w:tc>
          <w:tcPr>
            <w:tcW w:w="1275" w:type="dxa"/>
            <w:tcBorders>
              <w:left w:val="single" w:sz="12" w:space="0" w:color="auto"/>
              <w:right w:val="single" w:sz="12" w:space="0" w:color="auto"/>
            </w:tcBorders>
            <w:vAlign w:val="center"/>
          </w:tcPr>
          <w:p w14:paraId="67D9521C" w14:textId="77777777" w:rsidR="00C86F1F" w:rsidRPr="00DF1D9D" w:rsidRDefault="00C86F1F" w:rsidP="007B5326">
            <w:pPr>
              <w:spacing w:line="240" w:lineRule="auto"/>
              <w:jc w:val="center"/>
              <w:cnfStyle w:val="000000000000" w:firstRow="0" w:lastRow="0" w:firstColumn="0" w:lastColumn="0" w:oddVBand="0" w:evenVBand="0" w:oddHBand="0" w:evenHBand="0" w:firstRowFirstColumn="0" w:firstRowLastColumn="0" w:lastRowFirstColumn="0" w:lastRowLastColumn="0"/>
              <w:rPr>
                <w:sz w:val="18"/>
                <w:szCs w:val="18"/>
              </w:rPr>
            </w:pPr>
            <w:r>
              <w:rPr>
                <w:rFonts w:hint="eastAsia"/>
                <w:sz w:val="18"/>
                <w:szCs w:val="18"/>
              </w:rPr>
              <w:t>S</w:t>
            </w:r>
            <w:r>
              <w:rPr>
                <w:sz w:val="18"/>
                <w:szCs w:val="18"/>
              </w:rPr>
              <w:t>LAT</w:t>
            </w:r>
          </w:p>
        </w:tc>
        <w:tc>
          <w:tcPr>
            <w:tcW w:w="1134" w:type="dxa"/>
            <w:tcBorders>
              <w:left w:val="single" w:sz="12" w:space="0" w:color="auto"/>
            </w:tcBorders>
            <w:vAlign w:val="center"/>
          </w:tcPr>
          <w:p w14:paraId="172FF542" w14:textId="77777777" w:rsidR="00C86F1F" w:rsidRPr="00DF1D9D" w:rsidRDefault="00C86F1F" w:rsidP="007B5326">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等线"/>
                <w:sz w:val="18"/>
                <w:szCs w:val="18"/>
              </w:rPr>
            </w:pPr>
            <w:r w:rsidRPr="00DF1D9D">
              <w:rPr>
                <w:sz w:val="18"/>
                <w:szCs w:val="18"/>
              </w:rPr>
              <w:t>-62.25</w:t>
            </w:r>
          </w:p>
        </w:tc>
        <w:tc>
          <w:tcPr>
            <w:tcW w:w="993" w:type="dxa"/>
            <w:vAlign w:val="center"/>
          </w:tcPr>
          <w:p w14:paraId="25E0ACD6" w14:textId="77777777" w:rsidR="00C86F1F" w:rsidRPr="00DF1D9D" w:rsidRDefault="00C86F1F" w:rsidP="007B5326">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等线"/>
                <w:sz w:val="18"/>
                <w:szCs w:val="18"/>
              </w:rPr>
            </w:pPr>
            <w:r w:rsidRPr="00DF1D9D">
              <w:rPr>
                <w:sz w:val="18"/>
                <w:szCs w:val="18"/>
              </w:rPr>
              <w:t>10.27</w:t>
            </w:r>
          </w:p>
        </w:tc>
        <w:tc>
          <w:tcPr>
            <w:tcW w:w="1701" w:type="dxa"/>
            <w:vAlign w:val="center"/>
          </w:tcPr>
          <w:p w14:paraId="375348A3" w14:textId="77777777" w:rsidR="00C86F1F" w:rsidRPr="00DF1D9D" w:rsidRDefault="00C86F1F" w:rsidP="007B5326">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等线"/>
                <w:sz w:val="18"/>
                <w:szCs w:val="18"/>
              </w:rPr>
            </w:pPr>
            <w:r w:rsidRPr="00DF1D9D">
              <w:rPr>
                <w:sz w:val="18"/>
                <w:szCs w:val="18"/>
              </w:rPr>
              <w:t>Edge</w:t>
            </w:r>
          </w:p>
        </w:tc>
        <w:tc>
          <w:tcPr>
            <w:tcW w:w="1134" w:type="dxa"/>
            <w:tcBorders>
              <w:right w:val="single" w:sz="12" w:space="0" w:color="auto"/>
            </w:tcBorders>
            <w:vAlign w:val="center"/>
          </w:tcPr>
          <w:p w14:paraId="11166637" w14:textId="125DD49F" w:rsidR="00C86F1F" w:rsidRPr="00C86F1F" w:rsidRDefault="00C86F1F" w:rsidP="007B5326">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等线"/>
                <w:sz w:val="18"/>
                <w:szCs w:val="18"/>
                <w:vertAlign w:val="superscript"/>
              </w:rPr>
            </w:pPr>
            <w:r w:rsidRPr="00C86F1F">
              <w:rPr>
                <w:rFonts w:eastAsia="等线"/>
                <w:sz w:val="18"/>
                <w:szCs w:val="18"/>
                <w:vertAlign w:val="superscript"/>
              </w:rPr>
              <w:fldChar w:fldCharType="begin"/>
            </w:r>
            <w:r w:rsidR="00022AEB">
              <w:rPr>
                <w:rFonts w:eastAsia="等线"/>
                <w:sz w:val="18"/>
                <w:szCs w:val="18"/>
                <w:vertAlign w:val="superscript"/>
              </w:rPr>
              <w:instrText xml:space="preserve"> ADDIN ZOTERO_ITEM CSL_CITATION {"citationID":"UiMK896d","properties":{"formattedCitation":"\\super 35\\nosupersub{}","plainCitation":"35","noteIndex":0},"citationItems":[{"id":2784,"uris":["http://zotero.org/users/4242308/items/E9GEA9LT"],"itemData":{"id":2784,"type":"article-journal","abstract":"In the southeast corner of the Caribbean, westward subduction of (Atlantic) oceanic South America beneath the Lesser Antilles transitions to east-west transform motion between continental South America and the Caribbean plate. This geometry requires negatively buoyant, subducting, oceanic South American lithosphere to progressively detach from positively buoyant, continental South American lithosphere. The most widely accepted model is slab break-off, with oblique arc-continent collision and northwest dipping, continental subduction precipitating narrow rifting in the subducting slab. In contrast, the subduction-transform edge propagator (STEP) model conceptualizes progressive detachment along a vertical, dip-slip tear through the lithosphere, with stress focused at the edge of the propagating transform boundary. We present four types of seismic data to resolve the ongoing lithospheric detachment: local seismicity, receiver functions, wide-angle seismic velocity inversion, and a regional, balanced cross section constrained by petroleum industry data. These four data sets image a near-vertical tear extending through the entire lithosphere, revealing a key mechanism for the structural evolution of Venezuela.","container-title":"Geochemistry, Geophysics, Geosystems","DOI":"10.1029/2008GC002084","ISSN":"1525-2027","issue":"11","language":"en","note":"_eprint: https://agupubs.onlinelibrary.wiley.com/doi/pdf/10.1029/2008GC002084","source":"Wiley Online Library","title":"Identification and tectonic implications of a tear in the South American plate at the southern end of the Lesser Antilles","URL":"https://agupubs.onlinelibrary.wiley.com/doi/abs/10.1029/2008GC002084","volume":"9","author":[{"family":"Clark","given":"S. A."},{"family":"Sobiesiak","given":"M."},{"family":"Zelt","given":"C. A."},{"family":"Magnani","given":"M. B."},{"family":"Miller","given":"M. S."},{"family":"Bezada","given":"M. J."},{"family":"Levander","given":"A."}],"accessed":{"date-parts":[["2021",6,27]]},"issued":{"date-parts":[["2008"]]}}}],"schema":"https://github.com/citation-style-language/schema/raw/master/csl-citation.json"} </w:instrText>
            </w:r>
            <w:r w:rsidRPr="00C86F1F">
              <w:rPr>
                <w:rFonts w:eastAsia="等线"/>
                <w:sz w:val="18"/>
                <w:szCs w:val="18"/>
                <w:vertAlign w:val="superscript"/>
              </w:rPr>
              <w:fldChar w:fldCharType="separate"/>
            </w:r>
            <w:r w:rsidR="00022AEB" w:rsidRPr="00022AEB">
              <w:rPr>
                <w:kern w:val="0"/>
                <w:sz w:val="18"/>
                <w:vertAlign w:val="superscript"/>
              </w:rPr>
              <w:t>35</w:t>
            </w:r>
            <w:r w:rsidRPr="00C86F1F">
              <w:rPr>
                <w:rFonts w:eastAsia="等线"/>
                <w:sz w:val="18"/>
                <w:szCs w:val="18"/>
                <w:vertAlign w:val="superscript"/>
              </w:rPr>
              <w:fldChar w:fldCharType="end"/>
            </w:r>
          </w:p>
        </w:tc>
      </w:tr>
      <w:tr w:rsidR="00C86F1F" w:rsidRPr="00DF1D9D" w14:paraId="2DE68016" w14:textId="77777777" w:rsidTr="009D1B0F">
        <w:trPr>
          <w:cnfStyle w:val="000000100000" w:firstRow="0" w:lastRow="0" w:firstColumn="0" w:lastColumn="0" w:oddVBand="0" w:evenVBand="0" w:oddHBand="1" w:evenHBand="0" w:firstRowFirstColumn="0" w:firstRowLastColumn="0" w:lastRowFirstColumn="0" w:lastRowLastColumn="0"/>
          <w:trHeight w:val="454"/>
        </w:trPr>
        <w:tc>
          <w:tcPr>
            <w:cnfStyle w:val="001000000000" w:firstRow="0" w:lastRow="0" w:firstColumn="1" w:lastColumn="0" w:oddVBand="0" w:evenVBand="0" w:oddHBand="0" w:evenHBand="0" w:firstRowFirstColumn="0" w:firstRowLastColumn="0" w:lastRowFirstColumn="0" w:lastRowLastColumn="0"/>
            <w:tcW w:w="2396" w:type="dxa"/>
            <w:tcBorders>
              <w:left w:val="single" w:sz="12" w:space="0" w:color="auto"/>
              <w:right w:val="single" w:sz="12" w:space="0" w:color="auto"/>
            </w:tcBorders>
            <w:vAlign w:val="center"/>
          </w:tcPr>
          <w:p w14:paraId="1D6C45C5" w14:textId="77777777" w:rsidR="00C86F1F" w:rsidRPr="00DF1D9D" w:rsidRDefault="00C86F1F" w:rsidP="007B5326">
            <w:pPr>
              <w:spacing w:line="240" w:lineRule="auto"/>
              <w:jc w:val="center"/>
              <w:rPr>
                <w:rFonts w:eastAsia="等线"/>
                <w:i w:val="0"/>
                <w:iCs w:val="0"/>
                <w:sz w:val="18"/>
                <w:szCs w:val="18"/>
              </w:rPr>
            </w:pPr>
            <w:r w:rsidRPr="00DF1D9D">
              <w:rPr>
                <w:i w:val="0"/>
                <w:iCs w:val="0"/>
                <w:sz w:val="18"/>
                <w:szCs w:val="18"/>
              </w:rPr>
              <w:t>S</w:t>
            </w:r>
            <w:r>
              <w:rPr>
                <w:i w:val="0"/>
                <w:iCs w:val="0"/>
                <w:sz w:val="18"/>
                <w:szCs w:val="18"/>
              </w:rPr>
              <w:t>outhern</w:t>
            </w:r>
            <w:r w:rsidRPr="00DF1D9D">
              <w:rPr>
                <w:i w:val="0"/>
                <w:iCs w:val="0"/>
                <w:sz w:val="18"/>
                <w:szCs w:val="18"/>
              </w:rPr>
              <w:t xml:space="preserve"> Mariana</w:t>
            </w:r>
            <w:r>
              <w:rPr>
                <w:i w:val="0"/>
                <w:iCs w:val="0"/>
                <w:sz w:val="18"/>
                <w:szCs w:val="18"/>
              </w:rPr>
              <w:t xml:space="preserve"> Trench</w:t>
            </w:r>
          </w:p>
        </w:tc>
        <w:tc>
          <w:tcPr>
            <w:tcW w:w="1275" w:type="dxa"/>
            <w:tcBorders>
              <w:left w:val="single" w:sz="12" w:space="0" w:color="auto"/>
              <w:right w:val="single" w:sz="12" w:space="0" w:color="auto"/>
            </w:tcBorders>
            <w:vAlign w:val="center"/>
          </w:tcPr>
          <w:p w14:paraId="5DBD5EF2" w14:textId="77777777" w:rsidR="00C86F1F" w:rsidRPr="00DF1D9D" w:rsidRDefault="00C86F1F" w:rsidP="007B5326">
            <w:pPr>
              <w:spacing w:line="240" w:lineRule="auto"/>
              <w:jc w:val="center"/>
              <w:cnfStyle w:val="000000100000" w:firstRow="0" w:lastRow="0" w:firstColumn="0" w:lastColumn="0" w:oddVBand="0" w:evenVBand="0" w:oddHBand="1" w:evenHBand="0" w:firstRowFirstColumn="0" w:firstRowLastColumn="0" w:lastRowFirstColumn="0" w:lastRowLastColumn="0"/>
              <w:rPr>
                <w:sz w:val="18"/>
                <w:szCs w:val="18"/>
              </w:rPr>
            </w:pPr>
            <w:r>
              <w:rPr>
                <w:rFonts w:hint="eastAsia"/>
                <w:sz w:val="18"/>
                <w:szCs w:val="18"/>
              </w:rPr>
              <w:t>S</w:t>
            </w:r>
            <w:r>
              <w:rPr>
                <w:sz w:val="18"/>
                <w:szCs w:val="18"/>
              </w:rPr>
              <w:t>MT</w:t>
            </w:r>
          </w:p>
        </w:tc>
        <w:tc>
          <w:tcPr>
            <w:tcW w:w="1134" w:type="dxa"/>
            <w:tcBorders>
              <w:left w:val="single" w:sz="12" w:space="0" w:color="auto"/>
            </w:tcBorders>
            <w:vAlign w:val="center"/>
          </w:tcPr>
          <w:p w14:paraId="44F05596" w14:textId="77777777" w:rsidR="00C86F1F" w:rsidRPr="00DF1D9D" w:rsidRDefault="00C86F1F" w:rsidP="007B5326">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等线"/>
                <w:sz w:val="18"/>
                <w:szCs w:val="18"/>
              </w:rPr>
            </w:pPr>
            <w:r w:rsidRPr="00DF1D9D">
              <w:rPr>
                <w:sz w:val="18"/>
                <w:szCs w:val="18"/>
              </w:rPr>
              <w:t>144.1</w:t>
            </w:r>
          </w:p>
        </w:tc>
        <w:tc>
          <w:tcPr>
            <w:tcW w:w="993" w:type="dxa"/>
            <w:vAlign w:val="center"/>
          </w:tcPr>
          <w:p w14:paraId="53103601" w14:textId="77777777" w:rsidR="00C86F1F" w:rsidRPr="00DF1D9D" w:rsidRDefault="00C86F1F" w:rsidP="007B5326">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等线"/>
                <w:sz w:val="18"/>
                <w:szCs w:val="18"/>
              </w:rPr>
            </w:pPr>
            <w:r w:rsidRPr="00DF1D9D">
              <w:rPr>
                <w:sz w:val="18"/>
                <w:szCs w:val="18"/>
              </w:rPr>
              <w:t>11.91</w:t>
            </w:r>
          </w:p>
        </w:tc>
        <w:tc>
          <w:tcPr>
            <w:tcW w:w="1701" w:type="dxa"/>
            <w:vAlign w:val="center"/>
          </w:tcPr>
          <w:p w14:paraId="2FF4AE63" w14:textId="77777777" w:rsidR="00C86F1F" w:rsidRPr="00DF1D9D" w:rsidRDefault="00C86F1F" w:rsidP="007B5326">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等线"/>
                <w:sz w:val="18"/>
                <w:szCs w:val="18"/>
              </w:rPr>
            </w:pPr>
            <w:r w:rsidRPr="00DF1D9D">
              <w:rPr>
                <w:sz w:val="18"/>
                <w:szCs w:val="18"/>
              </w:rPr>
              <w:t>Internal</w:t>
            </w:r>
          </w:p>
        </w:tc>
        <w:tc>
          <w:tcPr>
            <w:tcW w:w="1134" w:type="dxa"/>
            <w:tcBorders>
              <w:right w:val="single" w:sz="12" w:space="0" w:color="auto"/>
            </w:tcBorders>
            <w:vAlign w:val="center"/>
          </w:tcPr>
          <w:p w14:paraId="58D2E6A0" w14:textId="295337D9" w:rsidR="00C86F1F" w:rsidRPr="00C86F1F" w:rsidRDefault="00C86F1F" w:rsidP="007B5326">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等线"/>
                <w:sz w:val="18"/>
                <w:szCs w:val="18"/>
                <w:vertAlign w:val="superscript"/>
              </w:rPr>
            </w:pPr>
            <w:r w:rsidRPr="00C86F1F">
              <w:rPr>
                <w:rFonts w:eastAsia="等线"/>
                <w:sz w:val="18"/>
                <w:szCs w:val="18"/>
                <w:vertAlign w:val="superscript"/>
              </w:rPr>
              <w:fldChar w:fldCharType="begin"/>
            </w:r>
            <w:r w:rsidR="00022AEB">
              <w:rPr>
                <w:rFonts w:eastAsia="等线"/>
                <w:sz w:val="18"/>
                <w:szCs w:val="18"/>
                <w:vertAlign w:val="superscript"/>
              </w:rPr>
              <w:instrText xml:space="preserve"> ADDIN ZOTERO_ITEM CSL_CITATION {"citationID":"ph9dwgkk","properties":{"formattedCitation":"\\super 36\\nosupersub{}","plainCitation":"36","noteIndex":0},"citationItems":[{"id":2812,"uris":["http://zotero.org/users/4242308/items/ENQP9XPN"],"itemData":{"id":2812,"type":"article-journal","abstract":"The Challenger Deep in the southernmost Mariana Trench (western Pacific Ocean) is the deepest point on the Earth's surface (10,920 m below sea level). Its location within a subduction trench, where one plate bends and descends below another, is not surprising. However, why is it located in the southernmost Mariana Trench and not at its central part, where the rate of subduction is higher, where the lithosphere is the oldest (and densest) on the Earth, and where the subducted lithosphere pulling down is the longest in the Earth (</w:instrText>
            </w:r>
            <w:r w:rsidR="00022AEB">
              <w:rPr>
                <w:rFonts w:ascii="Cambria Math" w:eastAsia="等线" w:hAnsi="Cambria Math" w:cs="Cambria Math"/>
                <w:sz w:val="18"/>
                <w:szCs w:val="18"/>
                <w:vertAlign w:val="superscript"/>
              </w:rPr>
              <w:instrText>∼</w:instrText>
            </w:r>
            <w:r w:rsidR="00022AEB">
              <w:rPr>
                <w:rFonts w:eastAsia="等线"/>
                <w:sz w:val="18"/>
                <w:szCs w:val="18"/>
                <w:vertAlign w:val="superscript"/>
              </w:rPr>
              <w:instrText xml:space="preserve">1000 km or more according to seismic tomography)? We suggest that although subduction rate and slab age generally control trench depth, the width of the plate-coupling zone is more important. Beneath the central Marianas the subducted slab is attached to the upper plate along a 150-km-wide surface that holds the shallow portion of the subducted plate nearly horizontal, in spite of its great load and, thus, counters trench deepening. In contrast, along the south Mariana Trench the subducted length of the lithosphere is much shorter, but its attachment to the upper plate is only along a relatively narrow, 50-km-wide, surface. In addition, a tear in the slab beneath this region helps it to sink rapidly through the mantle, and this combination of circumstances allows the slab to steepen and form the deepest trench on the Earth. In a wider perspective, the interrelations shown here between trench deepening, ridge shallowing, slab steepening, and forearc narrowing may shed light on other subduction zones located near edges of rapidly steepening slabs.","container-title":"Tectonics","DOI":"10.1029/2003TC001581","ISSN":"1944-9194","issue":"2","language":"en","note":"_eprint: https://agupubs.onlinelibrary.wiley.com/doi/pdf/10.1029/2003TC001581","source":"Wiley Online Library","title":"Bathymetry of Mariana trench-arc system and formation of the Challenger Deep as a consequence of weak plate coupling","URL":"https://agupubs.onlinelibrary.wiley.com/doi/abs/10.1029/2003TC001581","volume":"23","author":[{"family":"Gvirtzman","given":"Zohar"},{"family":"Stern","given":"Robert J."}],"accessed":{"date-parts":[["2021",6,28]]},"issued":{"date-parts":[["2004"]]}}}],"schema":"https://github.com/citation-style-language/schema/raw/master/csl-citation.json"} </w:instrText>
            </w:r>
            <w:r w:rsidRPr="00C86F1F">
              <w:rPr>
                <w:rFonts w:eastAsia="等线"/>
                <w:sz w:val="18"/>
                <w:szCs w:val="18"/>
                <w:vertAlign w:val="superscript"/>
              </w:rPr>
              <w:fldChar w:fldCharType="separate"/>
            </w:r>
            <w:r w:rsidR="00022AEB" w:rsidRPr="00022AEB">
              <w:rPr>
                <w:kern w:val="0"/>
                <w:sz w:val="18"/>
                <w:vertAlign w:val="superscript"/>
              </w:rPr>
              <w:t>36</w:t>
            </w:r>
            <w:r w:rsidRPr="00C86F1F">
              <w:rPr>
                <w:rFonts w:eastAsia="等线"/>
                <w:sz w:val="18"/>
                <w:szCs w:val="18"/>
                <w:vertAlign w:val="superscript"/>
              </w:rPr>
              <w:fldChar w:fldCharType="end"/>
            </w:r>
          </w:p>
        </w:tc>
      </w:tr>
      <w:tr w:rsidR="00C86F1F" w:rsidRPr="00DF1D9D" w14:paraId="25CFD220" w14:textId="77777777" w:rsidTr="009D1B0F">
        <w:trPr>
          <w:trHeight w:val="454"/>
        </w:trPr>
        <w:tc>
          <w:tcPr>
            <w:cnfStyle w:val="001000000000" w:firstRow="0" w:lastRow="0" w:firstColumn="1" w:lastColumn="0" w:oddVBand="0" w:evenVBand="0" w:oddHBand="0" w:evenHBand="0" w:firstRowFirstColumn="0" w:firstRowLastColumn="0" w:lastRowFirstColumn="0" w:lastRowLastColumn="0"/>
            <w:tcW w:w="2396" w:type="dxa"/>
            <w:tcBorders>
              <w:left w:val="single" w:sz="12" w:space="0" w:color="auto"/>
              <w:right w:val="single" w:sz="12" w:space="0" w:color="auto"/>
            </w:tcBorders>
            <w:vAlign w:val="center"/>
          </w:tcPr>
          <w:p w14:paraId="7ECC9E69" w14:textId="77777777" w:rsidR="00C86F1F" w:rsidRPr="00DF1D9D" w:rsidRDefault="00C86F1F" w:rsidP="007B5326">
            <w:pPr>
              <w:spacing w:line="240" w:lineRule="auto"/>
              <w:jc w:val="center"/>
              <w:rPr>
                <w:rFonts w:eastAsia="等线"/>
                <w:i w:val="0"/>
                <w:iCs w:val="0"/>
                <w:sz w:val="18"/>
                <w:szCs w:val="18"/>
              </w:rPr>
            </w:pPr>
            <w:r w:rsidRPr="00DF1D9D">
              <w:rPr>
                <w:i w:val="0"/>
                <w:iCs w:val="0"/>
                <w:sz w:val="18"/>
                <w:szCs w:val="18"/>
              </w:rPr>
              <w:t>S</w:t>
            </w:r>
            <w:r>
              <w:rPr>
                <w:i w:val="0"/>
                <w:iCs w:val="0"/>
                <w:sz w:val="18"/>
                <w:szCs w:val="18"/>
              </w:rPr>
              <w:t>outhern</w:t>
            </w:r>
            <w:r w:rsidRPr="00DF1D9D">
              <w:rPr>
                <w:i w:val="0"/>
                <w:iCs w:val="0"/>
                <w:sz w:val="18"/>
                <w:szCs w:val="18"/>
              </w:rPr>
              <w:t xml:space="preserve"> Sandwich</w:t>
            </w:r>
            <w:r>
              <w:rPr>
                <w:i w:val="0"/>
                <w:iCs w:val="0"/>
                <w:sz w:val="18"/>
                <w:szCs w:val="18"/>
              </w:rPr>
              <w:t xml:space="preserve"> Trench</w:t>
            </w:r>
          </w:p>
        </w:tc>
        <w:tc>
          <w:tcPr>
            <w:tcW w:w="1275" w:type="dxa"/>
            <w:tcBorders>
              <w:left w:val="single" w:sz="12" w:space="0" w:color="auto"/>
              <w:right w:val="single" w:sz="12" w:space="0" w:color="auto"/>
            </w:tcBorders>
            <w:vAlign w:val="center"/>
          </w:tcPr>
          <w:p w14:paraId="0AE61ADC" w14:textId="77777777" w:rsidR="00C86F1F" w:rsidRPr="00DF1D9D" w:rsidRDefault="00C86F1F" w:rsidP="007B5326">
            <w:pPr>
              <w:spacing w:line="240" w:lineRule="auto"/>
              <w:jc w:val="center"/>
              <w:cnfStyle w:val="000000000000" w:firstRow="0" w:lastRow="0" w:firstColumn="0" w:lastColumn="0" w:oddVBand="0" w:evenVBand="0" w:oddHBand="0" w:evenHBand="0" w:firstRowFirstColumn="0" w:firstRowLastColumn="0" w:lastRowFirstColumn="0" w:lastRowLastColumn="0"/>
              <w:rPr>
                <w:sz w:val="18"/>
                <w:szCs w:val="18"/>
              </w:rPr>
            </w:pPr>
            <w:r>
              <w:rPr>
                <w:rFonts w:hint="eastAsia"/>
                <w:sz w:val="18"/>
                <w:szCs w:val="18"/>
              </w:rPr>
              <w:t>S</w:t>
            </w:r>
            <w:r>
              <w:rPr>
                <w:sz w:val="18"/>
                <w:szCs w:val="18"/>
              </w:rPr>
              <w:t>ST</w:t>
            </w:r>
          </w:p>
        </w:tc>
        <w:tc>
          <w:tcPr>
            <w:tcW w:w="1134" w:type="dxa"/>
            <w:tcBorders>
              <w:left w:val="single" w:sz="12" w:space="0" w:color="auto"/>
            </w:tcBorders>
            <w:vAlign w:val="center"/>
          </w:tcPr>
          <w:p w14:paraId="38A10F03" w14:textId="77777777" w:rsidR="00C86F1F" w:rsidRPr="00DF1D9D" w:rsidRDefault="00C86F1F" w:rsidP="007B5326">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等线"/>
                <w:sz w:val="18"/>
                <w:szCs w:val="18"/>
              </w:rPr>
            </w:pPr>
            <w:r w:rsidRPr="00DF1D9D">
              <w:rPr>
                <w:sz w:val="18"/>
                <w:szCs w:val="18"/>
              </w:rPr>
              <w:t>-29.26</w:t>
            </w:r>
          </w:p>
        </w:tc>
        <w:tc>
          <w:tcPr>
            <w:tcW w:w="993" w:type="dxa"/>
            <w:vAlign w:val="center"/>
          </w:tcPr>
          <w:p w14:paraId="15C9BC8F" w14:textId="77777777" w:rsidR="00C86F1F" w:rsidRPr="00DF1D9D" w:rsidRDefault="00C86F1F" w:rsidP="007B5326">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等线"/>
                <w:sz w:val="18"/>
                <w:szCs w:val="18"/>
              </w:rPr>
            </w:pPr>
            <w:r w:rsidRPr="00DF1D9D">
              <w:rPr>
                <w:sz w:val="18"/>
                <w:szCs w:val="18"/>
              </w:rPr>
              <w:t>-60.73</w:t>
            </w:r>
          </w:p>
        </w:tc>
        <w:tc>
          <w:tcPr>
            <w:tcW w:w="1701" w:type="dxa"/>
            <w:vAlign w:val="center"/>
          </w:tcPr>
          <w:p w14:paraId="775384F3" w14:textId="77777777" w:rsidR="00C86F1F" w:rsidRPr="00DF1D9D" w:rsidRDefault="00C86F1F" w:rsidP="007B5326">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等线"/>
                <w:sz w:val="18"/>
                <w:szCs w:val="18"/>
              </w:rPr>
            </w:pPr>
            <w:r w:rsidRPr="00DF1D9D">
              <w:rPr>
                <w:sz w:val="18"/>
                <w:szCs w:val="18"/>
              </w:rPr>
              <w:t>Edge</w:t>
            </w:r>
          </w:p>
        </w:tc>
        <w:tc>
          <w:tcPr>
            <w:tcW w:w="1134" w:type="dxa"/>
            <w:tcBorders>
              <w:right w:val="single" w:sz="12" w:space="0" w:color="auto"/>
            </w:tcBorders>
            <w:vAlign w:val="center"/>
          </w:tcPr>
          <w:p w14:paraId="5A2057A9" w14:textId="1B040654" w:rsidR="00C86F1F" w:rsidRPr="00C86F1F" w:rsidRDefault="00C86F1F" w:rsidP="007B5326">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等线"/>
                <w:sz w:val="18"/>
                <w:szCs w:val="18"/>
                <w:vertAlign w:val="superscript"/>
              </w:rPr>
            </w:pPr>
            <w:r w:rsidRPr="00C86F1F">
              <w:rPr>
                <w:rFonts w:eastAsia="等线"/>
                <w:sz w:val="18"/>
                <w:szCs w:val="18"/>
                <w:vertAlign w:val="superscript"/>
              </w:rPr>
              <w:fldChar w:fldCharType="begin"/>
            </w:r>
            <w:r w:rsidR="00022AEB">
              <w:rPr>
                <w:rFonts w:eastAsia="等线"/>
                <w:sz w:val="18"/>
                <w:szCs w:val="18"/>
                <w:vertAlign w:val="superscript"/>
              </w:rPr>
              <w:instrText xml:space="preserve"> ADDIN ZOTERO_ITEM CSL_CITATION {"citationID":"CD33Medo","properties":{"formattedCitation":"\\super 37\\nosupersub{}","plainCitation":"37","noteIndex":0},"citationItems":[{"id":2108,"uris":["http://zotero.org/users/4242308/items/9EAEDI6V"],"itemData":{"id":2108,"type":"article-journal","abstract":"Slab edges are a relatively common feature in plate tectonics. Two prominent examples are the northern end of the Tonga subduction zone and the southern end of the New Hebrides subduction zone. Near such horizontal terminations of subduction trenches, ongoing tearing of oceanic lithosphere is a geometric consequence. We refer to such kinks in the plate boundary as a Subduction-Transform Edge Propagator, or STEP. Other STEPs are the north and south ends of the Lesser Antilles trench, the north end of the South Sandwich trench, the south end of the Vrancea trench, and both ends of the Calabria trench. Volcanism near STEPs is distinct from typical arc volcanism. In some cases, slab edges appear to coincide with mantle plumes. Using 3D mechanical models, we establish that STEP faults are stable plate tectonic features in most circumstances. In the (probably rare) cases that the resistance to fault propagation is high, slab break-off will occur. Relative motion along the transform segment of the plate boundary often is non-uniform, and the STEP is not a transform plate boundary in the (rigid) plate tectonics sense of the phrase. STEP propagation may result in substantial deformation, rotation, topography and sedimentary basins, with a very specific time-space evolution. Surface velocities are substantially affected by nearby STEPs.","container-title":"Earth and Planetary Science Letters","DOI":"10.1016/j.epsl.2005.03.022","ISSN":"0012-821X","issue":"1","journalAbbreviation":"Earth and Planetary Science Letters","language":"en","page":"505-523","source":"ScienceDirect","title":"Lithosphere tearing at STEP faults: response to edges of subduction zones","title-short":"Lithosphere tearing at STEP faults","volume":"236","author":[{"family":"Govers","given":"R."},{"family":"Wortel","given":"M. J. R."}],"issued":{"date-parts":[["2005",7,30]]}}}],"schema":"https://github.com/citation-style-language/schema/raw/master/csl-citation.json"} </w:instrText>
            </w:r>
            <w:r w:rsidRPr="00C86F1F">
              <w:rPr>
                <w:rFonts w:eastAsia="等线"/>
                <w:sz w:val="18"/>
                <w:szCs w:val="18"/>
                <w:vertAlign w:val="superscript"/>
              </w:rPr>
              <w:fldChar w:fldCharType="separate"/>
            </w:r>
            <w:r w:rsidR="00022AEB" w:rsidRPr="00022AEB">
              <w:rPr>
                <w:kern w:val="0"/>
                <w:sz w:val="18"/>
                <w:vertAlign w:val="superscript"/>
              </w:rPr>
              <w:t>37</w:t>
            </w:r>
            <w:r w:rsidRPr="00C86F1F">
              <w:rPr>
                <w:rFonts w:eastAsia="等线"/>
                <w:sz w:val="18"/>
                <w:szCs w:val="18"/>
                <w:vertAlign w:val="superscript"/>
              </w:rPr>
              <w:fldChar w:fldCharType="end"/>
            </w:r>
          </w:p>
        </w:tc>
      </w:tr>
      <w:tr w:rsidR="00C86F1F" w:rsidRPr="00DF1D9D" w14:paraId="6F21B211" w14:textId="77777777" w:rsidTr="009D1B0F">
        <w:trPr>
          <w:cnfStyle w:val="000000100000" w:firstRow="0" w:lastRow="0" w:firstColumn="0" w:lastColumn="0" w:oddVBand="0" w:evenVBand="0" w:oddHBand="1" w:evenHBand="0" w:firstRowFirstColumn="0" w:firstRowLastColumn="0" w:lastRowFirstColumn="0" w:lastRowLastColumn="0"/>
          <w:trHeight w:val="454"/>
        </w:trPr>
        <w:tc>
          <w:tcPr>
            <w:cnfStyle w:val="001000000000" w:firstRow="0" w:lastRow="0" w:firstColumn="1" w:lastColumn="0" w:oddVBand="0" w:evenVBand="0" w:oddHBand="0" w:evenHBand="0" w:firstRowFirstColumn="0" w:firstRowLastColumn="0" w:lastRowFirstColumn="0" w:lastRowLastColumn="0"/>
            <w:tcW w:w="2396" w:type="dxa"/>
            <w:tcBorders>
              <w:left w:val="single" w:sz="12" w:space="0" w:color="auto"/>
              <w:right w:val="single" w:sz="12" w:space="0" w:color="auto"/>
            </w:tcBorders>
            <w:vAlign w:val="center"/>
          </w:tcPr>
          <w:p w14:paraId="30BCE666" w14:textId="77777777" w:rsidR="00C86F1F" w:rsidRPr="00DF1D9D" w:rsidRDefault="00C86F1F" w:rsidP="007B5326">
            <w:pPr>
              <w:spacing w:line="240" w:lineRule="auto"/>
              <w:jc w:val="center"/>
              <w:rPr>
                <w:rFonts w:eastAsia="等线"/>
                <w:i w:val="0"/>
                <w:iCs w:val="0"/>
                <w:sz w:val="18"/>
                <w:szCs w:val="18"/>
              </w:rPr>
            </w:pPr>
            <w:r w:rsidRPr="00DF1D9D">
              <w:rPr>
                <w:i w:val="0"/>
                <w:iCs w:val="0"/>
                <w:sz w:val="18"/>
                <w:szCs w:val="18"/>
              </w:rPr>
              <w:t>S</w:t>
            </w:r>
            <w:r>
              <w:rPr>
                <w:i w:val="0"/>
                <w:iCs w:val="0"/>
                <w:sz w:val="18"/>
                <w:szCs w:val="18"/>
              </w:rPr>
              <w:t>outhern</w:t>
            </w:r>
            <w:r w:rsidRPr="00DF1D9D">
              <w:rPr>
                <w:i w:val="0"/>
                <w:iCs w:val="0"/>
                <w:sz w:val="18"/>
                <w:szCs w:val="18"/>
              </w:rPr>
              <w:t xml:space="preserve"> Solomon</w:t>
            </w:r>
            <w:r>
              <w:rPr>
                <w:i w:val="0"/>
                <w:iCs w:val="0"/>
                <w:sz w:val="18"/>
                <w:szCs w:val="18"/>
              </w:rPr>
              <w:t xml:space="preserve"> Trench</w:t>
            </w:r>
          </w:p>
        </w:tc>
        <w:tc>
          <w:tcPr>
            <w:tcW w:w="1275" w:type="dxa"/>
            <w:tcBorders>
              <w:left w:val="single" w:sz="12" w:space="0" w:color="auto"/>
              <w:right w:val="single" w:sz="12" w:space="0" w:color="auto"/>
            </w:tcBorders>
            <w:vAlign w:val="center"/>
          </w:tcPr>
          <w:p w14:paraId="59DFA98D" w14:textId="77777777" w:rsidR="00C86F1F" w:rsidRPr="00DF1D9D" w:rsidRDefault="00C86F1F" w:rsidP="007B5326">
            <w:pPr>
              <w:spacing w:line="240" w:lineRule="auto"/>
              <w:jc w:val="center"/>
              <w:cnfStyle w:val="000000100000" w:firstRow="0" w:lastRow="0" w:firstColumn="0" w:lastColumn="0" w:oddVBand="0" w:evenVBand="0" w:oddHBand="1" w:evenHBand="0" w:firstRowFirstColumn="0" w:firstRowLastColumn="0" w:lastRowFirstColumn="0" w:lastRowLastColumn="0"/>
              <w:rPr>
                <w:sz w:val="18"/>
                <w:szCs w:val="18"/>
              </w:rPr>
            </w:pPr>
            <w:r>
              <w:rPr>
                <w:rFonts w:hint="eastAsia"/>
                <w:sz w:val="18"/>
                <w:szCs w:val="18"/>
              </w:rPr>
              <w:t>S</w:t>
            </w:r>
            <w:r>
              <w:rPr>
                <w:sz w:val="18"/>
                <w:szCs w:val="18"/>
              </w:rPr>
              <w:t>SolT</w:t>
            </w:r>
          </w:p>
        </w:tc>
        <w:tc>
          <w:tcPr>
            <w:tcW w:w="1134" w:type="dxa"/>
            <w:tcBorders>
              <w:left w:val="single" w:sz="12" w:space="0" w:color="auto"/>
            </w:tcBorders>
            <w:vAlign w:val="center"/>
          </w:tcPr>
          <w:p w14:paraId="74785F89" w14:textId="77777777" w:rsidR="00C86F1F" w:rsidRPr="00DF1D9D" w:rsidRDefault="00C86F1F" w:rsidP="007B5326">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等线"/>
                <w:sz w:val="18"/>
                <w:szCs w:val="18"/>
              </w:rPr>
            </w:pPr>
            <w:r w:rsidRPr="00DF1D9D">
              <w:rPr>
                <w:sz w:val="18"/>
                <w:szCs w:val="18"/>
              </w:rPr>
              <w:t>162.44</w:t>
            </w:r>
          </w:p>
        </w:tc>
        <w:tc>
          <w:tcPr>
            <w:tcW w:w="993" w:type="dxa"/>
            <w:vAlign w:val="center"/>
          </w:tcPr>
          <w:p w14:paraId="48F5F864" w14:textId="77777777" w:rsidR="00C86F1F" w:rsidRPr="00DF1D9D" w:rsidRDefault="00C86F1F" w:rsidP="007B5326">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等线"/>
                <w:sz w:val="18"/>
                <w:szCs w:val="18"/>
              </w:rPr>
            </w:pPr>
            <w:r w:rsidRPr="00DF1D9D">
              <w:rPr>
                <w:sz w:val="18"/>
                <w:szCs w:val="18"/>
              </w:rPr>
              <w:t>-11.35</w:t>
            </w:r>
          </w:p>
        </w:tc>
        <w:tc>
          <w:tcPr>
            <w:tcW w:w="1701" w:type="dxa"/>
            <w:vAlign w:val="center"/>
          </w:tcPr>
          <w:p w14:paraId="1F46E447" w14:textId="77777777" w:rsidR="00C86F1F" w:rsidRPr="00DF1D9D" w:rsidRDefault="00C86F1F" w:rsidP="007B5326">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等线"/>
                <w:sz w:val="18"/>
                <w:szCs w:val="18"/>
              </w:rPr>
            </w:pPr>
            <w:r w:rsidRPr="00DF1D9D">
              <w:rPr>
                <w:sz w:val="18"/>
                <w:szCs w:val="18"/>
              </w:rPr>
              <w:t>Internal</w:t>
            </w:r>
          </w:p>
        </w:tc>
        <w:tc>
          <w:tcPr>
            <w:tcW w:w="1134" w:type="dxa"/>
            <w:tcBorders>
              <w:right w:val="single" w:sz="12" w:space="0" w:color="auto"/>
            </w:tcBorders>
            <w:vAlign w:val="center"/>
          </w:tcPr>
          <w:p w14:paraId="7DB04A5C" w14:textId="5C45BAAA" w:rsidR="00C86F1F" w:rsidRPr="00C86F1F" w:rsidRDefault="00C86F1F" w:rsidP="007B5326">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等线"/>
                <w:sz w:val="18"/>
                <w:szCs w:val="18"/>
                <w:vertAlign w:val="superscript"/>
              </w:rPr>
            </w:pPr>
            <w:r w:rsidRPr="00C86F1F">
              <w:rPr>
                <w:rFonts w:eastAsia="等线"/>
                <w:sz w:val="18"/>
                <w:szCs w:val="18"/>
                <w:vertAlign w:val="superscript"/>
              </w:rPr>
              <w:fldChar w:fldCharType="begin"/>
            </w:r>
            <w:r w:rsidR="00022AEB">
              <w:rPr>
                <w:rFonts w:eastAsia="等线"/>
                <w:sz w:val="18"/>
                <w:szCs w:val="18"/>
                <w:vertAlign w:val="superscript"/>
              </w:rPr>
              <w:instrText xml:space="preserve"> ADDIN ZOTERO_ITEM CSL_CITATION {"citationID":"qBAyVY0X","properties":{"formattedCitation":"\\super 38\\nosupersub{}","plainCitation":"38","noteIndex":0},"citationItems":[{"id":2450,"uris":["http://zotero.org/users/4242308/items/4382T44P"],"itemData":{"id":2450,"type":"article-journal","abstract":"The San Cristobal Trough (SCT), formed by the tearing of the Australia plate as it subducts under the Pacific plate near the Solomon Islands, provides an opportunity to study the transform boundary development process. Recent seismicity (2013–2016) along the 280 km long SCT, known as a Subduction-Transform Edge Propagator (STEP) fault, highlights the tearing process and ongoing development of the plate boundary. The region's earthquakes reveal two key characteristics. First, earthquakes at the western terminus of the SCT, which we interpret to indicate the Australia plate tearing, display disparate fault geometries. These events demonstrate that plate tearing is accommodated via multiple intersecting planes rather than a single through-going fault. Second, the SCT hosts sequences of Mw </w:instrText>
            </w:r>
            <w:r w:rsidR="00022AEB">
              <w:rPr>
                <w:rFonts w:ascii="Cambria Math" w:eastAsia="等线" w:hAnsi="Cambria Math" w:cs="Cambria Math"/>
                <w:sz w:val="18"/>
                <w:szCs w:val="18"/>
                <w:vertAlign w:val="superscript"/>
              </w:rPr>
              <w:instrText>∼</w:instrText>
            </w:r>
            <w:r w:rsidR="00022AEB">
              <w:rPr>
                <w:rFonts w:eastAsia="等线"/>
                <w:sz w:val="18"/>
                <w:szCs w:val="18"/>
                <w:vertAlign w:val="superscript"/>
              </w:rPr>
              <w:instrText xml:space="preserve">7 strike-slip earthquakes that migrate westward through a rapid succession of events. Sequences in 1993 and 2015 both began along the eastern SCT and propagated west, but neither progression ruptured into or nucleated a large earthquake within the region near the tear. Utilizing b-value and Coulomb Failure Stress analyses, we examine these along-strike variations in the SCT's seismicity. b-Values are highest along the youngest, western end of the SCT and decrease with increasing distance from the tear. This trend may reflect increasing strain localization with increasing displacement. Coulomb Failure Stress analyses indicate that the stress conditions were conducive to continued western propagation of the 1993 and 2015 sequences suggesting that the unruptured western SCT may have fault geometries or properties that inhibit continued rupture. Our results indicate a displacement-driven fault maturation process. The multi-plane Australia plate tearing likely creates a western SCT with diffuse strain accommodated along a network of disorganized faults. After </w:instrText>
            </w:r>
            <w:r w:rsidR="00022AEB">
              <w:rPr>
                <w:rFonts w:ascii="Cambria Math" w:eastAsia="等线" w:hAnsi="Cambria Math" w:cs="Cambria Math"/>
                <w:sz w:val="18"/>
                <w:szCs w:val="18"/>
                <w:vertAlign w:val="superscript"/>
              </w:rPr>
              <w:instrText>∼</w:instrText>
            </w:r>
            <w:r w:rsidR="00022AEB">
              <w:rPr>
                <w:rFonts w:eastAsia="等线"/>
                <w:sz w:val="18"/>
                <w:szCs w:val="18"/>
                <w:vertAlign w:val="superscript"/>
              </w:rPr>
              <w:instrText>90 km of cumulative displacement (</w:instrText>
            </w:r>
            <w:r w:rsidR="00022AEB">
              <w:rPr>
                <w:rFonts w:ascii="Cambria Math" w:eastAsia="等线" w:hAnsi="Cambria Math" w:cs="Cambria Math"/>
                <w:sz w:val="18"/>
                <w:szCs w:val="18"/>
                <w:vertAlign w:val="superscript"/>
              </w:rPr>
              <w:instrText>∼</w:instrText>
            </w:r>
            <w:r w:rsidR="00022AEB">
              <w:rPr>
                <w:rFonts w:eastAsia="等线"/>
                <w:sz w:val="18"/>
                <w:szCs w:val="18"/>
                <w:vertAlign w:val="superscript"/>
              </w:rPr>
              <w:instrText xml:space="preserve">900,000 yr of plate motion), strain localizes and faults align, allowing the SCT to host large earthquakes.","container-title":"Earth and Planetary Science Letters","DOI":"10.1016/j.epsl.2017.12.044","ISSN":"0012-821X","journalAbbreviation":"Earth and Planetary Science Letters","language":"en","page":"88-98","source":"ScienceDirect","title":"Evidence of displacement-driven maturation along the San Cristobal Trough transform plate boundary","volume":"485","author":[{"family":"Neely","given":"James S."},{"family":"Furlong","given":"Kevin P."}],"issued":{"date-parts":[["2018",3,1]]}}}],"schema":"https://github.com/citation-style-language/schema/raw/master/csl-citation.json"} </w:instrText>
            </w:r>
            <w:r w:rsidRPr="00C86F1F">
              <w:rPr>
                <w:rFonts w:eastAsia="等线"/>
                <w:sz w:val="18"/>
                <w:szCs w:val="18"/>
                <w:vertAlign w:val="superscript"/>
              </w:rPr>
              <w:fldChar w:fldCharType="separate"/>
            </w:r>
            <w:r w:rsidR="00022AEB" w:rsidRPr="00022AEB">
              <w:rPr>
                <w:kern w:val="0"/>
                <w:sz w:val="18"/>
                <w:vertAlign w:val="superscript"/>
              </w:rPr>
              <w:t>38</w:t>
            </w:r>
            <w:r w:rsidRPr="00C86F1F">
              <w:rPr>
                <w:rFonts w:eastAsia="等线"/>
                <w:sz w:val="18"/>
                <w:szCs w:val="18"/>
                <w:vertAlign w:val="superscript"/>
              </w:rPr>
              <w:fldChar w:fldCharType="end"/>
            </w:r>
          </w:p>
        </w:tc>
      </w:tr>
      <w:tr w:rsidR="00C86F1F" w:rsidRPr="00DF1D9D" w14:paraId="4D099359" w14:textId="77777777" w:rsidTr="009D1B0F">
        <w:trPr>
          <w:trHeight w:val="454"/>
        </w:trPr>
        <w:tc>
          <w:tcPr>
            <w:cnfStyle w:val="001000000000" w:firstRow="0" w:lastRow="0" w:firstColumn="1" w:lastColumn="0" w:oddVBand="0" w:evenVBand="0" w:oddHBand="0" w:evenHBand="0" w:firstRowFirstColumn="0" w:firstRowLastColumn="0" w:lastRowFirstColumn="0" w:lastRowLastColumn="0"/>
            <w:tcW w:w="2396" w:type="dxa"/>
            <w:tcBorders>
              <w:left w:val="single" w:sz="12" w:space="0" w:color="auto"/>
              <w:right w:val="single" w:sz="12" w:space="0" w:color="auto"/>
            </w:tcBorders>
            <w:vAlign w:val="center"/>
          </w:tcPr>
          <w:p w14:paraId="7AB91FBF" w14:textId="77777777" w:rsidR="00C86F1F" w:rsidRPr="00DF1D9D" w:rsidRDefault="00C86F1F" w:rsidP="007B5326">
            <w:pPr>
              <w:spacing w:line="240" w:lineRule="auto"/>
              <w:jc w:val="center"/>
              <w:rPr>
                <w:rFonts w:eastAsia="等线"/>
                <w:i w:val="0"/>
                <w:iCs w:val="0"/>
                <w:sz w:val="18"/>
                <w:szCs w:val="18"/>
              </w:rPr>
            </w:pPr>
            <w:r w:rsidRPr="00DF1D9D">
              <w:rPr>
                <w:i w:val="0"/>
                <w:iCs w:val="0"/>
                <w:sz w:val="18"/>
                <w:szCs w:val="18"/>
              </w:rPr>
              <w:t>S</w:t>
            </w:r>
            <w:r>
              <w:rPr>
                <w:i w:val="0"/>
                <w:iCs w:val="0"/>
                <w:sz w:val="18"/>
                <w:szCs w:val="18"/>
              </w:rPr>
              <w:t>outhern</w:t>
            </w:r>
            <w:r w:rsidRPr="00DF1D9D">
              <w:rPr>
                <w:i w:val="0"/>
                <w:iCs w:val="0"/>
                <w:sz w:val="18"/>
                <w:szCs w:val="18"/>
              </w:rPr>
              <w:t xml:space="preserve"> Vanuatu</w:t>
            </w:r>
            <w:r>
              <w:rPr>
                <w:i w:val="0"/>
                <w:iCs w:val="0"/>
                <w:sz w:val="18"/>
                <w:szCs w:val="18"/>
              </w:rPr>
              <w:t xml:space="preserve"> Trench</w:t>
            </w:r>
          </w:p>
        </w:tc>
        <w:tc>
          <w:tcPr>
            <w:tcW w:w="1275" w:type="dxa"/>
            <w:tcBorders>
              <w:left w:val="single" w:sz="12" w:space="0" w:color="auto"/>
              <w:right w:val="single" w:sz="12" w:space="0" w:color="auto"/>
            </w:tcBorders>
            <w:vAlign w:val="center"/>
          </w:tcPr>
          <w:p w14:paraId="2B03E00B" w14:textId="77777777" w:rsidR="00C86F1F" w:rsidRPr="00DF1D9D" w:rsidRDefault="00C86F1F" w:rsidP="007B5326">
            <w:pPr>
              <w:spacing w:line="240" w:lineRule="auto"/>
              <w:jc w:val="center"/>
              <w:cnfStyle w:val="000000000000" w:firstRow="0" w:lastRow="0" w:firstColumn="0" w:lastColumn="0" w:oddVBand="0" w:evenVBand="0" w:oddHBand="0" w:evenHBand="0" w:firstRowFirstColumn="0" w:firstRowLastColumn="0" w:lastRowFirstColumn="0" w:lastRowLastColumn="0"/>
              <w:rPr>
                <w:sz w:val="18"/>
                <w:szCs w:val="18"/>
              </w:rPr>
            </w:pPr>
            <w:r>
              <w:rPr>
                <w:rFonts w:hint="eastAsia"/>
                <w:sz w:val="18"/>
                <w:szCs w:val="18"/>
              </w:rPr>
              <w:t>S</w:t>
            </w:r>
            <w:r>
              <w:rPr>
                <w:sz w:val="18"/>
                <w:szCs w:val="18"/>
              </w:rPr>
              <w:t>VT</w:t>
            </w:r>
          </w:p>
        </w:tc>
        <w:tc>
          <w:tcPr>
            <w:tcW w:w="1134" w:type="dxa"/>
            <w:tcBorders>
              <w:left w:val="single" w:sz="12" w:space="0" w:color="auto"/>
            </w:tcBorders>
            <w:vAlign w:val="center"/>
          </w:tcPr>
          <w:p w14:paraId="4EB6D100" w14:textId="77777777" w:rsidR="00C86F1F" w:rsidRPr="00DF1D9D" w:rsidRDefault="00C86F1F" w:rsidP="007B5326">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等线"/>
                <w:sz w:val="18"/>
                <w:szCs w:val="18"/>
              </w:rPr>
            </w:pPr>
            <w:r w:rsidRPr="00DF1D9D">
              <w:rPr>
                <w:sz w:val="18"/>
                <w:szCs w:val="18"/>
              </w:rPr>
              <w:t>171.64</w:t>
            </w:r>
          </w:p>
        </w:tc>
        <w:tc>
          <w:tcPr>
            <w:tcW w:w="993" w:type="dxa"/>
            <w:vAlign w:val="center"/>
          </w:tcPr>
          <w:p w14:paraId="567CC005" w14:textId="77777777" w:rsidR="00C86F1F" w:rsidRPr="00DF1D9D" w:rsidRDefault="00C86F1F" w:rsidP="007B5326">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等线"/>
                <w:sz w:val="18"/>
                <w:szCs w:val="18"/>
              </w:rPr>
            </w:pPr>
            <w:r w:rsidRPr="00DF1D9D">
              <w:rPr>
                <w:sz w:val="18"/>
                <w:szCs w:val="18"/>
              </w:rPr>
              <w:t>-22.55</w:t>
            </w:r>
          </w:p>
        </w:tc>
        <w:tc>
          <w:tcPr>
            <w:tcW w:w="1701" w:type="dxa"/>
            <w:vAlign w:val="center"/>
          </w:tcPr>
          <w:p w14:paraId="0ADF638D" w14:textId="77777777" w:rsidR="00C86F1F" w:rsidRPr="00DF1D9D" w:rsidRDefault="00C86F1F" w:rsidP="007B5326">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等线"/>
                <w:sz w:val="18"/>
                <w:szCs w:val="18"/>
              </w:rPr>
            </w:pPr>
            <w:r w:rsidRPr="00DF1D9D">
              <w:rPr>
                <w:sz w:val="18"/>
                <w:szCs w:val="18"/>
              </w:rPr>
              <w:t>Edge</w:t>
            </w:r>
          </w:p>
        </w:tc>
        <w:tc>
          <w:tcPr>
            <w:tcW w:w="1134" w:type="dxa"/>
            <w:tcBorders>
              <w:right w:val="single" w:sz="12" w:space="0" w:color="auto"/>
            </w:tcBorders>
            <w:vAlign w:val="center"/>
          </w:tcPr>
          <w:p w14:paraId="36FAC2A2" w14:textId="1C59BAEB" w:rsidR="00C86F1F" w:rsidRPr="00C86F1F" w:rsidRDefault="00C86F1F" w:rsidP="007B5326">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等线"/>
                <w:sz w:val="18"/>
                <w:szCs w:val="18"/>
                <w:vertAlign w:val="superscript"/>
              </w:rPr>
            </w:pPr>
            <w:r w:rsidRPr="00C86F1F">
              <w:rPr>
                <w:rFonts w:eastAsia="等线"/>
                <w:sz w:val="18"/>
                <w:szCs w:val="18"/>
                <w:vertAlign w:val="superscript"/>
              </w:rPr>
              <w:fldChar w:fldCharType="begin"/>
            </w:r>
            <w:r w:rsidR="00022AEB">
              <w:rPr>
                <w:rFonts w:eastAsia="等线"/>
                <w:sz w:val="18"/>
                <w:szCs w:val="18"/>
                <w:vertAlign w:val="superscript"/>
              </w:rPr>
              <w:instrText xml:space="preserve"> ADDIN ZOTERO_ITEM CSL_CITATION {"citationID":"73JN00fT","properties":{"formattedCitation":"\\super 39\\nosupersub{}","plainCitation":"39","noteIndex":0},"citationItems":[{"id":2754,"uris":["http://zotero.org/users/4242308/items/H8VHSPGR"],"itemData":{"id":2754,"type":"article-journal","abstract":"An alternative scenario is proposed for the origin of a concave NE-facing slab under the North Fiji Basin between the Tonga subduction slab and Vanuatu Arc. During rollback of the Australian Plate, Vanuatu Arc rotated clockwise, whereas Fiji Platform rotated counterclockwise from 12/10Ma until 1.5Ma ago. Thereafter, only Vanuatu Arc rotated until the present. During the period of opposite rotations, toroidal flows entered the mantle around the northwest slab edge of Vanuatu Arc and from the northeast slab edge of Fiji Platform. The latter lies close to the northern end of the Tonga slab where arc-parallel flows are shown by volcanic geochemistry and mantle anisotropy. Opposite toroidal flows with upwelling and downwelling components generate the concave form of the combined Vanuatu/Fiji Platform slab, match its extent to mapped deep seismicity, explain its position overlying the Tonga slab, provide a mechanism for high heat flow in the North Fiji Basin as well as enriched MORB and OIB basalts in the northern NFB, and obviate slab collisions invoked to produce slab curvature.","container-title":"Tectonophysics","DOI":"10.1016/j.tecto.2014.02.009","ISSN":"0040-1951","journalAbbreviation":"Tectonophysics","language":"en","page":"56-61","source":"ScienceDirect","title":"Concave slab out board of the Tonga subduction zone caused by opposite toroidal flows under the North Fiji Basin","volume":"622","author":[{"family":"Martin","given":"A. K."}],"issued":{"date-parts":[["2014",5,21]]}}}],"schema":"https://github.com/citation-style-language/schema/raw/master/csl-citation.json"} </w:instrText>
            </w:r>
            <w:r w:rsidRPr="00C86F1F">
              <w:rPr>
                <w:rFonts w:eastAsia="等线"/>
                <w:sz w:val="18"/>
                <w:szCs w:val="18"/>
                <w:vertAlign w:val="superscript"/>
              </w:rPr>
              <w:fldChar w:fldCharType="separate"/>
            </w:r>
            <w:r w:rsidR="00022AEB" w:rsidRPr="00022AEB">
              <w:rPr>
                <w:kern w:val="0"/>
                <w:sz w:val="18"/>
                <w:vertAlign w:val="superscript"/>
              </w:rPr>
              <w:t>39</w:t>
            </w:r>
            <w:r w:rsidRPr="00C86F1F">
              <w:rPr>
                <w:rFonts w:eastAsia="等线"/>
                <w:sz w:val="18"/>
                <w:szCs w:val="18"/>
                <w:vertAlign w:val="superscript"/>
              </w:rPr>
              <w:fldChar w:fldCharType="end"/>
            </w:r>
          </w:p>
        </w:tc>
      </w:tr>
      <w:tr w:rsidR="00C97989" w:rsidRPr="00DF1D9D" w14:paraId="577F2D4A" w14:textId="77777777" w:rsidTr="00C97989">
        <w:trPr>
          <w:cnfStyle w:val="000000100000" w:firstRow="0" w:lastRow="0" w:firstColumn="0" w:lastColumn="0" w:oddVBand="0" w:evenVBand="0" w:oddHBand="1" w:evenHBand="0" w:firstRowFirstColumn="0" w:firstRowLastColumn="0" w:lastRowFirstColumn="0" w:lastRowLastColumn="0"/>
          <w:trHeight w:val="454"/>
        </w:trPr>
        <w:tc>
          <w:tcPr>
            <w:cnfStyle w:val="001000000000" w:firstRow="0" w:lastRow="0" w:firstColumn="1" w:lastColumn="0" w:oddVBand="0" w:evenVBand="0" w:oddHBand="0" w:evenHBand="0" w:firstRowFirstColumn="0" w:firstRowLastColumn="0" w:lastRowFirstColumn="0" w:lastRowLastColumn="0"/>
            <w:tcW w:w="2396" w:type="dxa"/>
            <w:tcBorders>
              <w:left w:val="single" w:sz="12" w:space="0" w:color="auto"/>
              <w:right w:val="single" w:sz="12" w:space="0" w:color="auto"/>
            </w:tcBorders>
            <w:vAlign w:val="center"/>
          </w:tcPr>
          <w:p w14:paraId="15393BCD" w14:textId="6B7C6923" w:rsidR="00C97989" w:rsidRPr="00C97989" w:rsidRDefault="00C97989" w:rsidP="007B5326">
            <w:pPr>
              <w:spacing w:line="240" w:lineRule="auto"/>
              <w:jc w:val="center"/>
              <w:rPr>
                <w:i w:val="0"/>
                <w:iCs w:val="0"/>
                <w:sz w:val="18"/>
                <w:szCs w:val="18"/>
              </w:rPr>
            </w:pPr>
            <w:r w:rsidRPr="00C97989">
              <w:rPr>
                <w:i w:val="0"/>
                <w:iCs w:val="0"/>
                <w:sz w:val="18"/>
                <w:szCs w:val="18"/>
              </w:rPr>
              <w:t>South-Western Calabro-Ionian subduction zone</w:t>
            </w:r>
          </w:p>
        </w:tc>
        <w:tc>
          <w:tcPr>
            <w:tcW w:w="1275" w:type="dxa"/>
            <w:tcBorders>
              <w:left w:val="single" w:sz="12" w:space="0" w:color="auto"/>
              <w:right w:val="single" w:sz="12" w:space="0" w:color="auto"/>
            </w:tcBorders>
            <w:vAlign w:val="center"/>
          </w:tcPr>
          <w:p w14:paraId="4FB7DEB2" w14:textId="1EDA523D" w:rsidR="00C97989" w:rsidRPr="00C97989" w:rsidRDefault="00C97989" w:rsidP="007B5326">
            <w:pPr>
              <w:spacing w:line="240" w:lineRule="auto"/>
              <w:jc w:val="center"/>
              <w:cnfStyle w:val="000000100000" w:firstRow="0" w:lastRow="0" w:firstColumn="0" w:lastColumn="0" w:oddVBand="0" w:evenVBand="0" w:oddHBand="1" w:evenHBand="0" w:firstRowFirstColumn="0" w:firstRowLastColumn="0" w:lastRowFirstColumn="0" w:lastRowLastColumn="0"/>
              <w:rPr>
                <w:sz w:val="18"/>
                <w:szCs w:val="18"/>
              </w:rPr>
            </w:pPr>
            <w:r w:rsidRPr="00C97989">
              <w:rPr>
                <w:sz w:val="18"/>
                <w:szCs w:val="18"/>
              </w:rPr>
              <w:t>CISZ</w:t>
            </w:r>
          </w:p>
        </w:tc>
        <w:tc>
          <w:tcPr>
            <w:tcW w:w="1134" w:type="dxa"/>
            <w:tcBorders>
              <w:left w:val="single" w:sz="12" w:space="0" w:color="auto"/>
            </w:tcBorders>
            <w:vAlign w:val="center"/>
          </w:tcPr>
          <w:p w14:paraId="5BE7277B" w14:textId="38919EA4" w:rsidR="00C97989" w:rsidRPr="00C97989" w:rsidRDefault="00C97989" w:rsidP="007B5326">
            <w:pPr>
              <w:spacing w:line="240" w:lineRule="auto"/>
              <w:jc w:val="center"/>
              <w:cnfStyle w:val="000000100000" w:firstRow="0" w:lastRow="0" w:firstColumn="0" w:lastColumn="0" w:oddVBand="0" w:evenVBand="0" w:oddHBand="1" w:evenHBand="0" w:firstRowFirstColumn="0" w:firstRowLastColumn="0" w:lastRowFirstColumn="0" w:lastRowLastColumn="0"/>
              <w:rPr>
                <w:sz w:val="18"/>
                <w:szCs w:val="18"/>
              </w:rPr>
            </w:pPr>
            <w:r w:rsidRPr="00C97989">
              <w:rPr>
                <w:sz w:val="18"/>
                <w:szCs w:val="18"/>
              </w:rPr>
              <w:t>15.61</w:t>
            </w:r>
          </w:p>
        </w:tc>
        <w:tc>
          <w:tcPr>
            <w:tcW w:w="993" w:type="dxa"/>
            <w:vAlign w:val="center"/>
          </w:tcPr>
          <w:p w14:paraId="4DE28B33" w14:textId="457FC10F" w:rsidR="00C97989" w:rsidRPr="00C97989" w:rsidRDefault="00C97989" w:rsidP="007B5326">
            <w:pPr>
              <w:spacing w:line="240" w:lineRule="auto"/>
              <w:jc w:val="center"/>
              <w:cnfStyle w:val="000000100000" w:firstRow="0" w:lastRow="0" w:firstColumn="0" w:lastColumn="0" w:oddVBand="0" w:evenVBand="0" w:oddHBand="1" w:evenHBand="0" w:firstRowFirstColumn="0" w:firstRowLastColumn="0" w:lastRowFirstColumn="0" w:lastRowLastColumn="0"/>
              <w:rPr>
                <w:sz w:val="18"/>
                <w:szCs w:val="18"/>
              </w:rPr>
            </w:pPr>
            <w:r w:rsidRPr="00C97989">
              <w:rPr>
                <w:sz w:val="18"/>
                <w:szCs w:val="18"/>
              </w:rPr>
              <w:t>38.02</w:t>
            </w:r>
          </w:p>
        </w:tc>
        <w:tc>
          <w:tcPr>
            <w:tcW w:w="1701" w:type="dxa"/>
            <w:vAlign w:val="center"/>
          </w:tcPr>
          <w:p w14:paraId="0703047D" w14:textId="511E413A" w:rsidR="00C97989" w:rsidRPr="00C97989" w:rsidRDefault="00C97989" w:rsidP="007B5326">
            <w:pPr>
              <w:spacing w:line="240" w:lineRule="auto"/>
              <w:jc w:val="center"/>
              <w:cnfStyle w:val="000000100000" w:firstRow="0" w:lastRow="0" w:firstColumn="0" w:lastColumn="0" w:oddVBand="0" w:evenVBand="0" w:oddHBand="1" w:evenHBand="0" w:firstRowFirstColumn="0" w:firstRowLastColumn="0" w:lastRowFirstColumn="0" w:lastRowLastColumn="0"/>
              <w:rPr>
                <w:sz w:val="18"/>
                <w:szCs w:val="18"/>
              </w:rPr>
            </w:pPr>
            <w:r w:rsidRPr="00C97989">
              <w:rPr>
                <w:sz w:val="18"/>
                <w:szCs w:val="18"/>
              </w:rPr>
              <w:t>Edge</w:t>
            </w:r>
          </w:p>
        </w:tc>
        <w:tc>
          <w:tcPr>
            <w:tcW w:w="1134" w:type="dxa"/>
            <w:tcBorders>
              <w:right w:val="single" w:sz="12" w:space="0" w:color="auto"/>
            </w:tcBorders>
            <w:vAlign w:val="center"/>
          </w:tcPr>
          <w:p w14:paraId="19CFE489" w14:textId="1893F011" w:rsidR="00C97989" w:rsidRPr="00C86F1F" w:rsidRDefault="00C97989" w:rsidP="007B5326">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等线"/>
                <w:sz w:val="18"/>
                <w:szCs w:val="18"/>
                <w:vertAlign w:val="superscript"/>
              </w:rPr>
            </w:pPr>
            <w:r>
              <w:rPr>
                <w:rFonts w:eastAsia="等线"/>
                <w:sz w:val="18"/>
                <w:szCs w:val="18"/>
                <w:vertAlign w:val="superscript"/>
              </w:rPr>
              <w:fldChar w:fldCharType="begin"/>
            </w:r>
            <w:r w:rsidR="00022AEB">
              <w:rPr>
                <w:rFonts w:eastAsia="等线"/>
                <w:sz w:val="18"/>
                <w:szCs w:val="18"/>
                <w:vertAlign w:val="superscript"/>
              </w:rPr>
              <w:instrText xml:space="preserve"> ADDIN ZOTERO_ITEM CSL_CITATION {"citationID":"XJPuB3cZ","properties":{"formattedCitation":"\\super 40,41\\nosupersub{}","plainCitation":"40,41","noteIndex":0},"citationItems":[{"id":2297,"uris":["http://zotero.org/users/4242308/items/MAKM6UU2"],"itemData":{"id":2297,"type":"article-journal","abstract":"Subduction of a narrow slab of oceanic lithosphere beneath a tightly curved orogenic arc requires the presence of at least one lithospheric scale tear fault. While the Calabrian subduction beneath southern Italy is considered to be the type example of this geodynamic setting, the geometry, kinematics and surface expression of the associated lateral, slab tear fault offshore eastern Sicily remain controversial. Results from a new marine geophysical survey conducted in the Ionian Sea, using high-resolution bathymetry and seismic profiling reveal active faulting at the seafloor within a 140 km long, two-branched fault system near Alfeo Seamount. The previously unidentified 60 km long NW trending North Alfeo Fault system shows primarily strike-slip kinematics as indicated by the morphology and steep-dipping transpressional and transtensional faults. Available earthquake focal mechanisms indicate dextral strike-slip motion along this fault segment. The 80 km long SSE trending South Alfeo fault system is expressed by one or two steeply dipping normal faults, bounding the western side of a 500+ m thick, 5 km wide, elongate, syntectonic Plio-Quaternary sedimentary basin. Both branches of the fault system are mechanically capable of generating magnitude 6–7 earthquakes like those that struck eastern Sicily in 1169, 1542, and 1693.","container-title":"Tectonics","DOI":"https://doi.org/10.1002/2015TC003898","ISSN":"1944-9194","issue":"1","language":"en","note":"_eprint: https://agupubs.onlinelibrary.wiley.com/doi/pdf/10.1002/2015TC003898","page":"39-54","source":"Wiley Online Library","title":"Tectonic expression of an active slab tear from high-resolution seismic and bathymetric data offshore Sicily (Ionian Sea)","volume":"35","author":[{"family":"Gutscher","given":"Marc-André"},{"family":"Dominguez","given":"Stephane"},{"family":"Lepinay","given":"Bernard Mercier","dropping-particle":"de"},{"family":"Pinheiro","given":"Luis"},{"family":"Gallais","given":"Flora"},{"family":"Babonneau","given":"Nathalie"},{"family":"Cattaneo","given":"Antonio"},{"family":"Faou","given":"Yann Le"},{"family":"Barreca","given":"Giovanni"},{"family":"Micallef","given":"Aaron"},{"family":"Rovere","given":"Marzia"}],"issued":{"date-parts":[["2016"]]}}},{"id":2802,"uris":["http://zotero.org/users/4242308/items/X94HFVGR"],"itemData":{"id":2802,"type":"article-journal","abstract":"A detailed 3D image of the Calabro-Ionian subduction system in the central Mediterranean was obtained by means of a seismic tomography, exploiting a large dataset of local earthquakes and computing algorithms able to build a dense grid of measure nodes. Results show that the slab is continuous below the southern sector of the Calabro-Peloritan Arc, but the deformation processes developing at its edges are leading to its progressive narrowing, influencing tectonics and magmatism at the surface, and with possible stress concentration in the tip zones. In the southwest, the deformation occurring at a free slab edge lead to propagation of a vertical lithospheric tear in the overriding plate, which extends along a NW-SE fault system (Aeolian-Tindari-Letojanni) up to about 30 km into the Ionian Sea; further southeast, the lithosphere appears only flexed and not broken yet. In the northeast, the slab seems to break progressively, parallel to the trench. Finally, northwest of Mt. Etna, the tomography highlights low VP that can be related to an upwelling of deep mantle material likely flowing laterally through a window opened by the complete slab detachment.","container-title":"Scientific Reports","DOI":"10.1038/s41598-018-23543-8","ISSN":"2045-2322","issue":"1","journalAbbreviation":"Sci Rep","language":"en","note":"Bandiera_abtest: a\nCc_license_type: cc_by\nCg_type: Nature Research Journals\nnumber: 1\nPrimary_atype: Research\npublisher: Nature Publishing Group\nSubject_term: Geodynamics;Seismology\nSubject_term_id: geodynamics;seismology","page":"5178","source":"www.nature.com","title":"Slab narrowing in the Central Mediterranean: the Calabro-Ionian subduction zone as imaged by high resolution seismic tomography","title-short":"Slab narrowing in the Central Mediterranean","volume":"8","author":[{"family":"Scarfì","given":"L."},{"family":"Barberi","given":"G."},{"family":"Barreca","given":"G."},{"family":"Cannavò","given":"F."},{"family":"Koulakov","given":"I."},{"family":"Patanè","given":"D."}],"issued":{"date-parts":[["2018",3,26]]}}}],"schema":"https://github.com/citation-style-language/schema/raw/master/csl-citation.json"} </w:instrText>
            </w:r>
            <w:r>
              <w:rPr>
                <w:rFonts w:eastAsia="等线"/>
                <w:sz w:val="18"/>
                <w:szCs w:val="18"/>
                <w:vertAlign w:val="superscript"/>
              </w:rPr>
              <w:fldChar w:fldCharType="separate"/>
            </w:r>
            <w:r w:rsidR="00022AEB" w:rsidRPr="00022AEB">
              <w:rPr>
                <w:kern w:val="0"/>
                <w:sz w:val="18"/>
                <w:vertAlign w:val="superscript"/>
              </w:rPr>
              <w:t>40,41</w:t>
            </w:r>
            <w:r>
              <w:rPr>
                <w:rFonts w:eastAsia="等线"/>
                <w:sz w:val="18"/>
                <w:szCs w:val="18"/>
                <w:vertAlign w:val="superscript"/>
              </w:rPr>
              <w:fldChar w:fldCharType="end"/>
            </w:r>
          </w:p>
        </w:tc>
      </w:tr>
      <w:tr w:rsidR="00C86F1F" w:rsidRPr="00DF1D9D" w14:paraId="17F64A77" w14:textId="77777777" w:rsidTr="009D1B0F">
        <w:trPr>
          <w:trHeight w:val="454"/>
        </w:trPr>
        <w:tc>
          <w:tcPr>
            <w:cnfStyle w:val="001000000000" w:firstRow="0" w:lastRow="0" w:firstColumn="1" w:lastColumn="0" w:oddVBand="0" w:evenVBand="0" w:oddHBand="0" w:evenHBand="0" w:firstRowFirstColumn="0" w:firstRowLastColumn="0" w:lastRowFirstColumn="0" w:lastRowLastColumn="0"/>
            <w:tcW w:w="2396" w:type="dxa"/>
            <w:tcBorders>
              <w:left w:val="single" w:sz="12" w:space="0" w:color="auto"/>
              <w:right w:val="single" w:sz="12" w:space="0" w:color="auto"/>
            </w:tcBorders>
            <w:vAlign w:val="center"/>
          </w:tcPr>
          <w:p w14:paraId="036696A7" w14:textId="77777777" w:rsidR="00C86F1F" w:rsidRPr="00DF1D9D" w:rsidRDefault="00C86F1F" w:rsidP="007B5326">
            <w:pPr>
              <w:spacing w:line="240" w:lineRule="auto"/>
              <w:jc w:val="center"/>
              <w:rPr>
                <w:i w:val="0"/>
                <w:iCs w:val="0"/>
                <w:sz w:val="18"/>
                <w:szCs w:val="18"/>
              </w:rPr>
            </w:pPr>
            <w:r>
              <w:rPr>
                <w:i w:val="0"/>
                <w:iCs w:val="0"/>
                <w:sz w:val="18"/>
                <w:szCs w:val="18"/>
              </w:rPr>
              <w:t xml:space="preserve">South-Western </w:t>
            </w:r>
            <w:r w:rsidRPr="00DD6822">
              <w:rPr>
                <w:i w:val="0"/>
                <w:iCs w:val="0"/>
                <w:sz w:val="18"/>
                <w:szCs w:val="18"/>
              </w:rPr>
              <w:t>Hikurangi</w:t>
            </w:r>
            <w:r>
              <w:rPr>
                <w:i w:val="0"/>
                <w:iCs w:val="0"/>
                <w:sz w:val="18"/>
                <w:szCs w:val="18"/>
              </w:rPr>
              <w:t xml:space="preserve"> P</w:t>
            </w:r>
            <w:r>
              <w:rPr>
                <w:rFonts w:hint="eastAsia"/>
                <w:i w:val="0"/>
                <w:iCs w:val="0"/>
                <w:sz w:val="18"/>
                <w:szCs w:val="18"/>
              </w:rPr>
              <w:t>l</w:t>
            </w:r>
            <w:r>
              <w:rPr>
                <w:i w:val="0"/>
                <w:iCs w:val="0"/>
                <w:sz w:val="18"/>
                <w:szCs w:val="18"/>
              </w:rPr>
              <w:t>ateau</w:t>
            </w:r>
          </w:p>
        </w:tc>
        <w:tc>
          <w:tcPr>
            <w:tcW w:w="1275" w:type="dxa"/>
            <w:tcBorders>
              <w:left w:val="single" w:sz="12" w:space="0" w:color="auto"/>
              <w:right w:val="single" w:sz="12" w:space="0" w:color="auto"/>
            </w:tcBorders>
            <w:vAlign w:val="center"/>
          </w:tcPr>
          <w:p w14:paraId="11AE2591" w14:textId="77777777" w:rsidR="00C86F1F" w:rsidRDefault="00C86F1F" w:rsidP="007B5326">
            <w:pPr>
              <w:spacing w:line="240" w:lineRule="auto"/>
              <w:jc w:val="center"/>
              <w:cnfStyle w:val="000000000000" w:firstRow="0" w:lastRow="0" w:firstColumn="0" w:lastColumn="0" w:oddVBand="0" w:evenVBand="0" w:oddHBand="0" w:evenHBand="0" w:firstRowFirstColumn="0" w:firstRowLastColumn="0" w:lastRowFirstColumn="0" w:lastRowLastColumn="0"/>
              <w:rPr>
                <w:sz w:val="18"/>
                <w:szCs w:val="18"/>
              </w:rPr>
            </w:pPr>
            <w:r>
              <w:rPr>
                <w:rFonts w:hint="eastAsia"/>
                <w:sz w:val="18"/>
                <w:szCs w:val="18"/>
              </w:rPr>
              <w:t>S</w:t>
            </w:r>
            <w:r>
              <w:rPr>
                <w:sz w:val="18"/>
                <w:szCs w:val="18"/>
              </w:rPr>
              <w:t>WHP</w:t>
            </w:r>
          </w:p>
        </w:tc>
        <w:tc>
          <w:tcPr>
            <w:tcW w:w="1134" w:type="dxa"/>
            <w:tcBorders>
              <w:left w:val="single" w:sz="12" w:space="0" w:color="auto"/>
            </w:tcBorders>
            <w:vAlign w:val="center"/>
          </w:tcPr>
          <w:p w14:paraId="60E3D52F" w14:textId="77777777" w:rsidR="00C86F1F" w:rsidRPr="00DF1D9D" w:rsidRDefault="00C86F1F" w:rsidP="007B5326">
            <w:pPr>
              <w:spacing w:line="240" w:lineRule="auto"/>
              <w:jc w:val="center"/>
              <w:cnfStyle w:val="000000000000" w:firstRow="0" w:lastRow="0" w:firstColumn="0" w:lastColumn="0" w:oddVBand="0" w:evenVBand="0" w:oddHBand="0" w:evenHBand="0" w:firstRowFirstColumn="0" w:firstRowLastColumn="0" w:lastRowFirstColumn="0" w:lastRowLastColumn="0"/>
              <w:rPr>
                <w:sz w:val="18"/>
                <w:szCs w:val="18"/>
              </w:rPr>
            </w:pPr>
            <w:r>
              <w:rPr>
                <w:rFonts w:hint="eastAsia"/>
                <w:sz w:val="18"/>
                <w:szCs w:val="18"/>
              </w:rPr>
              <w:t>1</w:t>
            </w:r>
            <w:r>
              <w:rPr>
                <w:sz w:val="18"/>
                <w:szCs w:val="18"/>
              </w:rPr>
              <w:t>74.92</w:t>
            </w:r>
          </w:p>
        </w:tc>
        <w:tc>
          <w:tcPr>
            <w:tcW w:w="993" w:type="dxa"/>
            <w:vAlign w:val="center"/>
          </w:tcPr>
          <w:p w14:paraId="1F765E0B" w14:textId="77777777" w:rsidR="00C86F1F" w:rsidRPr="00DF1D9D" w:rsidRDefault="00C86F1F" w:rsidP="007B5326">
            <w:pPr>
              <w:spacing w:line="240" w:lineRule="auto"/>
              <w:jc w:val="center"/>
              <w:cnfStyle w:val="000000000000" w:firstRow="0" w:lastRow="0" w:firstColumn="0" w:lastColumn="0" w:oddVBand="0" w:evenVBand="0" w:oddHBand="0" w:evenHBand="0" w:firstRowFirstColumn="0" w:firstRowLastColumn="0" w:lastRowFirstColumn="0" w:lastRowLastColumn="0"/>
              <w:rPr>
                <w:sz w:val="18"/>
                <w:szCs w:val="18"/>
              </w:rPr>
            </w:pPr>
            <w:r>
              <w:rPr>
                <w:rFonts w:hint="eastAsia"/>
                <w:sz w:val="18"/>
                <w:szCs w:val="18"/>
              </w:rPr>
              <w:t>-</w:t>
            </w:r>
            <w:r>
              <w:rPr>
                <w:sz w:val="18"/>
                <w:szCs w:val="18"/>
              </w:rPr>
              <w:t>42.27</w:t>
            </w:r>
          </w:p>
        </w:tc>
        <w:tc>
          <w:tcPr>
            <w:tcW w:w="1701" w:type="dxa"/>
            <w:vAlign w:val="center"/>
          </w:tcPr>
          <w:p w14:paraId="1B028A0A" w14:textId="77777777" w:rsidR="00C86F1F" w:rsidRPr="00DF1D9D" w:rsidRDefault="00C86F1F" w:rsidP="007B5326">
            <w:pPr>
              <w:spacing w:line="240" w:lineRule="auto"/>
              <w:jc w:val="center"/>
              <w:cnfStyle w:val="000000000000" w:firstRow="0" w:lastRow="0" w:firstColumn="0" w:lastColumn="0" w:oddVBand="0" w:evenVBand="0" w:oddHBand="0" w:evenHBand="0" w:firstRowFirstColumn="0" w:firstRowLastColumn="0" w:lastRowFirstColumn="0" w:lastRowLastColumn="0"/>
              <w:rPr>
                <w:sz w:val="18"/>
                <w:szCs w:val="18"/>
              </w:rPr>
            </w:pPr>
            <w:r>
              <w:rPr>
                <w:rFonts w:hint="eastAsia"/>
                <w:sz w:val="18"/>
                <w:szCs w:val="18"/>
              </w:rPr>
              <w:t>E</w:t>
            </w:r>
            <w:r>
              <w:rPr>
                <w:sz w:val="18"/>
                <w:szCs w:val="18"/>
              </w:rPr>
              <w:t>dge</w:t>
            </w:r>
          </w:p>
        </w:tc>
        <w:tc>
          <w:tcPr>
            <w:tcW w:w="1134" w:type="dxa"/>
            <w:tcBorders>
              <w:right w:val="single" w:sz="12" w:space="0" w:color="auto"/>
            </w:tcBorders>
            <w:vAlign w:val="center"/>
          </w:tcPr>
          <w:p w14:paraId="4B766465" w14:textId="1DAC1830" w:rsidR="00C86F1F" w:rsidRPr="00C86F1F" w:rsidRDefault="00C86F1F" w:rsidP="007B5326">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等线"/>
                <w:sz w:val="18"/>
                <w:szCs w:val="18"/>
                <w:vertAlign w:val="superscript"/>
              </w:rPr>
            </w:pPr>
            <w:r w:rsidRPr="00C86F1F">
              <w:rPr>
                <w:rFonts w:eastAsia="等线"/>
                <w:sz w:val="18"/>
                <w:szCs w:val="18"/>
                <w:vertAlign w:val="superscript"/>
              </w:rPr>
              <w:fldChar w:fldCharType="begin"/>
            </w:r>
            <w:r w:rsidR="00022AEB">
              <w:rPr>
                <w:rFonts w:eastAsia="等线"/>
                <w:sz w:val="18"/>
                <w:szCs w:val="18"/>
                <w:vertAlign w:val="superscript"/>
              </w:rPr>
              <w:instrText xml:space="preserve"> ADDIN ZOTERO_ITEM CSL_CITATION {"citationID":"FgZSATQT","properties":{"formattedCitation":"\\super 42\\nosupersub{}","plainCitation":"42","noteIndex":0},"citationItems":[{"id":2840,"uris":["http://zotero.org/users/4242308/items/6MG5BFHR"],"itemData":{"id":2840,"type":"article-journal","abstract":"Recent work involving relocation of New Zealand seismicity using a nationwide 3-D seismic velocity model has located the subducted western edge of the Hikurangi Plateau. Both the thickness (ca. 35km) and the area of the plateau subducted in the Cenozoic (ca. 287,000km2) are much larger than previously supposed. From ca. 45Ma, the westernmost tip of the plateau controlled the transition at the Pacific/Australia plate boundary from subduction to the north to Emerald Basin opening to the south. At ca. 23Ma, curvature of the subduction zone against the western flank of the buoyant plateau became extreme, and a Subduction-Transform Edge Propagator (STEP fault) developed along the western edge of the plateau. This STEP fault corresponds to the Alpine Fault, and the resulting Pacific slab edge is currently defined by intermediate-depth seismicity under the northernmost South Island. Alpine STEP fault propagation was terminated at ca. 15Ma, when the western edge of the plateau became parallel to the trench, and thus STEP fault formation was no longer favoured. Wholesale subduction of the plateau at the Hikurangi subduction zone began at ca. 10Ma. The development of a subduction décollement above the plateau mechanically favoured deformation within the overlying Australian plate continental crust. This led to inception of the Marlborough fault system at ca. 7Ma, and the North Island fault system at 1–2Ma. At ca. 7Ma, the western edge of the converging plateau again became more normal to the trench, and there is evidence supporting the development of a second STEP fault beneath the Taupo Volcanic Zone until ca. 3Ma. Both episodes of STEP fault development at the plateau edge led to rapid slab rollback, and correspond closely with episodes of backarc basin opening to the north in the wider Southwest Pacific. The Cenozoic tectonics of New Zealand and the Southwest Pacific has been strongly influenced not only by the resistance to subduction of the buoyant Hikurangi Plateau, but also by the shape of its western edge and changing angle of attack of this edge at the plate boundary.","container-title":"Earth and Planetary Science Letters","DOI":"10.1016/j.epsl.2012.11.010","ISSN":"0012-821X","journalAbbreviation":"Earth and Planetary Science Letters","language":"en","page":"460-468","source":"ScienceDirect","title":"The central role of the Hikurangi Plateau in the Cenozoic tectonics of New Zealand and the Southwest Pacific","volume":"361","author":[{"family":"Reyners","given":"Martin"}],"issued":{"date-parts":[["2013",1,1]]}}}],"schema":"https://github.com/citation-style-language/schema/raw/master/csl-citation.json"} </w:instrText>
            </w:r>
            <w:r w:rsidRPr="00C86F1F">
              <w:rPr>
                <w:rFonts w:eastAsia="等线"/>
                <w:sz w:val="18"/>
                <w:szCs w:val="18"/>
                <w:vertAlign w:val="superscript"/>
              </w:rPr>
              <w:fldChar w:fldCharType="separate"/>
            </w:r>
            <w:r w:rsidR="00022AEB" w:rsidRPr="00022AEB">
              <w:rPr>
                <w:kern w:val="0"/>
                <w:sz w:val="18"/>
                <w:vertAlign w:val="superscript"/>
              </w:rPr>
              <w:t>42</w:t>
            </w:r>
            <w:r w:rsidRPr="00C86F1F">
              <w:rPr>
                <w:rFonts w:eastAsia="等线"/>
                <w:sz w:val="18"/>
                <w:szCs w:val="18"/>
                <w:vertAlign w:val="superscript"/>
              </w:rPr>
              <w:fldChar w:fldCharType="end"/>
            </w:r>
          </w:p>
        </w:tc>
      </w:tr>
      <w:tr w:rsidR="00C86F1F" w:rsidRPr="00DF1D9D" w14:paraId="7C95DD92" w14:textId="77777777" w:rsidTr="009D1B0F">
        <w:trPr>
          <w:cnfStyle w:val="000000100000" w:firstRow="0" w:lastRow="0" w:firstColumn="0" w:lastColumn="0" w:oddVBand="0" w:evenVBand="0" w:oddHBand="1" w:evenHBand="0" w:firstRowFirstColumn="0" w:firstRowLastColumn="0" w:lastRowFirstColumn="0" w:lastRowLastColumn="0"/>
          <w:trHeight w:val="454"/>
        </w:trPr>
        <w:tc>
          <w:tcPr>
            <w:cnfStyle w:val="001000000000" w:firstRow="0" w:lastRow="0" w:firstColumn="1" w:lastColumn="0" w:oddVBand="0" w:evenVBand="0" w:oddHBand="0" w:evenHBand="0" w:firstRowFirstColumn="0" w:firstRowLastColumn="0" w:lastRowFirstColumn="0" w:lastRowLastColumn="0"/>
            <w:tcW w:w="2396" w:type="dxa"/>
            <w:tcBorders>
              <w:left w:val="single" w:sz="12" w:space="0" w:color="auto"/>
              <w:right w:val="single" w:sz="12" w:space="0" w:color="auto"/>
            </w:tcBorders>
            <w:vAlign w:val="center"/>
          </w:tcPr>
          <w:p w14:paraId="5E936D8D" w14:textId="77777777" w:rsidR="00C86F1F" w:rsidRPr="00DF1D9D" w:rsidRDefault="00C86F1F" w:rsidP="007B5326">
            <w:pPr>
              <w:spacing w:line="240" w:lineRule="auto"/>
              <w:jc w:val="center"/>
              <w:rPr>
                <w:rFonts w:eastAsia="等线"/>
                <w:i w:val="0"/>
                <w:iCs w:val="0"/>
                <w:sz w:val="18"/>
                <w:szCs w:val="18"/>
              </w:rPr>
            </w:pPr>
            <w:r w:rsidRPr="00DF1D9D">
              <w:rPr>
                <w:i w:val="0"/>
                <w:iCs w:val="0"/>
                <w:sz w:val="18"/>
                <w:szCs w:val="18"/>
              </w:rPr>
              <w:t>W</w:t>
            </w:r>
            <w:r>
              <w:rPr>
                <w:i w:val="0"/>
                <w:iCs w:val="0"/>
                <w:sz w:val="18"/>
                <w:szCs w:val="18"/>
              </w:rPr>
              <w:t>estern</w:t>
            </w:r>
            <w:r w:rsidRPr="00DF1D9D">
              <w:rPr>
                <w:i w:val="0"/>
                <w:iCs w:val="0"/>
                <w:sz w:val="18"/>
                <w:szCs w:val="18"/>
              </w:rPr>
              <w:t xml:space="preserve"> Aleutian</w:t>
            </w:r>
            <w:r>
              <w:rPr>
                <w:i w:val="0"/>
                <w:iCs w:val="0"/>
                <w:sz w:val="18"/>
                <w:szCs w:val="18"/>
              </w:rPr>
              <w:t xml:space="preserve"> Trench</w:t>
            </w:r>
          </w:p>
        </w:tc>
        <w:tc>
          <w:tcPr>
            <w:tcW w:w="1275" w:type="dxa"/>
            <w:tcBorders>
              <w:left w:val="single" w:sz="12" w:space="0" w:color="auto"/>
              <w:right w:val="single" w:sz="12" w:space="0" w:color="auto"/>
            </w:tcBorders>
            <w:vAlign w:val="center"/>
          </w:tcPr>
          <w:p w14:paraId="58DEAE83" w14:textId="77777777" w:rsidR="00C86F1F" w:rsidRPr="00DF1D9D" w:rsidRDefault="00C86F1F" w:rsidP="007B5326">
            <w:pPr>
              <w:spacing w:line="240" w:lineRule="auto"/>
              <w:jc w:val="center"/>
              <w:cnfStyle w:val="000000100000" w:firstRow="0" w:lastRow="0" w:firstColumn="0" w:lastColumn="0" w:oddVBand="0" w:evenVBand="0" w:oddHBand="1" w:evenHBand="0" w:firstRowFirstColumn="0" w:firstRowLastColumn="0" w:lastRowFirstColumn="0" w:lastRowLastColumn="0"/>
              <w:rPr>
                <w:sz w:val="18"/>
                <w:szCs w:val="18"/>
              </w:rPr>
            </w:pPr>
            <w:r>
              <w:rPr>
                <w:rFonts w:hint="eastAsia"/>
                <w:sz w:val="18"/>
                <w:szCs w:val="18"/>
              </w:rPr>
              <w:t>W</w:t>
            </w:r>
            <w:r>
              <w:rPr>
                <w:sz w:val="18"/>
                <w:szCs w:val="18"/>
              </w:rPr>
              <w:t>AT</w:t>
            </w:r>
          </w:p>
        </w:tc>
        <w:tc>
          <w:tcPr>
            <w:tcW w:w="1134" w:type="dxa"/>
            <w:tcBorders>
              <w:left w:val="single" w:sz="12" w:space="0" w:color="auto"/>
            </w:tcBorders>
            <w:vAlign w:val="center"/>
          </w:tcPr>
          <w:p w14:paraId="71D9ADD4" w14:textId="77777777" w:rsidR="00C86F1F" w:rsidRPr="00DF1D9D" w:rsidRDefault="00C86F1F" w:rsidP="007B5326">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等线"/>
                <w:sz w:val="18"/>
                <w:szCs w:val="18"/>
              </w:rPr>
            </w:pPr>
            <w:r w:rsidRPr="00DF1D9D">
              <w:rPr>
                <w:sz w:val="18"/>
                <w:szCs w:val="18"/>
              </w:rPr>
              <w:t>173</w:t>
            </w:r>
          </w:p>
        </w:tc>
        <w:tc>
          <w:tcPr>
            <w:tcW w:w="993" w:type="dxa"/>
            <w:vAlign w:val="center"/>
          </w:tcPr>
          <w:p w14:paraId="46EEA0D7" w14:textId="77777777" w:rsidR="00C86F1F" w:rsidRPr="00DF1D9D" w:rsidRDefault="00C86F1F" w:rsidP="007B5326">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等线"/>
                <w:sz w:val="18"/>
                <w:szCs w:val="18"/>
              </w:rPr>
            </w:pPr>
            <w:r w:rsidRPr="00DF1D9D">
              <w:rPr>
                <w:sz w:val="18"/>
                <w:szCs w:val="18"/>
              </w:rPr>
              <w:t>51.66</w:t>
            </w:r>
          </w:p>
        </w:tc>
        <w:tc>
          <w:tcPr>
            <w:tcW w:w="1701" w:type="dxa"/>
            <w:vAlign w:val="center"/>
          </w:tcPr>
          <w:p w14:paraId="4B9D37A3" w14:textId="77777777" w:rsidR="00C86F1F" w:rsidRPr="00DF1D9D" w:rsidRDefault="00C86F1F" w:rsidP="007B5326">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等线"/>
                <w:sz w:val="18"/>
                <w:szCs w:val="18"/>
              </w:rPr>
            </w:pPr>
            <w:r w:rsidRPr="00DF1D9D">
              <w:rPr>
                <w:sz w:val="18"/>
                <w:szCs w:val="18"/>
              </w:rPr>
              <w:t>Internal</w:t>
            </w:r>
          </w:p>
        </w:tc>
        <w:tc>
          <w:tcPr>
            <w:tcW w:w="1134" w:type="dxa"/>
            <w:tcBorders>
              <w:right w:val="single" w:sz="12" w:space="0" w:color="auto"/>
            </w:tcBorders>
            <w:vAlign w:val="center"/>
          </w:tcPr>
          <w:p w14:paraId="696C58C1" w14:textId="4F91393B" w:rsidR="00C86F1F" w:rsidRPr="00C86F1F" w:rsidRDefault="00C86F1F" w:rsidP="007B5326">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等线"/>
                <w:sz w:val="18"/>
                <w:szCs w:val="18"/>
                <w:vertAlign w:val="superscript"/>
              </w:rPr>
            </w:pPr>
            <w:r w:rsidRPr="00C86F1F">
              <w:rPr>
                <w:rFonts w:eastAsia="等线"/>
                <w:sz w:val="18"/>
                <w:szCs w:val="18"/>
                <w:vertAlign w:val="superscript"/>
              </w:rPr>
              <w:fldChar w:fldCharType="begin"/>
            </w:r>
            <w:r w:rsidR="00022AEB">
              <w:rPr>
                <w:rFonts w:eastAsia="等线"/>
                <w:sz w:val="18"/>
                <w:szCs w:val="18"/>
                <w:vertAlign w:val="superscript"/>
              </w:rPr>
              <w:instrText xml:space="preserve"> ADDIN ZOTERO_ITEM CSL_CITATION {"citationID":"wGsgn7yq","properties":{"formattedCitation":"\\super 43,44\\nosupersub{}","plainCitation":"43,44","noteIndex":0},"citationItems":[{"id":2598,"uris":["http://zotero.org/users/4242308/items/L96QED5X"],"itemData":{"id":2598,"type":"article-journal","abstract":"Most island-arc magmatism appears to result from the lowering of the melting point of peridotite within the wedge of mantle above subducting slabs owing to the introduction of fluids from the dehydration of subducting oceanic crust1. Volcanic rocks interpreted to contain a component of melt (not just a fluid) from the subducting slab itself are uncommon, but possible examples have been recognized in the Aleutian islands, Baja California, Patagonia and elsewhere2,3,4. The geochemically distinctive rocks from these areas, termed ‘adakites’, are often associated with subducting plates that are young and warm, and therefore thought to be more prone to melting5. But the subducting lithosphere in some adakite locations (such as the Aleutian islands) appears to be too old and hence too cold to melt6,7. This implies either that our interpretation of adakite geochemistry is incorrect, or that our understanding of the tectonic context of adakites is incomplete. Here we present geochemical data from the Kamchatka peninsula and the Aleutian islands that reaffirms the slab-melt interpretation of adakites2, but in the tectonic context of the exposure to mantle flow around the edge of a torn subducting plate. We conclude that adakites are likely to form whenever the edge of a subducting plate is warmed or ablated by mantle flow. The use of adakites as tracers for such plate geometry may improve our understanding of magma genesis and thermal structure in a variety of subduction-zone environments.","container-title":"Nature","DOI":"10.1038/35054039","ISSN":"1476-4687","issue":"6819","language":"en","note":"number: 6819\npublisher: Nature Publishing Group","page":"500-504","source":"www.nature.com","title":"Geochemical evidence for the melting of subducting oceanic lithosphere at plate edges","volume":"409","author":[{"family":"Yogodzinski","given":"G. M."},{"family":"Lees","given":"J. M."},{"family":"Churikova","given":"T. G."},{"family":"Dorendorf","given":"F."},{"family":"Wöerner","given":"G."},{"family":"Volynets","given":"O. N."}],"issued":{"date-parts":[["2001",1]]}}},{"id":2595,"uris":["http://zotero.org/users/4242308/items/HBNN2JEC"],"itemData":{"id":2595,"type":"article-journal","abstract":"Tomographic images of the distribution of shear-wave speed beneath the northwestern Pacific delineate the configuration of the subducted oceanic lithosphere beneath the western Aleutian arc. At </w:instrText>
            </w:r>
            <w:r w:rsidR="00022AEB">
              <w:rPr>
                <w:rFonts w:ascii="Cambria Math" w:eastAsia="等线" w:hAnsi="Cambria Math" w:cs="Cambria Math"/>
                <w:sz w:val="18"/>
                <w:szCs w:val="18"/>
                <w:vertAlign w:val="superscript"/>
              </w:rPr>
              <w:instrText>∼</w:instrText>
            </w:r>
            <w:r w:rsidR="00022AEB">
              <w:rPr>
                <w:rFonts w:eastAsia="等线"/>
                <w:sz w:val="18"/>
                <w:szCs w:val="18"/>
                <w:vertAlign w:val="superscript"/>
              </w:rPr>
              <w:instrText xml:space="preserve">100 km depth, a fast shear-wave speed anomaly is beneath the Aleutian arc everywhere east of 173°E. Between 164°E and 173°E, however, seismic velocities at this depth are slow relative to the surrounding mantle. The lateral termination of the fast shear-wave speed anomaly at depth coincides with a gap in deep seismicity beneath the Aleutians. The absence of these two distinctive traits of subducting slabs leads us to conclude that this segment of the Aleutian arc overlies a very large window in the otherwise continuous lithospheric slab that we term a “slab portal.” This portal is likely to facilitate the production of distinctive volcanic rocks (adakites or high-Mg# andesites) by partially melting the adjacent edges of the slab. The Miocene age of most adakites in the westernmost Aleutians where no slab is present may indicate that the portal formed relatively recently. The chemistry of western Aleutian adakites approximates that of typical continental crust, so their genesis and subsequent lateral transport toward Kamchatka is a plausible mechanism for new continent formation.","container-title":"Geology","DOI":"10.1130/G20863.1","ISSN":"0091-7613","issue":"4","journalAbbreviation":"Geology","page":"253-256","source":"Silverchair","title":"Slab portal beneath the western Aleutians","volume":"33","author":[{"family":"Levin","given":"Vadim"},{"family":"Shapiro","given":"Nikolai M."},{"family":"Park","given":"Jeffrey"},{"family":"Ritzwoller","given":"Michael H."}],"issued":{"date-parts":[["2005",4,1]]}}}],"schema":"https://github.com/citation-style-language/schema/raw/master/csl-citation.json"} </w:instrText>
            </w:r>
            <w:r w:rsidRPr="00C86F1F">
              <w:rPr>
                <w:rFonts w:eastAsia="等线"/>
                <w:sz w:val="18"/>
                <w:szCs w:val="18"/>
                <w:vertAlign w:val="superscript"/>
              </w:rPr>
              <w:fldChar w:fldCharType="separate"/>
            </w:r>
            <w:r w:rsidR="00022AEB" w:rsidRPr="00022AEB">
              <w:rPr>
                <w:kern w:val="0"/>
                <w:sz w:val="18"/>
                <w:vertAlign w:val="superscript"/>
              </w:rPr>
              <w:t>43,44</w:t>
            </w:r>
            <w:r w:rsidRPr="00C86F1F">
              <w:rPr>
                <w:rFonts w:eastAsia="等线"/>
                <w:sz w:val="18"/>
                <w:szCs w:val="18"/>
                <w:vertAlign w:val="superscript"/>
              </w:rPr>
              <w:fldChar w:fldCharType="end"/>
            </w:r>
          </w:p>
        </w:tc>
      </w:tr>
      <w:tr w:rsidR="00C86F1F" w:rsidRPr="00DF1D9D" w14:paraId="1846BC61" w14:textId="77777777" w:rsidTr="009D1B0F">
        <w:trPr>
          <w:trHeight w:val="454"/>
        </w:trPr>
        <w:tc>
          <w:tcPr>
            <w:cnfStyle w:val="001000000000" w:firstRow="0" w:lastRow="0" w:firstColumn="1" w:lastColumn="0" w:oddVBand="0" w:evenVBand="0" w:oddHBand="0" w:evenHBand="0" w:firstRowFirstColumn="0" w:firstRowLastColumn="0" w:lastRowFirstColumn="0" w:lastRowLastColumn="0"/>
            <w:tcW w:w="2396" w:type="dxa"/>
            <w:tcBorders>
              <w:left w:val="single" w:sz="12" w:space="0" w:color="auto"/>
              <w:right w:val="single" w:sz="12" w:space="0" w:color="auto"/>
            </w:tcBorders>
            <w:vAlign w:val="center"/>
          </w:tcPr>
          <w:p w14:paraId="1C6214BD" w14:textId="77777777" w:rsidR="00C86F1F" w:rsidRPr="00DF1D9D" w:rsidRDefault="00C86F1F" w:rsidP="007B5326">
            <w:pPr>
              <w:spacing w:line="240" w:lineRule="auto"/>
              <w:jc w:val="center"/>
              <w:rPr>
                <w:rFonts w:eastAsia="等线"/>
                <w:i w:val="0"/>
                <w:iCs w:val="0"/>
                <w:sz w:val="18"/>
                <w:szCs w:val="18"/>
              </w:rPr>
            </w:pPr>
            <w:r w:rsidRPr="00DF1D9D">
              <w:rPr>
                <w:i w:val="0"/>
                <w:iCs w:val="0"/>
                <w:sz w:val="18"/>
                <w:szCs w:val="18"/>
              </w:rPr>
              <w:t>W</w:t>
            </w:r>
            <w:r>
              <w:rPr>
                <w:i w:val="0"/>
                <w:iCs w:val="0"/>
                <w:sz w:val="18"/>
                <w:szCs w:val="18"/>
              </w:rPr>
              <w:t>estern</w:t>
            </w:r>
            <w:r w:rsidRPr="00DF1D9D">
              <w:rPr>
                <w:i w:val="0"/>
                <w:iCs w:val="0"/>
                <w:sz w:val="18"/>
                <w:szCs w:val="18"/>
              </w:rPr>
              <w:t xml:space="preserve"> Cyprus</w:t>
            </w:r>
            <w:r>
              <w:rPr>
                <w:i w:val="0"/>
                <w:iCs w:val="0"/>
                <w:sz w:val="18"/>
                <w:szCs w:val="18"/>
              </w:rPr>
              <w:t xml:space="preserve"> Trench</w:t>
            </w:r>
          </w:p>
        </w:tc>
        <w:tc>
          <w:tcPr>
            <w:tcW w:w="1275" w:type="dxa"/>
            <w:tcBorders>
              <w:left w:val="single" w:sz="12" w:space="0" w:color="auto"/>
              <w:right w:val="single" w:sz="12" w:space="0" w:color="auto"/>
            </w:tcBorders>
            <w:vAlign w:val="center"/>
          </w:tcPr>
          <w:p w14:paraId="79C2634F" w14:textId="77777777" w:rsidR="00C86F1F" w:rsidRPr="00DF1D9D" w:rsidRDefault="00C86F1F" w:rsidP="007B5326">
            <w:pPr>
              <w:spacing w:line="240" w:lineRule="auto"/>
              <w:jc w:val="center"/>
              <w:cnfStyle w:val="000000000000" w:firstRow="0" w:lastRow="0" w:firstColumn="0" w:lastColumn="0" w:oddVBand="0" w:evenVBand="0" w:oddHBand="0" w:evenHBand="0" w:firstRowFirstColumn="0" w:firstRowLastColumn="0" w:lastRowFirstColumn="0" w:lastRowLastColumn="0"/>
              <w:rPr>
                <w:sz w:val="18"/>
                <w:szCs w:val="18"/>
              </w:rPr>
            </w:pPr>
            <w:r>
              <w:rPr>
                <w:rFonts w:hint="eastAsia"/>
                <w:sz w:val="18"/>
                <w:szCs w:val="18"/>
              </w:rPr>
              <w:t>W</w:t>
            </w:r>
            <w:r>
              <w:rPr>
                <w:sz w:val="18"/>
                <w:szCs w:val="18"/>
              </w:rPr>
              <w:t>CT</w:t>
            </w:r>
          </w:p>
        </w:tc>
        <w:tc>
          <w:tcPr>
            <w:tcW w:w="1134" w:type="dxa"/>
            <w:tcBorders>
              <w:left w:val="single" w:sz="12" w:space="0" w:color="auto"/>
            </w:tcBorders>
            <w:vAlign w:val="center"/>
          </w:tcPr>
          <w:p w14:paraId="3168C6EF" w14:textId="77777777" w:rsidR="00C86F1F" w:rsidRPr="00DF1D9D" w:rsidRDefault="00C86F1F" w:rsidP="007B5326">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等线"/>
                <w:sz w:val="18"/>
                <w:szCs w:val="18"/>
              </w:rPr>
            </w:pPr>
            <w:r w:rsidRPr="00DF1D9D">
              <w:rPr>
                <w:sz w:val="18"/>
                <w:szCs w:val="18"/>
              </w:rPr>
              <w:t>32.46</w:t>
            </w:r>
          </w:p>
        </w:tc>
        <w:tc>
          <w:tcPr>
            <w:tcW w:w="993" w:type="dxa"/>
            <w:vAlign w:val="center"/>
          </w:tcPr>
          <w:p w14:paraId="1BA494C5" w14:textId="77777777" w:rsidR="00C86F1F" w:rsidRPr="00DF1D9D" w:rsidRDefault="00C86F1F" w:rsidP="007B5326">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等线"/>
                <w:sz w:val="18"/>
                <w:szCs w:val="18"/>
              </w:rPr>
            </w:pPr>
            <w:r w:rsidRPr="00DF1D9D">
              <w:rPr>
                <w:sz w:val="18"/>
                <w:szCs w:val="18"/>
              </w:rPr>
              <w:t>35.66</w:t>
            </w:r>
          </w:p>
        </w:tc>
        <w:tc>
          <w:tcPr>
            <w:tcW w:w="1701" w:type="dxa"/>
            <w:vAlign w:val="center"/>
          </w:tcPr>
          <w:p w14:paraId="13EC0A28" w14:textId="77777777" w:rsidR="00C86F1F" w:rsidRPr="00DF1D9D" w:rsidRDefault="00C86F1F" w:rsidP="007B5326">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等线"/>
                <w:sz w:val="18"/>
                <w:szCs w:val="18"/>
              </w:rPr>
            </w:pPr>
            <w:r w:rsidRPr="00DF1D9D">
              <w:rPr>
                <w:sz w:val="18"/>
                <w:szCs w:val="18"/>
              </w:rPr>
              <w:t>Internal</w:t>
            </w:r>
          </w:p>
        </w:tc>
        <w:tc>
          <w:tcPr>
            <w:tcW w:w="1134" w:type="dxa"/>
            <w:tcBorders>
              <w:right w:val="single" w:sz="12" w:space="0" w:color="auto"/>
            </w:tcBorders>
            <w:vAlign w:val="center"/>
          </w:tcPr>
          <w:p w14:paraId="614E6A09" w14:textId="2BBB0B8D" w:rsidR="00C86F1F" w:rsidRPr="00C86F1F" w:rsidRDefault="00C86F1F" w:rsidP="007B5326">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等线"/>
                <w:sz w:val="18"/>
                <w:szCs w:val="18"/>
                <w:vertAlign w:val="superscript"/>
              </w:rPr>
            </w:pPr>
            <w:r w:rsidRPr="00C86F1F">
              <w:rPr>
                <w:rFonts w:eastAsia="等线"/>
                <w:sz w:val="18"/>
                <w:szCs w:val="18"/>
                <w:vertAlign w:val="superscript"/>
              </w:rPr>
              <w:fldChar w:fldCharType="begin"/>
            </w:r>
            <w:r w:rsidR="00022AEB">
              <w:rPr>
                <w:rFonts w:eastAsia="等线"/>
                <w:sz w:val="18"/>
                <w:szCs w:val="18"/>
                <w:vertAlign w:val="superscript"/>
              </w:rPr>
              <w:instrText xml:space="preserve"> ADDIN ZOTERO_ITEM CSL_CITATION {"citationID":"uXb1wFB4","properties":{"formattedCitation":"\\super 30\\nosupersub{}","plainCitation":"30","noteIndex":0},"citationItems":[{"id":2319,"uris":["http://zotero.org/users/4242308/items/5G3MQLV4"],"itemData":{"id":2319,"type":"article-journal","abstract":"Lithospheric deformation throughout Anatolia, a part of the Alpine–Himalayan orogenic belt, is controlled mainly by collision-related tectonic escape of the Anatolian Plate and subduction roll-back along the Aegean Subduction Zone. We study the deeper lithosphere and mantle structure of Anatolia using teleseismic, finite-frequency, P-wave traveltime tomography. We use data from several temporary and permanent seismic networks deployed in the region. Approximately 34 000 P-wave relative traveltime residuals, measured in multiple frequency bands, are inverted using approximate finite-frequency sensitivity kernels. Our tomograms reveal segmented fast seismic anomalies beneath Anatolia that corresponds to the subducted portion of the African lithosphere along the Cyprean and the Aegean trenches. We identify these anomalies as the subducted Aegean and the Cyprus slabs that are separated from each other by a gap as wide as 300 km beneath Western Anatolia. This gap is occupied by slow velocity perturbations that we interpret as hot upwelling asthenosphere. The eastern termination of the subducting African lithosphere is located near the transition from central Anatolia to the Eastern Anatolian Plateau or Arabian–Eurasian collision front that is underlain by large volumes of hot, underplating asthenosphere marked by slow velocity perturbations. Our tomograms also show fast velocity perturbations at shallow depths beneath northwestern Anatolia that sharply terminates towards the south at the North Anatolian Fault Zone (NAFZ). The associated velocity contrast across the NAFZ persists down to a depth of 100–150 km. Hence, our study is the first to investigate and interpret the vertical extent of deformation along this nascent transform plate boundary. Overall, the resolved upper-mantle structure of Anatolia is directly related with the geology and tectonic features observed at the surface of the Anatolian Plate and suggest that the segmented nature of the subducted African lithosphere plays an important role in the evolution of Anatolia and distribution of its tectonic provinces.","container-title":"Geophysical Journal International","DOI":"https://doi.org/10.1111/j.1365-246X.2010.04910.x","ISSN":"1365-246X","issue":"3","language":"en","note":"_eprint: https://onlinelibrary.wiley.com/doi/pdf/10.1111/j.1365-246X.2010.04910.x","page":"1037-1057","source":"Wiley Online Library","title":"Segmented African lithosphere beneath the Anatolian region inferred from teleseismic P-wave tomography","volume":"184","author":[{"family":"Biryol","given":"C. Berk"},{"family":"Beck","given":"Susan L."},{"family":"Zandt","given":"George"},{"family":"Özacar","given":"A. Arda"}],"issued":{"date-parts":[["2011"]]}}}],"schema":"https://github.com/citation-style-language/schema/raw/master/csl-citation.json"} </w:instrText>
            </w:r>
            <w:r w:rsidRPr="00C86F1F">
              <w:rPr>
                <w:rFonts w:eastAsia="等线"/>
                <w:sz w:val="18"/>
                <w:szCs w:val="18"/>
                <w:vertAlign w:val="superscript"/>
              </w:rPr>
              <w:fldChar w:fldCharType="separate"/>
            </w:r>
            <w:r w:rsidR="00022AEB" w:rsidRPr="00022AEB">
              <w:rPr>
                <w:kern w:val="0"/>
                <w:sz w:val="18"/>
                <w:vertAlign w:val="superscript"/>
              </w:rPr>
              <w:t>30</w:t>
            </w:r>
            <w:r w:rsidRPr="00C86F1F">
              <w:rPr>
                <w:rFonts w:eastAsia="等线"/>
                <w:sz w:val="18"/>
                <w:szCs w:val="18"/>
                <w:vertAlign w:val="superscript"/>
              </w:rPr>
              <w:fldChar w:fldCharType="end"/>
            </w:r>
          </w:p>
        </w:tc>
      </w:tr>
      <w:tr w:rsidR="00C86F1F" w:rsidRPr="00DF1D9D" w14:paraId="31D2E0FC" w14:textId="77777777" w:rsidTr="009D1B0F">
        <w:trPr>
          <w:cnfStyle w:val="000000100000" w:firstRow="0" w:lastRow="0" w:firstColumn="0" w:lastColumn="0" w:oddVBand="0" w:evenVBand="0" w:oddHBand="1" w:evenHBand="0" w:firstRowFirstColumn="0" w:firstRowLastColumn="0" w:lastRowFirstColumn="0" w:lastRowLastColumn="0"/>
          <w:trHeight w:val="454"/>
        </w:trPr>
        <w:tc>
          <w:tcPr>
            <w:cnfStyle w:val="001000000000" w:firstRow="0" w:lastRow="0" w:firstColumn="1" w:lastColumn="0" w:oddVBand="0" w:evenVBand="0" w:oddHBand="0" w:evenHBand="0" w:firstRowFirstColumn="0" w:firstRowLastColumn="0" w:lastRowFirstColumn="0" w:lastRowLastColumn="0"/>
            <w:tcW w:w="2396" w:type="dxa"/>
            <w:tcBorders>
              <w:left w:val="single" w:sz="12" w:space="0" w:color="auto"/>
              <w:right w:val="single" w:sz="12" w:space="0" w:color="auto"/>
            </w:tcBorders>
            <w:vAlign w:val="center"/>
          </w:tcPr>
          <w:p w14:paraId="6CB5984C" w14:textId="77777777" w:rsidR="00C86F1F" w:rsidRPr="00DF1D9D" w:rsidRDefault="00C86F1F" w:rsidP="007B5326">
            <w:pPr>
              <w:spacing w:line="240" w:lineRule="auto"/>
              <w:jc w:val="center"/>
              <w:rPr>
                <w:rFonts w:eastAsia="等线"/>
                <w:i w:val="0"/>
                <w:iCs w:val="0"/>
                <w:sz w:val="18"/>
                <w:szCs w:val="18"/>
              </w:rPr>
            </w:pPr>
            <w:r w:rsidRPr="00264705">
              <w:rPr>
                <w:i w:val="0"/>
                <w:iCs w:val="0"/>
                <w:sz w:val="18"/>
                <w:szCs w:val="18"/>
              </w:rPr>
              <w:t>W</w:t>
            </w:r>
            <w:r>
              <w:rPr>
                <w:i w:val="0"/>
                <w:iCs w:val="0"/>
                <w:sz w:val="18"/>
                <w:szCs w:val="18"/>
              </w:rPr>
              <w:t xml:space="preserve">estern </w:t>
            </w:r>
            <w:r w:rsidRPr="00264705">
              <w:rPr>
                <w:i w:val="0"/>
                <w:iCs w:val="0"/>
                <w:sz w:val="18"/>
                <w:szCs w:val="18"/>
              </w:rPr>
              <w:t>N</w:t>
            </w:r>
            <w:r>
              <w:rPr>
                <w:i w:val="0"/>
                <w:iCs w:val="0"/>
                <w:sz w:val="18"/>
                <w:szCs w:val="18"/>
              </w:rPr>
              <w:t xml:space="preserve">orth </w:t>
            </w:r>
            <w:r w:rsidRPr="00264705">
              <w:rPr>
                <w:i w:val="0"/>
                <w:iCs w:val="0"/>
                <w:sz w:val="18"/>
                <w:szCs w:val="18"/>
              </w:rPr>
              <w:t>Sulawesi</w:t>
            </w:r>
            <w:r>
              <w:rPr>
                <w:i w:val="0"/>
                <w:iCs w:val="0"/>
                <w:sz w:val="18"/>
                <w:szCs w:val="18"/>
              </w:rPr>
              <w:t xml:space="preserve"> </w:t>
            </w:r>
            <w:r w:rsidRPr="00264705">
              <w:rPr>
                <w:i w:val="0"/>
                <w:iCs w:val="0"/>
                <w:sz w:val="18"/>
                <w:szCs w:val="18"/>
              </w:rPr>
              <w:t>T</w:t>
            </w:r>
            <w:r>
              <w:rPr>
                <w:i w:val="0"/>
                <w:iCs w:val="0"/>
                <w:sz w:val="18"/>
                <w:szCs w:val="18"/>
              </w:rPr>
              <w:t>rench</w:t>
            </w:r>
          </w:p>
        </w:tc>
        <w:tc>
          <w:tcPr>
            <w:tcW w:w="1275" w:type="dxa"/>
            <w:tcBorders>
              <w:left w:val="single" w:sz="12" w:space="0" w:color="auto"/>
              <w:right w:val="single" w:sz="12" w:space="0" w:color="auto"/>
            </w:tcBorders>
            <w:vAlign w:val="center"/>
          </w:tcPr>
          <w:p w14:paraId="0DA08B42" w14:textId="77777777" w:rsidR="00C86F1F" w:rsidRPr="00DF1D9D" w:rsidRDefault="00C86F1F" w:rsidP="007B5326">
            <w:pPr>
              <w:spacing w:line="240" w:lineRule="auto"/>
              <w:jc w:val="center"/>
              <w:cnfStyle w:val="000000100000" w:firstRow="0" w:lastRow="0" w:firstColumn="0" w:lastColumn="0" w:oddVBand="0" w:evenVBand="0" w:oddHBand="1" w:evenHBand="0" w:firstRowFirstColumn="0" w:firstRowLastColumn="0" w:lastRowFirstColumn="0" w:lastRowLastColumn="0"/>
              <w:rPr>
                <w:sz w:val="18"/>
                <w:szCs w:val="18"/>
              </w:rPr>
            </w:pPr>
            <w:r>
              <w:rPr>
                <w:sz w:val="18"/>
                <w:szCs w:val="18"/>
              </w:rPr>
              <w:t>WNST</w:t>
            </w:r>
          </w:p>
        </w:tc>
        <w:tc>
          <w:tcPr>
            <w:tcW w:w="1134" w:type="dxa"/>
            <w:tcBorders>
              <w:left w:val="single" w:sz="12" w:space="0" w:color="auto"/>
            </w:tcBorders>
            <w:vAlign w:val="center"/>
          </w:tcPr>
          <w:p w14:paraId="630B08F7" w14:textId="77777777" w:rsidR="00C86F1F" w:rsidRPr="00DF1D9D" w:rsidRDefault="00C86F1F" w:rsidP="007B5326">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等线"/>
                <w:sz w:val="18"/>
                <w:szCs w:val="18"/>
              </w:rPr>
            </w:pPr>
            <w:r w:rsidRPr="00DF1D9D">
              <w:rPr>
                <w:sz w:val="18"/>
                <w:szCs w:val="18"/>
              </w:rPr>
              <w:t>119.52</w:t>
            </w:r>
          </w:p>
        </w:tc>
        <w:tc>
          <w:tcPr>
            <w:tcW w:w="993" w:type="dxa"/>
            <w:vAlign w:val="center"/>
          </w:tcPr>
          <w:p w14:paraId="3963C918" w14:textId="77777777" w:rsidR="00C86F1F" w:rsidRPr="00DF1D9D" w:rsidRDefault="00C86F1F" w:rsidP="007B5326">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等线"/>
                <w:sz w:val="18"/>
                <w:szCs w:val="18"/>
              </w:rPr>
            </w:pPr>
            <w:r w:rsidRPr="00DF1D9D">
              <w:rPr>
                <w:sz w:val="18"/>
                <w:szCs w:val="18"/>
              </w:rPr>
              <w:t>-0.05</w:t>
            </w:r>
          </w:p>
        </w:tc>
        <w:tc>
          <w:tcPr>
            <w:tcW w:w="1701" w:type="dxa"/>
            <w:vAlign w:val="center"/>
          </w:tcPr>
          <w:p w14:paraId="44265DA2" w14:textId="77777777" w:rsidR="00C86F1F" w:rsidRPr="00DF1D9D" w:rsidRDefault="00C86F1F" w:rsidP="007B5326">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等线"/>
                <w:sz w:val="18"/>
                <w:szCs w:val="18"/>
              </w:rPr>
            </w:pPr>
            <w:r w:rsidRPr="00DF1D9D">
              <w:rPr>
                <w:sz w:val="18"/>
                <w:szCs w:val="18"/>
              </w:rPr>
              <w:t>Edge</w:t>
            </w:r>
          </w:p>
        </w:tc>
        <w:tc>
          <w:tcPr>
            <w:tcW w:w="1134" w:type="dxa"/>
            <w:tcBorders>
              <w:right w:val="single" w:sz="12" w:space="0" w:color="auto"/>
            </w:tcBorders>
            <w:vAlign w:val="center"/>
          </w:tcPr>
          <w:p w14:paraId="0EE2E75F" w14:textId="34FB18AF" w:rsidR="00C86F1F" w:rsidRPr="00C86F1F" w:rsidRDefault="00C86F1F" w:rsidP="007B5326">
            <w:pPr>
              <w:spacing w:line="240" w:lineRule="auto"/>
              <w:jc w:val="center"/>
              <w:cnfStyle w:val="000000100000" w:firstRow="0" w:lastRow="0" w:firstColumn="0" w:lastColumn="0" w:oddVBand="0" w:evenVBand="0" w:oddHBand="1" w:evenHBand="0" w:firstRowFirstColumn="0" w:firstRowLastColumn="0" w:lastRowFirstColumn="0" w:lastRowLastColumn="0"/>
              <w:rPr>
                <w:rFonts w:eastAsia="等线"/>
                <w:sz w:val="18"/>
                <w:szCs w:val="18"/>
                <w:vertAlign w:val="superscript"/>
              </w:rPr>
            </w:pPr>
            <w:r w:rsidRPr="00C86F1F">
              <w:rPr>
                <w:rFonts w:eastAsia="等线"/>
                <w:sz w:val="18"/>
                <w:szCs w:val="18"/>
                <w:vertAlign w:val="superscript"/>
              </w:rPr>
              <w:fldChar w:fldCharType="begin"/>
            </w:r>
            <w:r w:rsidR="00022AEB">
              <w:rPr>
                <w:rFonts w:eastAsia="等线"/>
                <w:sz w:val="18"/>
                <w:szCs w:val="18"/>
                <w:vertAlign w:val="superscript"/>
              </w:rPr>
              <w:instrText xml:space="preserve"> ADDIN ZOTERO_ITEM CSL_CITATION {"citationID":"XkgbuM8F","properties":{"formattedCitation":"\\super 9,37\\nosupersub{}","plainCitation":"9,37","noteIndex":0},"citationItems":[{"id":2108,"uris":["http://zotero.org/users/4242308/items/9EAEDI6V"],"itemData":{"id":2108,"type":"article-journal","abstract":"Slab edges are a relatively common feature in plate tectonics. Two prominent examples are the northern end of the Tonga subduction zone and the southern end of the New Hebrides subduction zone. Near such horizontal terminations of subduction trenches, ongoing tearing of oceanic lithosphere is a geometric consequence. We refer to such kinks in the plate boundary as a Subduction-Transform Edge Propagator, or STEP. Other STEPs are the north and south ends of the Lesser Antilles trench, the north end of the South Sandwich trench, the south end of the Vrancea trench, and both ends of the Calabria trench. Volcanism near STEPs is distinct from typical arc volcanism. In some cases, slab edges appear to coincide with mantle plumes. Using 3D mechanical models, we establish that STEP faults are stable plate tectonic features in most circumstances. In the (probably rare) cases that the resistance to fault propagation is high, slab break-off will occur. Relative motion along the transform segment of the plate boundary often is non-uniform, and the STEP is not a transform plate boundary in the (rigid) plate tectonics sense of the phrase. STEP propagation may result in substantial deformation, rotation, topography and sedimentary basins, with a very specific time-space evolution. Surface velocities are substantially affected by nearby STEPs.","container-title":"Earth and Planetary Science Letters","DOI":"10.1016/j.epsl.2005.03.022","ISSN":"0012-821X","issue":"1","journalAbbreviation":"Earth and Planetary Science Letters","language":"en","page":"505-523","source":"ScienceDirect","title":"Lithosphere tearing at STEP faults: response to edges of subduction zones","title-short":"Lithosphere tearing at STEP faults","volume":"236","author":[{"family":"Govers","given":"R."},{"family":"Wortel","given":"M. J. R."}],"issued":{"date-parts":[["2005",7,30]]}}},{"id":2098,"uris":["http://zotero.org/users/4242308/items/M2EF67VD"],"itemData":{"id":2098,"type":"article-journal","abstract":"Vertical edges along subducted slabs have been recognized in the majority of subduction zones. Surprisingly, slab edges evolved into Subduction-Transform-Edge-Propagator (STEP) faults in only a few regions; the conditions under which STEPs form are special. It is relevant to constrain the conditions that facilitate STEP fault initiation because they leave a clear geological footprint in the overriding plate, whereas vertical tears generally do not. We therefore study a candidate region for STEP fault initiation in the western Hellenic Subduction Zone. We investigate the structure and seismicity of the shallow western Hellenic Subduction Zone using a recent full-waveform inversion model which both captures details of crustal and upper-mantle structure, yielding constraints in the depth interval from 10 to 200 km where lithosphere-mantle interactions have tectonic expressions. The western end of the Hellenic Subduction Zone is fragmented near the Kefalonia Transform Fault. We identify a separate Epirus lithospheric fragment that is roughly vertical below the southern Albanides. We also identify a new and major contrast within the lithospheric mantle of the Ionian ocean basin, which aligns with a gradient in free-air anomalies. In the overriding plate, the Kefalonia Transform Fault zone accommodates right lateral strike-slip deformation. We interpret this fault zone as a proto-STEP fault that formed simultaneously with Pliocene fragmentation of the Epirus fragment. Comparing the recent evolution of the NW Hellenic slab edge with currently active STEPs indicates that along-trench variations in convergence velocity are a prerequisite for STEP fault initiation. Such velocity variations may result from subduction of continental crust along part of the trench. Resistance to sea ward tear propagation by a mechanically strong subducting plate may prevent variations in convergence velocity to occur, and thus STEP fault initiation. The amount of time over which a velocity contrast persists will also be relevant for STEP fault initiation. Mechanical coupling between upper- and lower-plate, and the deformability of the upper-plate appear to also play a role in the initiation of the STEP fault once a slab is fragmented.","container-title":"Tectonophysics","DOI":"10.1016/j.tecto.2020.228471","ISSN":"0040-1951","journalAbbreviation":"Tectonophysics","language":"en","page":"228471","source":"ScienceDirect","title":"The Kefalonia Transform Fault: A STEP fault in the making","title-short":"The Kefalonia Transform Fault","volume":"787","author":[{"family":"Özbakır","given":"Ali Değer"},{"family":"Govers","given":"Rob"},{"family":"Fichtner","given":"Andreas"}],"issued":{"date-parts":[["2020",7,20]]}}}],"schema":"https://github.com/citation-style-language/schema/raw/master/csl-citation.json"} </w:instrText>
            </w:r>
            <w:r w:rsidRPr="00C86F1F">
              <w:rPr>
                <w:rFonts w:eastAsia="等线"/>
                <w:sz w:val="18"/>
                <w:szCs w:val="18"/>
                <w:vertAlign w:val="superscript"/>
              </w:rPr>
              <w:fldChar w:fldCharType="separate"/>
            </w:r>
            <w:r w:rsidR="00022AEB" w:rsidRPr="00022AEB">
              <w:rPr>
                <w:kern w:val="0"/>
                <w:sz w:val="18"/>
                <w:vertAlign w:val="superscript"/>
              </w:rPr>
              <w:t>9,37</w:t>
            </w:r>
            <w:r w:rsidRPr="00C86F1F">
              <w:rPr>
                <w:rFonts w:eastAsia="等线"/>
                <w:sz w:val="18"/>
                <w:szCs w:val="18"/>
                <w:vertAlign w:val="superscript"/>
              </w:rPr>
              <w:fldChar w:fldCharType="end"/>
            </w:r>
          </w:p>
        </w:tc>
      </w:tr>
      <w:tr w:rsidR="00C86F1F" w:rsidRPr="00DF1D9D" w14:paraId="4B47430A" w14:textId="77777777" w:rsidTr="00F76A4E">
        <w:trPr>
          <w:trHeight w:val="454"/>
        </w:trPr>
        <w:tc>
          <w:tcPr>
            <w:cnfStyle w:val="001000000000" w:firstRow="0" w:lastRow="0" w:firstColumn="1" w:lastColumn="0" w:oddVBand="0" w:evenVBand="0" w:oddHBand="0" w:evenHBand="0" w:firstRowFirstColumn="0" w:firstRowLastColumn="0" w:lastRowFirstColumn="0" w:lastRowLastColumn="0"/>
            <w:tcW w:w="2396" w:type="dxa"/>
            <w:tcBorders>
              <w:left w:val="single" w:sz="12" w:space="0" w:color="auto"/>
              <w:bottom w:val="single" w:sz="12" w:space="0" w:color="auto"/>
              <w:right w:val="single" w:sz="12" w:space="0" w:color="auto"/>
            </w:tcBorders>
            <w:vAlign w:val="center"/>
          </w:tcPr>
          <w:p w14:paraId="020DE33D" w14:textId="77777777" w:rsidR="00C86F1F" w:rsidRPr="00DF1D9D" w:rsidRDefault="00C86F1F" w:rsidP="007B5326">
            <w:pPr>
              <w:spacing w:line="240" w:lineRule="auto"/>
              <w:jc w:val="center"/>
              <w:rPr>
                <w:rFonts w:eastAsia="等线"/>
                <w:i w:val="0"/>
                <w:iCs w:val="0"/>
                <w:sz w:val="18"/>
                <w:szCs w:val="18"/>
              </w:rPr>
            </w:pPr>
            <w:r w:rsidRPr="00DF1D9D">
              <w:rPr>
                <w:i w:val="0"/>
                <w:iCs w:val="0"/>
                <w:sz w:val="18"/>
                <w:szCs w:val="18"/>
              </w:rPr>
              <w:t>W</w:t>
            </w:r>
            <w:r>
              <w:rPr>
                <w:i w:val="0"/>
                <w:iCs w:val="0"/>
                <w:sz w:val="18"/>
                <w:szCs w:val="18"/>
              </w:rPr>
              <w:t>estern</w:t>
            </w:r>
            <w:r w:rsidRPr="00DF1D9D">
              <w:rPr>
                <w:i w:val="0"/>
                <w:iCs w:val="0"/>
                <w:sz w:val="18"/>
                <w:szCs w:val="18"/>
              </w:rPr>
              <w:t xml:space="preserve"> Ryukyu</w:t>
            </w:r>
            <w:r>
              <w:rPr>
                <w:i w:val="0"/>
                <w:iCs w:val="0"/>
                <w:sz w:val="18"/>
                <w:szCs w:val="18"/>
              </w:rPr>
              <w:t xml:space="preserve"> Trench</w:t>
            </w:r>
          </w:p>
        </w:tc>
        <w:tc>
          <w:tcPr>
            <w:tcW w:w="1275" w:type="dxa"/>
            <w:tcBorders>
              <w:left w:val="single" w:sz="12" w:space="0" w:color="auto"/>
              <w:bottom w:val="single" w:sz="12" w:space="0" w:color="auto"/>
              <w:right w:val="single" w:sz="12" w:space="0" w:color="auto"/>
            </w:tcBorders>
            <w:vAlign w:val="center"/>
          </w:tcPr>
          <w:p w14:paraId="69D35DC5" w14:textId="77777777" w:rsidR="00C86F1F" w:rsidRPr="00DF1D9D" w:rsidRDefault="00C86F1F" w:rsidP="007B5326">
            <w:pPr>
              <w:spacing w:line="240" w:lineRule="auto"/>
              <w:jc w:val="center"/>
              <w:cnfStyle w:val="000000000000" w:firstRow="0" w:lastRow="0" w:firstColumn="0" w:lastColumn="0" w:oddVBand="0" w:evenVBand="0" w:oddHBand="0" w:evenHBand="0" w:firstRowFirstColumn="0" w:firstRowLastColumn="0" w:lastRowFirstColumn="0" w:lastRowLastColumn="0"/>
              <w:rPr>
                <w:sz w:val="18"/>
                <w:szCs w:val="18"/>
              </w:rPr>
            </w:pPr>
            <w:r>
              <w:rPr>
                <w:rFonts w:hint="eastAsia"/>
                <w:sz w:val="18"/>
                <w:szCs w:val="18"/>
              </w:rPr>
              <w:t>W</w:t>
            </w:r>
            <w:r>
              <w:rPr>
                <w:sz w:val="18"/>
                <w:szCs w:val="18"/>
              </w:rPr>
              <w:t>RT</w:t>
            </w:r>
          </w:p>
        </w:tc>
        <w:tc>
          <w:tcPr>
            <w:tcW w:w="1134" w:type="dxa"/>
            <w:tcBorders>
              <w:left w:val="single" w:sz="12" w:space="0" w:color="auto"/>
              <w:bottom w:val="single" w:sz="12" w:space="0" w:color="auto"/>
            </w:tcBorders>
            <w:vAlign w:val="center"/>
          </w:tcPr>
          <w:p w14:paraId="6CC13AC3" w14:textId="77777777" w:rsidR="00C86F1F" w:rsidRPr="00DF1D9D" w:rsidRDefault="00C86F1F" w:rsidP="007B5326">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等线"/>
                <w:sz w:val="18"/>
                <w:szCs w:val="18"/>
              </w:rPr>
            </w:pPr>
            <w:r w:rsidRPr="00DF1D9D">
              <w:rPr>
                <w:sz w:val="18"/>
                <w:szCs w:val="18"/>
              </w:rPr>
              <w:t>123.3</w:t>
            </w:r>
          </w:p>
        </w:tc>
        <w:tc>
          <w:tcPr>
            <w:tcW w:w="993" w:type="dxa"/>
            <w:tcBorders>
              <w:bottom w:val="single" w:sz="12" w:space="0" w:color="auto"/>
            </w:tcBorders>
            <w:vAlign w:val="center"/>
          </w:tcPr>
          <w:p w14:paraId="4BF846C5" w14:textId="77777777" w:rsidR="00C86F1F" w:rsidRPr="00DF1D9D" w:rsidRDefault="00C86F1F" w:rsidP="007B5326">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等线"/>
                <w:sz w:val="18"/>
                <w:szCs w:val="18"/>
              </w:rPr>
            </w:pPr>
            <w:r w:rsidRPr="00DF1D9D">
              <w:rPr>
                <w:sz w:val="18"/>
                <w:szCs w:val="18"/>
              </w:rPr>
              <w:t>23.2</w:t>
            </w:r>
          </w:p>
        </w:tc>
        <w:tc>
          <w:tcPr>
            <w:tcW w:w="1701" w:type="dxa"/>
            <w:tcBorders>
              <w:bottom w:val="single" w:sz="12" w:space="0" w:color="auto"/>
            </w:tcBorders>
            <w:vAlign w:val="center"/>
          </w:tcPr>
          <w:p w14:paraId="0EBFDE31" w14:textId="77777777" w:rsidR="00C86F1F" w:rsidRPr="00DF1D9D" w:rsidRDefault="00C86F1F" w:rsidP="007B5326">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等线"/>
                <w:sz w:val="18"/>
                <w:szCs w:val="18"/>
              </w:rPr>
            </w:pPr>
            <w:r w:rsidRPr="00DF1D9D">
              <w:rPr>
                <w:sz w:val="18"/>
                <w:szCs w:val="18"/>
              </w:rPr>
              <w:t>Internal</w:t>
            </w:r>
          </w:p>
        </w:tc>
        <w:tc>
          <w:tcPr>
            <w:tcW w:w="1134" w:type="dxa"/>
            <w:tcBorders>
              <w:bottom w:val="single" w:sz="12" w:space="0" w:color="auto"/>
              <w:right w:val="single" w:sz="12" w:space="0" w:color="auto"/>
            </w:tcBorders>
            <w:vAlign w:val="center"/>
          </w:tcPr>
          <w:p w14:paraId="71BBC37B" w14:textId="10C97552" w:rsidR="00C86F1F" w:rsidRPr="00C86F1F" w:rsidRDefault="00C86F1F" w:rsidP="007B5326">
            <w:pPr>
              <w:spacing w:line="240" w:lineRule="auto"/>
              <w:jc w:val="center"/>
              <w:cnfStyle w:val="000000000000" w:firstRow="0" w:lastRow="0" w:firstColumn="0" w:lastColumn="0" w:oddVBand="0" w:evenVBand="0" w:oddHBand="0" w:evenHBand="0" w:firstRowFirstColumn="0" w:firstRowLastColumn="0" w:lastRowFirstColumn="0" w:lastRowLastColumn="0"/>
              <w:rPr>
                <w:rFonts w:eastAsia="等线"/>
                <w:sz w:val="18"/>
                <w:szCs w:val="18"/>
                <w:vertAlign w:val="superscript"/>
              </w:rPr>
            </w:pPr>
            <w:r w:rsidRPr="00C86F1F">
              <w:rPr>
                <w:rFonts w:eastAsia="等线"/>
                <w:sz w:val="18"/>
                <w:szCs w:val="18"/>
                <w:vertAlign w:val="superscript"/>
              </w:rPr>
              <w:fldChar w:fldCharType="begin"/>
            </w:r>
            <w:r w:rsidR="00022AEB">
              <w:rPr>
                <w:rFonts w:eastAsia="等线"/>
                <w:sz w:val="18"/>
                <w:szCs w:val="18"/>
                <w:vertAlign w:val="superscript"/>
              </w:rPr>
              <w:instrText xml:space="preserve"> ADDIN ZOTERO_ITEM CSL_CITATION {"citationID":"0YAJ9nH1","properties":{"formattedCitation":"\\super 45\\nosupersub{}","plainCitation":"45","noteIndex":0},"citationItems":[{"id":1902,"uris":["http://zotero.org/users/4242308/items/F88ZMUCI"],"itemData":{"id":1902,"type":"article-journal","abstract":"Behind the sedimentary Ryukyu arc lies the Okinawa Trough, whose termination is located at the tip of the Ilan plain (northern Taiwan), just above the Ryukyu slab edge. The present-day active volcanic front is located 80–100 km above the Ryukyu slab and extends from Japan to Kueishantao Island, an islet situated 10 km offshore the Ilan plain. Between December 1990 and May 1999, 3370 earthquakes recorded in northern Taiwan by 65 seismic land stations were used to determine the three-dimensional Vp and Vs velocity structures and Vp/Vs ratios. A low Vs but high Vp/Vs sausage-like body, </w:instrText>
            </w:r>
            <w:r w:rsidR="00022AEB">
              <w:rPr>
                <w:rFonts w:ascii="Cambria Math" w:eastAsia="等线" w:hAnsi="Cambria Math" w:cs="Cambria Math"/>
                <w:sz w:val="18"/>
                <w:szCs w:val="18"/>
                <w:vertAlign w:val="superscript"/>
              </w:rPr>
              <w:instrText>∼</w:instrText>
            </w:r>
            <w:r w:rsidR="00022AEB">
              <w:rPr>
                <w:rFonts w:eastAsia="等线"/>
                <w:sz w:val="18"/>
                <w:szCs w:val="18"/>
                <w:vertAlign w:val="superscript"/>
              </w:rPr>
              <w:instrText xml:space="preserve">30 km in diameter, lies within the Eurasian mantle wedge, on top of the western Ryukyu slab extremity, at depths ranging between 20 and 100 km. We suggest that the H2O-rich component formed by dehydration processes from subducting sediments, oceanic crust, and serpentinized mantle above the Ryukyu slab and along the vertical portion of the slab edge might explain the presence of the sausage-like body. A low Vs but high Vp/Vs channel rises obliquely from the sausage-like body at a depth of 40 km in direction of the andesitic Kueishantao Island. We propose that the H2O-rich component and/or melt rise up from the sausage-like body and interfere with the Okinawa Trough back arc basin magmas formed in the upper mantle/lower crust. Then magmas propagate upward within the upper brittle crust through veins and/or narrow conduits.","container-title":"Journal of Geophysical Research: Solid Earth","DOI":"10.1029/2004JB003260","ISSN":"2156-2202","issue":"B12","language":"en","note":"_eprint: https://agupubs.onlinelibrary.wiley.com/doi/pdf/10.1029/2004JB003260","source":"Wiley Online Library","title":"Melting features along the western Ryukyu slab edge (northeast Taiwan): Tomographic evidence","title-short":"Melting features along the western Ryukyu slab edge (northeast Taiwan)","URL":"https://agupubs.onlinelibrary.wiley.com/doi/abs/10.1029/2004JB003260","volume":"109","author":[{"family":"Lin","given":"Jing-Yi"},{"family":"Hsu","given":"Shu-Kun"},{"family":"Sibuet","given":"Jean-Claude"}],"accessed":{"date-parts":[["2020",6,3]]},"issued":{"date-parts":[["2004"]]}}}],"schema":"https://github.com/citation-style-language/schema/raw/master/csl-citation.json"} </w:instrText>
            </w:r>
            <w:r w:rsidRPr="00C86F1F">
              <w:rPr>
                <w:rFonts w:eastAsia="等线"/>
                <w:sz w:val="18"/>
                <w:szCs w:val="18"/>
                <w:vertAlign w:val="superscript"/>
              </w:rPr>
              <w:fldChar w:fldCharType="separate"/>
            </w:r>
            <w:r w:rsidR="00022AEB" w:rsidRPr="00022AEB">
              <w:rPr>
                <w:kern w:val="0"/>
                <w:sz w:val="18"/>
                <w:vertAlign w:val="superscript"/>
              </w:rPr>
              <w:t>45</w:t>
            </w:r>
            <w:r w:rsidRPr="00C86F1F">
              <w:rPr>
                <w:rFonts w:eastAsia="等线"/>
                <w:sz w:val="18"/>
                <w:szCs w:val="18"/>
                <w:vertAlign w:val="superscript"/>
              </w:rPr>
              <w:fldChar w:fldCharType="end"/>
            </w:r>
          </w:p>
        </w:tc>
      </w:tr>
    </w:tbl>
    <w:p w14:paraId="17A0E98D" w14:textId="77777777" w:rsidR="00464ED1" w:rsidRDefault="00464ED1" w:rsidP="007B5326">
      <w:pPr>
        <w:rPr>
          <w:rFonts w:eastAsia="等线"/>
        </w:rPr>
      </w:pPr>
    </w:p>
    <w:p w14:paraId="79CD69A6" w14:textId="4CDB643A" w:rsidR="00464ED1" w:rsidRPr="00000AE0" w:rsidRDefault="00464ED1" w:rsidP="007B5326">
      <w:pPr>
        <w:rPr>
          <w:rFonts w:eastAsia="等线"/>
        </w:rPr>
        <w:sectPr w:rsidR="00464ED1" w:rsidRPr="00000AE0" w:rsidSect="002D0331">
          <w:pgSz w:w="11906" w:h="16838"/>
          <w:pgMar w:top="1440" w:right="1800" w:bottom="1440" w:left="1800" w:header="851" w:footer="992" w:gutter="0"/>
          <w:lnNumType w:countBy="1" w:restart="continuous"/>
          <w:cols w:space="425"/>
          <w:docGrid w:type="lines" w:linePitch="326"/>
        </w:sectPr>
      </w:pPr>
    </w:p>
    <w:p w14:paraId="02F9FEEF" w14:textId="40C135C6" w:rsidR="009D2446" w:rsidRDefault="00BB6D4C" w:rsidP="00196CC6">
      <w:pPr>
        <w:pStyle w:val="2"/>
        <w:spacing w:after="163"/>
        <w:jc w:val="left"/>
        <w:rPr>
          <w:rFonts w:eastAsia="等线"/>
        </w:rPr>
      </w:pPr>
      <w:r>
        <w:rPr>
          <w:rFonts w:eastAsia="等线"/>
        </w:rPr>
        <w:lastRenderedPageBreak/>
        <w:t>R</w:t>
      </w:r>
      <w:r w:rsidR="009D2446">
        <w:rPr>
          <w:rFonts w:eastAsia="等线"/>
        </w:rPr>
        <w:t>eference</w:t>
      </w:r>
    </w:p>
    <w:p w14:paraId="634A7330" w14:textId="77777777" w:rsidR="00022AEB" w:rsidRPr="00022AEB" w:rsidRDefault="009D2446" w:rsidP="00022AEB">
      <w:pPr>
        <w:pStyle w:val="af6"/>
      </w:pPr>
      <w:r>
        <w:rPr>
          <w:rFonts w:eastAsia="等线"/>
        </w:rPr>
        <w:fldChar w:fldCharType="begin"/>
      </w:r>
      <w:r w:rsidR="005438C1">
        <w:rPr>
          <w:rFonts w:eastAsia="等线"/>
        </w:rPr>
        <w:instrText xml:space="preserve"> ADDIN ZOTERO_BIBL {"uncited":[],"omitted":[],"custom":[]} CSL_BIBLIOGRAPHY </w:instrText>
      </w:r>
      <w:r>
        <w:rPr>
          <w:rFonts w:eastAsia="等线"/>
        </w:rPr>
        <w:fldChar w:fldCharType="separate"/>
      </w:r>
      <w:r w:rsidR="00022AEB" w:rsidRPr="00022AEB">
        <w:t>1.</w:t>
      </w:r>
      <w:r w:rsidR="00022AEB" w:rsidRPr="00022AEB">
        <w:tab/>
        <w:t xml:space="preserve">Kumar, P., Srijayanthi, G. &amp; Kumar, M. R. Seismic evidence for tearing in the subducting Indian slab beneath the Andaman arc. </w:t>
      </w:r>
      <w:r w:rsidR="00022AEB" w:rsidRPr="00022AEB">
        <w:rPr>
          <w:i/>
          <w:iCs/>
        </w:rPr>
        <w:t>Geophys. Res. Lett.</w:t>
      </w:r>
      <w:r w:rsidR="00022AEB" w:rsidRPr="00022AEB">
        <w:t xml:space="preserve"> </w:t>
      </w:r>
      <w:r w:rsidR="00022AEB" w:rsidRPr="00022AEB">
        <w:rPr>
          <w:b/>
          <w:bCs/>
        </w:rPr>
        <w:t>43</w:t>
      </w:r>
      <w:r w:rsidR="00022AEB" w:rsidRPr="00022AEB">
        <w:t>, 4899–4904 (2016).</w:t>
      </w:r>
    </w:p>
    <w:p w14:paraId="3A31EDED" w14:textId="77777777" w:rsidR="00022AEB" w:rsidRPr="00022AEB" w:rsidRDefault="00022AEB" w:rsidP="00022AEB">
      <w:pPr>
        <w:pStyle w:val="af6"/>
      </w:pPr>
      <w:r w:rsidRPr="00022AEB">
        <w:t>2.</w:t>
      </w:r>
      <w:r w:rsidRPr="00022AEB">
        <w:tab/>
        <w:t xml:space="preserve">Gutscher, M.-A., Malavieille, J., Lallemand, S. &amp; Collot, J.-Y. Tectonic segmentation of the North Andean margin: impact of the Carnegie Ridge collision. </w:t>
      </w:r>
      <w:r w:rsidRPr="00022AEB">
        <w:rPr>
          <w:i/>
          <w:iCs/>
        </w:rPr>
        <w:t>Earth Planet. Sci. Lett.</w:t>
      </w:r>
      <w:r w:rsidRPr="00022AEB">
        <w:t xml:space="preserve"> </w:t>
      </w:r>
      <w:r w:rsidRPr="00022AEB">
        <w:rPr>
          <w:b/>
          <w:bCs/>
        </w:rPr>
        <w:t>168</w:t>
      </w:r>
      <w:r w:rsidRPr="00022AEB">
        <w:t>, 255–270 (1999).</w:t>
      </w:r>
    </w:p>
    <w:p w14:paraId="28816FBF" w14:textId="77777777" w:rsidR="00022AEB" w:rsidRPr="00022AEB" w:rsidRDefault="00022AEB" w:rsidP="00022AEB">
      <w:pPr>
        <w:pStyle w:val="af6"/>
      </w:pPr>
      <w:r w:rsidRPr="00022AEB">
        <w:t>3.</w:t>
      </w:r>
      <w:r w:rsidRPr="00022AEB">
        <w:tab/>
        <w:t xml:space="preserve">Sippl, C. </w:t>
      </w:r>
      <w:r w:rsidRPr="00022AEB">
        <w:rPr>
          <w:i/>
          <w:iCs/>
        </w:rPr>
        <w:t>et al.</w:t>
      </w:r>
      <w:r w:rsidRPr="00022AEB">
        <w:t xml:space="preserve"> Geometry of the Pamir-Hindu Kush intermediate-depth earthquake zone from local seismic data: EARTHQUAKE DISTRIBUTION PAMIR-HINDU KUSH. </w:t>
      </w:r>
      <w:r w:rsidRPr="00022AEB">
        <w:rPr>
          <w:i/>
          <w:iCs/>
        </w:rPr>
        <w:t>J. Geophys. Res. Solid Earth</w:t>
      </w:r>
      <w:r w:rsidRPr="00022AEB">
        <w:t xml:space="preserve"> </w:t>
      </w:r>
      <w:r w:rsidRPr="00022AEB">
        <w:rPr>
          <w:b/>
          <w:bCs/>
        </w:rPr>
        <w:t>118</w:t>
      </w:r>
      <w:r w:rsidRPr="00022AEB">
        <w:t>, 1438–1457 (2013).</w:t>
      </w:r>
    </w:p>
    <w:p w14:paraId="08A8B347" w14:textId="77777777" w:rsidR="00022AEB" w:rsidRPr="00022AEB" w:rsidRDefault="00022AEB" w:rsidP="00022AEB">
      <w:pPr>
        <w:pStyle w:val="af6"/>
      </w:pPr>
      <w:r w:rsidRPr="00022AEB">
        <w:t>4.</w:t>
      </w:r>
      <w:r w:rsidRPr="00022AEB">
        <w:tab/>
        <w:t xml:space="preserve">Dougherty, S. L. &amp; Clayton, R. W. Seismicity and structure in central Mexico: Evidence for a possible slab tear in the South Cocos plate. </w:t>
      </w:r>
      <w:r w:rsidRPr="00022AEB">
        <w:rPr>
          <w:i/>
          <w:iCs/>
        </w:rPr>
        <w:t>J. Geophys. Res. Solid Earth</w:t>
      </w:r>
      <w:r w:rsidRPr="00022AEB">
        <w:t xml:space="preserve"> </w:t>
      </w:r>
      <w:r w:rsidRPr="00022AEB">
        <w:rPr>
          <w:b/>
          <w:bCs/>
        </w:rPr>
        <w:t>119</w:t>
      </w:r>
      <w:r w:rsidRPr="00022AEB">
        <w:t>, 3424–3447 (2014).</w:t>
      </w:r>
    </w:p>
    <w:p w14:paraId="4AF269CF" w14:textId="77777777" w:rsidR="00022AEB" w:rsidRPr="00022AEB" w:rsidRDefault="00022AEB" w:rsidP="00022AEB">
      <w:pPr>
        <w:pStyle w:val="af6"/>
      </w:pPr>
      <w:r w:rsidRPr="00022AEB">
        <w:t>5.</w:t>
      </w:r>
      <w:r w:rsidRPr="00022AEB">
        <w:tab/>
        <w:t xml:space="preserve">Miller, M. S., Gorbatov, A. &amp; Kennett, B. L. N. Three-dimensional visualization of a near-vertical slab tear beneath the southern Mariana arc. </w:t>
      </w:r>
      <w:r w:rsidRPr="00022AEB">
        <w:rPr>
          <w:i/>
          <w:iCs/>
        </w:rPr>
        <w:t>Geochem. Geophys. Geosystems</w:t>
      </w:r>
      <w:r w:rsidRPr="00022AEB">
        <w:t xml:space="preserve"> </w:t>
      </w:r>
      <w:r w:rsidRPr="00022AEB">
        <w:rPr>
          <w:b/>
          <w:bCs/>
        </w:rPr>
        <w:t>7</w:t>
      </w:r>
      <w:r w:rsidRPr="00022AEB">
        <w:t>, (2006).</w:t>
      </w:r>
    </w:p>
    <w:p w14:paraId="50D1FAD2" w14:textId="77777777" w:rsidR="00022AEB" w:rsidRPr="00022AEB" w:rsidRDefault="00022AEB" w:rsidP="00022AEB">
      <w:pPr>
        <w:pStyle w:val="af6"/>
      </w:pPr>
      <w:r w:rsidRPr="00022AEB">
        <w:t>6.</w:t>
      </w:r>
      <w:r w:rsidRPr="00022AEB">
        <w:tab/>
        <w:t xml:space="preserve">Zhao, T., Zhu, G., Lin, S. &amp; Wang, H. Indentation-induced tearing of a subducting continent: Evidence from the Tan–Lu Fault Zone, East China. </w:t>
      </w:r>
      <w:r w:rsidRPr="00022AEB">
        <w:rPr>
          <w:i/>
          <w:iCs/>
        </w:rPr>
        <w:t>Earth-Sci. Rev.</w:t>
      </w:r>
      <w:r w:rsidRPr="00022AEB">
        <w:t xml:space="preserve"> </w:t>
      </w:r>
      <w:r w:rsidRPr="00022AEB">
        <w:rPr>
          <w:b/>
          <w:bCs/>
        </w:rPr>
        <w:t>152</w:t>
      </w:r>
      <w:r w:rsidRPr="00022AEB">
        <w:t>, 14–36 (2016).</w:t>
      </w:r>
    </w:p>
    <w:p w14:paraId="22903537" w14:textId="77777777" w:rsidR="00022AEB" w:rsidRPr="00022AEB" w:rsidRDefault="00022AEB" w:rsidP="00022AEB">
      <w:pPr>
        <w:pStyle w:val="af6"/>
      </w:pPr>
      <w:r w:rsidRPr="00022AEB">
        <w:t>7.</w:t>
      </w:r>
      <w:r w:rsidRPr="00022AEB">
        <w:tab/>
        <w:t xml:space="preserve">Godin, L. &amp; Harris, L. B. Tracking basement cross-strike discontinuities in the Indian crust beneath the Himalayan orogen using gravity data – relationship to upper crustal faults. </w:t>
      </w:r>
      <w:r w:rsidRPr="00022AEB">
        <w:rPr>
          <w:i/>
          <w:iCs/>
        </w:rPr>
        <w:t>Geophys. J. Int.</w:t>
      </w:r>
      <w:r w:rsidRPr="00022AEB">
        <w:t xml:space="preserve"> </w:t>
      </w:r>
      <w:r w:rsidRPr="00022AEB">
        <w:rPr>
          <w:b/>
          <w:bCs/>
        </w:rPr>
        <w:t>198</w:t>
      </w:r>
      <w:r w:rsidRPr="00022AEB">
        <w:t>, 198–215 (2014).</w:t>
      </w:r>
    </w:p>
    <w:p w14:paraId="11563A2D" w14:textId="77777777" w:rsidR="00022AEB" w:rsidRPr="00022AEB" w:rsidRDefault="00022AEB" w:rsidP="00022AEB">
      <w:pPr>
        <w:pStyle w:val="af6"/>
      </w:pPr>
      <w:r w:rsidRPr="00022AEB">
        <w:t>8.</w:t>
      </w:r>
      <w:r w:rsidRPr="00022AEB">
        <w:tab/>
        <w:t xml:space="preserve">Sunilkumar, T. C., Earnest, A., Silpa, K. &amp; Andrews, R. Rupture of the Indian Slab in the 2011 Mw 6.9 Sikkim Himalaya Earthquake and Its Tectonic Implications. </w:t>
      </w:r>
      <w:r w:rsidRPr="00022AEB">
        <w:rPr>
          <w:i/>
          <w:iCs/>
        </w:rPr>
        <w:t>J. Geophys. Res. Solid Earth</w:t>
      </w:r>
      <w:r w:rsidRPr="00022AEB">
        <w:t xml:space="preserve"> </w:t>
      </w:r>
      <w:r w:rsidRPr="00022AEB">
        <w:rPr>
          <w:b/>
          <w:bCs/>
        </w:rPr>
        <w:t>124</w:t>
      </w:r>
      <w:r w:rsidRPr="00022AEB">
        <w:t>, 2623–2637 (2019).</w:t>
      </w:r>
    </w:p>
    <w:p w14:paraId="340296DB" w14:textId="77777777" w:rsidR="00022AEB" w:rsidRPr="00022AEB" w:rsidRDefault="00022AEB" w:rsidP="00022AEB">
      <w:pPr>
        <w:pStyle w:val="af6"/>
      </w:pPr>
      <w:r w:rsidRPr="00022AEB">
        <w:t>9.</w:t>
      </w:r>
      <w:r w:rsidRPr="00022AEB">
        <w:tab/>
        <w:t xml:space="preserve">Özbakır, A. D., Govers, R. &amp; Fichtner, A. The Kefalonia Transform Fault: A STEP fault in the making. </w:t>
      </w:r>
      <w:r w:rsidRPr="00022AEB">
        <w:rPr>
          <w:i/>
          <w:iCs/>
        </w:rPr>
        <w:t>Tectonophysics</w:t>
      </w:r>
      <w:r w:rsidRPr="00022AEB">
        <w:t xml:space="preserve"> </w:t>
      </w:r>
      <w:r w:rsidRPr="00022AEB">
        <w:rPr>
          <w:b/>
          <w:bCs/>
        </w:rPr>
        <w:t>787</w:t>
      </w:r>
      <w:r w:rsidRPr="00022AEB">
        <w:t>, 228471 (2020).</w:t>
      </w:r>
    </w:p>
    <w:p w14:paraId="62622679" w14:textId="77777777" w:rsidR="00022AEB" w:rsidRPr="00022AEB" w:rsidRDefault="00022AEB" w:rsidP="00022AEB">
      <w:pPr>
        <w:pStyle w:val="af6"/>
      </w:pPr>
      <w:r w:rsidRPr="00022AEB">
        <w:t>10.</w:t>
      </w:r>
      <w:r w:rsidRPr="00022AEB">
        <w:tab/>
        <w:t xml:space="preserve">Husson, L. </w:t>
      </w:r>
      <w:r w:rsidRPr="00022AEB">
        <w:rPr>
          <w:i/>
          <w:iCs/>
        </w:rPr>
        <w:t>et al.</w:t>
      </w:r>
      <w:r w:rsidRPr="00022AEB">
        <w:t xml:space="preserve"> Dynamic ups and downs of the Himalaya. </w:t>
      </w:r>
      <w:r w:rsidRPr="00022AEB">
        <w:rPr>
          <w:i/>
          <w:iCs/>
        </w:rPr>
        <w:t>Geology</w:t>
      </w:r>
      <w:r w:rsidRPr="00022AEB">
        <w:t xml:space="preserve"> </w:t>
      </w:r>
      <w:r w:rsidRPr="00022AEB">
        <w:rPr>
          <w:b/>
          <w:bCs/>
        </w:rPr>
        <w:t>42</w:t>
      </w:r>
      <w:r w:rsidRPr="00022AEB">
        <w:t xml:space="preserve">, 839–842 </w:t>
      </w:r>
      <w:r w:rsidRPr="00022AEB">
        <w:lastRenderedPageBreak/>
        <w:t>(2014).</w:t>
      </w:r>
    </w:p>
    <w:p w14:paraId="6A6AE4C5" w14:textId="77777777" w:rsidR="00022AEB" w:rsidRPr="00022AEB" w:rsidRDefault="00022AEB" w:rsidP="00022AEB">
      <w:pPr>
        <w:pStyle w:val="af6"/>
      </w:pPr>
      <w:r w:rsidRPr="00022AEB">
        <w:t>11.</w:t>
      </w:r>
      <w:r w:rsidRPr="00022AEB">
        <w:tab/>
        <w:t xml:space="preserve">Pesicek, J. D., Engdahl, E. R., Thurber, C. H., DeShon, H. R. &amp; Lange, D. Mantle subducting slab structure in the region of the 2010 M8.8 Maule earthquake (30–40°S), Chile. </w:t>
      </w:r>
      <w:r w:rsidRPr="00022AEB">
        <w:rPr>
          <w:i/>
          <w:iCs/>
        </w:rPr>
        <w:t>Geophys. J. Int.</w:t>
      </w:r>
      <w:r w:rsidRPr="00022AEB">
        <w:t xml:space="preserve"> </w:t>
      </w:r>
      <w:r w:rsidRPr="00022AEB">
        <w:rPr>
          <w:b/>
          <w:bCs/>
        </w:rPr>
        <w:t>191</w:t>
      </w:r>
      <w:r w:rsidRPr="00022AEB">
        <w:t>, 317–324 (2012).</w:t>
      </w:r>
    </w:p>
    <w:p w14:paraId="21D73A3A" w14:textId="77777777" w:rsidR="00022AEB" w:rsidRPr="00022AEB" w:rsidRDefault="00022AEB" w:rsidP="00022AEB">
      <w:pPr>
        <w:pStyle w:val="af6"/>
      </w:pPr>
      <w:r w:rsidRPr="00022AEB">
        <w:t>12.</w:t>
      </w:r>
      <w:r w:rsidRPr="00022AEB">
        <w:tab/>
        <w:t xml:space="preserve">Suckale, J. </w:t>
      </w:r>
      <w:r w:rsidRPr="00022AEB">
        <w:rPr>
          <w:i/>
          <w:iCs/>
        </w:rPr>
        <w:t>et al.</w:t>
      </w:r>
      <w:r w:rsidRPr="00022AEB">
        <w:t xml:space="preserve"> High-resolution seismic imaging of the western Hellenic subduction zone using teleseismic scattered waves. </w:t>
      </w:r>
      <w:r w:rsidRPr="00022AEB">
        <w:rPr>
          <w:i/>
          <w:iCs/>
        </w:rPr>
        <w:t>Geophys. J. Int.</w:t>
      </w:r>
      <w:r w:rsidRPr="00022AEB">
        <w:t xml:space="preserve"> </w:t>
      </w:r>
      <w:r w:rsidRPr="00022AEB">
        <w:rPr>
          <w:b/>
          <w:bCs/>
        </w:rPr>
        <w:t>178</w:t>
      </w:r>
      <w:r w:rsidRPr="00022AEB">
        <w:t>, 775–791 (2009).</w:t>
      </w:r>
    </w:p>
    <w:p w14:paraId="58E182AF" w14:textId="77777777" w:rsidR="00022AEB" w:rsidRPr="00022AEB" w:rsidRDefault="00022AEB" w:rsidP="00022AEB">
      <w:pPr>
        <w:pStyle w:val="af6"/>
      </w:pPr>
      <w:r w:rsidRPr="00022AEB">
        <w:t>13.</w:t>
      </w:r>
      <w:r w:rsidRPr="00022AEB">
        <w:tab/>
        <w:t xml:space="preserve">Fan, J., Wu, S. &amp; Spence, G. Tomographic evidence for a slab tear induced by fossil ridge subduction at Manila Trench, South China Sea. </w:t>
      </w:r>
      <w:r w:rsidRPr="00022AEB">
        <w:rPr>
          <w:i/>
          <w:iCs/>
        </w:rPr>
        <w:t>Int. Geol. Rev.</w:t>
      </w:r>
      <w:r w:rsidRPr="00022AEB">
        <w:t xml:space="preserve"> </w:t>
      </w:r>
      <w:r w:rsidRPr="00022AEB">
        <w:rPr>
          <w:b/>
          <w:bCs/>
        </w:rPr>
        <w:t>57</w:t>
      </w:r>
      <w:r w:rsidRPr="00022AEB">
        <w:t>, 998–1013 (2015).</w:t>
      </w:r>
    </w:p>
    <w:p w14:paraId="5E5F5594" w14:textId="77777777" w:rsidR="00022AEB" w:rsidRPr="00022AEB" w:rsidRDefault="00022AEB" w:rsidP="00022AEB">
      <w:pPr>
        <w:pStyle w:val="af6"/>
      </w:pPr>
      <w:r w:rsidRPr="00022AEB">
        <w:t>14.</w:t>
      </w:r>
      <w:r w:rsidRPr="00022AEB">
        <w:tab/>
        <w:t xml:space="preserve">Scire, A. </w:t>
      </w:r>
      <w:r w:rsidRPr="00022AEB">
        <w:rPr>
          <w:i/>
          <w:iCs/>
        </w:rPr>
        <w:t>et al.</w:t>
      </w:r>
      <w:r w:rsidRPr="00022AEB">
        <w:t xml:space="preserve"> Imaging the transition from flat to normal subduction: variations in the structure of the Nazca slab and upper mantle under southern Peru and northwestern Bolivia. </w:t>
      </w:r>
      <w:r w:rsidRPr="00022AEB">
        <w:rPr>
          <w:i/>
          <w:iCs/>
        </w:rPr>
        <w:t>Geophys. J. Int.</w:t>
      </w:r>
      <w:r w:rsidRPr="00022AEB">
        <w:t xml:space="preserve"> </w:t>
      </w:r>
      <w:r w:rsidRPr="00022AEB">
        <w:rPr>
          <w:b/>
          <w:bCs/>
        </w:rPr>
        <w:t>204</w:t>
      </w:r>
      <w:r w:rsidRPr="00022AEB">
        <w:t>, 457–479 (2016).</w:t>
      </w:r>
    </w:p>
    <w:p w14:paraId="0A62FF16" w14:textId="77777777" w:rsidR="00022AEB" w:rsidRPr="00022AEB" w:rsidRDefault="00022AEB" w:rsidP="00022AEB">
      <w:pPr>
        <w:pStyle w:val="af6"/>
      </w:pPr>
      <w:r w:rsidRPr="00022AEB">
        <w:t>15.</w:t>
      </w:r>
      <w:r w:rsidRPr="00022AEB">
        <w:tab/>
        <w:t xml:space="preserve">Antonijevic, S. K. </w:t>
      </w:r>
      <w:r w:rsidRPr="00022AEB">
        <w:rPr>
          <w:i/>
          <w:iCs/>
        </w:rPr>
        <w:t>et al.</w:t>
      </w:r>
      <w:r w:rsidRPr="00022AEB">
        <w:t xml:space="preserve"> Effects of change in slab geometry on the mantle flow and slab fabric in Southern Peru. </w:t>
      </w:r>
      <w:r w:rsidRPr="00022AEB">
        <w:rPr>
          <w:i/>
          <w:iCs/>
        </w:rPr>
        <w:t>J. Geophys. Res. Solid Earth</w:t>
      </w:r>
      <w:r w:rsidRPr="00022AEB">
        <w:t xml:space="preserve"> </w:t>
      </w:r>
      <w:r w:rsidRPr="00022AEB">
        <w:rPr>
          <w:b/>
          <w:bCs/>
        </w:rPr>
        <w:t>121</w:t>
      </w:r>
      <w:r w:rsidRPr="00022AEB">
        <w:t>, 7252–7270 (2016).</w:t>
      </w:r>
    </w:p>
    <w:p w14:paraId="12E0AD30" w14:textId="77777777" w:rsidR="00022AEB" w:rsidRPr="00022AEB" w:rsidRDefault="00022AEB" w:rsidP="00022AEB">
      <w:pPr>
        <w:pStyle w:val="af6"/>
      </w:pPr>
      <w:r w:rsidRPr="00022AEB">
        <w:t>16.</w:t>
      </w:r>
      <w:r w:rsidRPr="00022AEB">
        <w:tab/>
        <w:t xml:space="preserve">Piana Agostinetti, N. The structure of the Moho in the Northern Apennines: Evidence for an incipient slab tear fault? </w:t>
      </w:r>
      <w:r w:rsidRPr="00022AEB">
        <w:rPr>
          <w:i/>
          <w:iCs/>
        </w:rPr>
        <w:t>Tectonophysics</w:t>
      </w:r>
      <w:r w:rsidRPr="00022AEB">
        <w:t xml:space="preserve"> </w:t>
      </w:r>
      <w:r w:rsidRPr="00022AEB">
        <w:rPr>
          <w:b/>
          <w:bCs/>
        </w:rPr>
        <w:t>655</w:t>
      </w:r>
      <w:r w:rsidRPr="00022AEB">
        <w:t>, 88–96 (2015).</w:t>
      </w:r>
    </w:p>
    <w:p w14:paraId="5060B4C5" w14:textId="77777777" w:rsidR="00022AEB" w:rsidRPr="00022AEB" w:rsidRDefault="00022AEB" w:rsidP="00022AEB">
      <w:pPr>
        <w:pStyle w:val="af6"/>
      </w:pPr>
      <w:r w:rsidRPr="00022AEB">
        <w:t>17.</w:t>
      </w:r>
      <w:r w:rsidRPr="00022AEB">
        <w:tab/>
        <w:t xml:space="preserve">Rosenbaum, G. &amp; Agostinetti, N. P. Crustal and upper mantle responses to lithospheric segmentation in the northern Apennines. </w:t>
      </w:r>
      <w:r w:rsidRPr="00022AEB">
        <w:rPr>
          <w:i/>
          <w:iCs/>
        </w:rPr>
        <w:t>Tectonics</w:t>
      </w:r>
      <w:r w:rsidRPr="00022AEB">
        <w:t xml:space="preserve"> </w:t>
      </w:r>
      <w:r w:rsidRPr="00022AEB">
        <w:rPr>
          <w:b/>
          <w:bCs/>
        </w:rPr>
        <w:t>34</w:t>
      </w:r>
      <w:r w:rsidRPr="00022AEB">
        <w:t>, 648–661 (2015).</w:t>
      </w:r>
    </w:p>
    <w:p w14:paraId="2903DB76" w14:textId="77777777" w:rsidR="00022AEB" w:rsidRPr="00022AEB" w:rsidRDefault="00022AEB" w:rsidP="00022AEB">
      <w:pPr>
        <w:pStyle w:val="af6"/>
      </w:pPr>
      <w:r w:rsidRPr="00022AEB">
        <w:t>18.</w:t>
      </w:r>
      <w:r w:rsidRPr="00022AEB">
        <w:tab/>
        <w:t xml:space="preserve">Miller, M. S. &amp; Agostinetti, N. P. Erosion of the continental lithosphere at the cusps of the Calabrian arc: Evidence from S receiver functions analysis. </w:t>
      </w:r>
      <w:r w:rsidRPr="00022AEB">
        <w:rPr>
          <w:i/>
          <w:iCs/>
        </w:rPr>
        <w:t>Geophys. Res. Lett.</w:t>
      </w:r>
      <w:r w:rsidRPr="00022AEB">
        <w:t xml:space="preserve"> </w:t>
      </w:r>
      <w:r w:rsidRPr="00022AEB">
        <w:rPr>
          <w:b/>
          <w:bCs/>
        </w:rPr>
        <w:t>38</w:t>
      </w:r>
      <w:r w:rsidRPr="00022AEB">
        <w:t>, (2011).</w:t>
      </w:r>
    </w:p>
    <w:p w14:paraId="1406F4F1" w14:textId="77777777" w:rsidR="00022AEB" w:rsidRPr="00022AEB" w:rsidRDefault="00022AEB" w:rsidP="00022AEB">
      <w:pPr>
        <w:pStyle w:val="af6"/>
      </w:pPr>
      <w:r w:rsidRPr="00022AEB">
        <w:t>19.</w:t>
      </w:r>
      <w:r w:rsidRPr="00022AEB">
        <w:tab/>
        <w:t xml:space="preserve">Sobel, E. R. </w:t>
      </w:r>
      <w:r w:rsidRPr="00022AEB">
        <w:rPr>
          <w:i/>
          <w:iCs/>
        </w:rPr>
        <w:t>et al.</w:t>
      </w:r>
      <w:r w:rsidRPr="00022AEB">
        <w:t xml:space="preserve"> Oceanic-style subduction controls late Cenozoic deformation of the Northern Pamir orogen. </w:t>
      </w:r>
      <w:r w:rsidRPr="00022AEB">
        <w:rPr>
          <w:i/>
          <w:iCs/>
        </w:rPr>
        <w:t>Earth Planet. Sci. Lett.</w:t>
      </w:r>
      <w:r w:rsidRPr="00022AEB">
        <w:t xml:space="preserve"> </w:t>
      </w:r>
      <w:r w:rsidRPr="00022AEB">
        <w:rPr>
          <w:b/>
          <w:bCs/>
        </w:rPr>
        <w:t>363</w:t>
      </w:r>
      <w:r w:rsidRPr="00022AEB">
        <w:t>, 204–218 (2013).</w:t>
      </w:r>
    </w:p>
    <w:p w14:paraId="69EF886E" w14:textId="77777777" w:rsidR="00022AEB" w:rsidRPr="00022AEB" w:rsidRDefault="00022AEB" w:rsidP="00022AEB">
      <w:pPr>
        <w:pStyle w:val="af6"/>
      </w:pPr>
      <w:r w:rsidRPr="00022AEB">
        <w:t>20.</w:t>
      </w:r>
      <w:r w:rsidRPr="00022AEB">
        <w:tab/>
        <w:t xml:space="preserve">Brink, U. ten. Vertical motions of the Puerto Rico Trench and Puerto Rico and their cause. </w:t>
      </w:r>
      <w:r w:rsidRPr="00022AEB">
        <w:rPr>
          <w:i/>
          <w:iCs/>
        </w:rPr>
        <w:t>J. Geophys. Res. Solid Earth</w:t>
      </w:r>
      <w:r w:rsidRPr="00022AEB">
        <w:t xml:space="preserve"> </w:t>
      </w:r>
      <w:r w:rsidRPr="00022AEB">
        <w:rPr>
          <w:b/>
          <w:bCs/>
        </w:rPr>
        <w:t>110</w:t>
      </w:r>
      <w:r w:rsidRPr="00022AEB">
        <w:t>, (2005).</w:t>
      </w:r>
    </w:p>
    <w:p w14:paraId="2551DDB9" w14:textId="77777777" w:rsidR="00022AEB" w:rsidRPr="00022AEB" w:rsidRDefault="00022AEB" w:rsidP="00022AEB">
      <w:pPr>
        <w:pStyle w:val="af6"/>
      </w:pPr>
      <w:r w:rsidRPr="00022AEB">
        <w:t>21.</w:t>
      </w:r>
      <w:r w:rsidRPr="00022AEB">
        <w:tab/>
        <w:t xml:space="preserve">Meighan, H. E., Pulliam, J., Brink, U. ten &amp; López‐Venegas, A. M. Seismic evidence for a slab tear at the Puerto Rico Trench. </w:t>
      </w:r>
      <w:r w:rsidRPr="00022AEB">
        <w:rPr>
          <w:i/>
          <w:iCs/>
        </w:rPr>
        <w:t>J. Geophys. Res. Solid Earth</w:t>
      </w:r>
      <w:r w:rsidRPr="00022AEB">
        <w:t xml:space="preserve"> </w:t>
      </w:r>
      <w:r w:rsidRPr="00022AEB">
        <w:rPr>
          <w:b/>
          <w:bCs/>
        </w:rPr>
        <w:t>118</w:t>
      </w:r>
      <w:r w:rsidRPr="00022AEB">
        <w:t xml:space="preserve">, </w:t>
      </w:r>
      <w:r w:rsidRPr="00022AEB">
        <w:lastRenderedPageBreak/>
        <w:t>2915–2923 (2013).</w:t>
      </w:r>
    </w:p>
    <w:p w14:paraId="50B3BC0D" w14:textId="77777777" w:rsidR="00022AEB" w:rsidRPr="00022AEB" w:rsidRDefault="00022AEB" w:rsidP="00022AEB">
      <w:pPr>
        <w:pStyle w:val="af6"/>
      </w:pPr>
      <w:r w:rsidRPr="00022AEB">
        <w:t>22.</w:t>
      </w:r>
      <w:r w:rsidRPr="00022AEB">
        <w:tab/>
        <w:t xml:space="preserve">Mancilla, F. de L. </w:t>
      </w:r>
      <w:r w:rsidRPr="00022AEB">
        <w:rPr>
          <w:i/>
          <w:iCs/>
        </w:rPr>
        <w:t>et al.</w:t>
      </w:r>
      <w:r w:rsidRPr="00022AEB">
        <w:t xml:space="preserve"> Slab rupture and delamination under the Betics and Rif constrained from receiver functions. </w:t>
      </w:r>
      <w:r w:rsidRPr="00022AEB">
        <w:rPr>
          <w:i/>
          <w:iCs/>
        </w:rPr>
        <w:t>Tectonophysics</w:t>
      </w:r>
      <w:r w:rsidRPr="00022AEB">
        <w:t xml:space="preserve"> </w:t>
      </w:r>
      <w:r w:rsidRPr="00022AEB">
        <w:rPr>
          <w:b/>
          <w:bCs/>
        </w:rPr>
        <w:t>663</w:t>
      </w:r>
      <w:r w:rsidRPr="00022AEB">
        <w:t>, 225–237 (2015).</w:t>
      </w:r>
    </w:p>
    <w:p w14:paraId="1A422142" w14:textId="77777777" w:rsidR="00022AEB" w:rsidRPr="00022AEB" w:rsidRDefault="00022AEB" w:rsidP="00022AEB">
      <w:pPr>
        <w:pStyle w:val="af6"/>
      </w:pPr>
      <w:r w:rsidRPr="00022AEB">
        <w:t>23.</w:t>
      </w:r>
      <w:r w:rsidRPr="00022AEB">
        <w:tab/>
        <w:t xml:space="preserve">Zhao, D., Fujisawa, M. &amp; Toyokuni, G. Tomography of the subducting Pacific slab and the 2015 Bonin deepest earthquake (Mw 7.9). </w:t>
      </w:r>
      <w:r w:rsidRPr="00022AEB">
        <w:rPr>
          <w:i/>
          <w:iCs/>
        </w:rPr>
        <w:t>Sci. Rep.</w:t>
      </w:r>
      <w:r w:rsidRPr="00022AEB">
        <w:t xml:space="preserve"> </w:t>
      </w:r>
      <w:r w:rsidRPr="00022AEB">
        <w:rPr>
          <w:b/>
          <w:bCs/>
        </w:rPr>
        <w:t>7</w:t>
      </w:r>
      <w:r w:rsidRPr="00022AEB">
        <w:t>, 44487 (2017).</w:t>
      </w:r>
    </w:p>
    <w:p w14:paraId="76028EFB" w14:textId="77777777" w:rsidR="00022AEB" w:rsidRPr="00022AEB" w:rsidRDefault="00022AEB" w:rsidP="00022AEB">
      <w:pPr>
        <w:pStyle w:val="af6"/>
      </w:pPr>
      <w:r w:rsidRPr="00022AEB">
        <w:t>24.</w:t>
      </w:r>
      <w:r w:rsidRPr="00022AEB">
        <w:tab/>
        <w:t xml:space="preserve">Kong, X. </w:t>
      </w:r>
      <w:r w:rsidRPr="00022AEB">
        <w:rPr>
          <w:i/>
          <w:iCs/>
        </w:rPr>
        <w:t>et al.</w:t>
      </w:r>
      <w:r w:rsidRPr="00022AEB">
        <w:t xml:space="preserve"> Causes of earthquake spatial distribution beneath the Izu-Bonin-Mariana Arc. </w:t>
      </w:r>
      <w:r w:rsidRPr="00022AEB">
        <w:rPr>
          <w:i/>
          <w:iCs/>
        </w:rPr>
        <w:t>J. Asian Earth Sci.</w:t>
      </w:r>
      <w:r w:rsidRPr="00022AEB">
        <w:t xml:space="preserve"> </w:t>
      </w:r>
      <w:r w:rsidRPr="00022AEB">
        <w:rPr>
          <w:b/>
          <w:bCs/>
        </w:rPr>
        <w:t>151</w:t>
      </w:r>
      <w:r w:rsidRPr="00022AEB">
        <w:t>, 90–100 (2018).</w:t>
      </w:r>
    </w:p>
    <w:p w14:paraId="5B342140" w14:textId="77777777" w:rsidR="00022AEB" w:rsidRPr="00022AEB" w:rsidRDefault="00022AEB" w:rsidP="00022AEB">
      <w:pPr>
        <w:pStyle w:val="af6"/>
      </w:pPr>
      <w:r w:rsidRPr="00022AEB">
        <w:t>25.</w:t>
      </w:r>
      <w:r w:rsidRPr="00022AEB">
        <w:tab/>
        <w:t xml:space="preserve">Leat, P. T. </w:t>
      </w:r>
      <w:r w:rsidRPr="00022AEB">
        <w:rPr>
          <w:i/>
          <w:iCs/>
        </w:rPr>
        <w:t>et al.</w:t>
      </w:r>
      <w:r w:rsidRPr="00022AEB">
        <w:t xml:space="preserve"> Magma genesis and mantle flow at a subducting slab edge: the South Sandwich arc-basin system. </w:t>
      </w:r>
      <w:r w:rsidRPr="00022AEB">
        <w:rPr>
          <w:i/>
          <w:iCs/>
        </w:rPr>
        <w:t>Earth Planet. Sci. Lett.</w:t>
      </w:r>
      <w:r w:rsidRPr="00022AEB">
        <w:t xml:space="preserve"> </w:t>
      </w:r>
      <w:r w:rsidRPr="00022AEB">
        <w:rPr>
          <w:b/>
          <w:bCs/>
        </w:rPr>
        <w:t>227</w:t>
      </w:r>
      <w:r w:rsidRPr="00022AEB">
        <w:t>, 17–35 (2004).</w:t>
      </w:r>
    </w:p>
    <w:p w14:paraId="79EC8E01" w14:textId="77777777" w:rsidR="00022AEB" w:rsidRPr="00022AEB" w:rsidRDefault="00022AEB" w:rsidP="00022AEB">
      <w:pPr>
        <w:pStyle w:val="af6"/>
      </w:pPr>
      <w:r w:rsidRPr="00022AEB">
        <w:t>26.</w:t>
      </w:r>
      <w:r w:rsidRPr="00022AEB">
        <w:tab/>
        <w:t xml:space="preserve">Liu, S. </w:t>
      </w:r>
      <w:r w:rsidRPr="00022AEB">
        <w:rPr>
          <w:i/>
          <w:iCs/>
        </w:rPr>
        <w:t>et al.</w:t>
      </w:r>
      <w:r w:rsidRPr="00022AEB">
        <w:t xml:space="preserve"> Slab Morphology Beneath Northern Sumatra Revealed by Regional and Teleseismic Traveltime Tomography. </w:t>
      </w:r>
      <w:r w:rsidRPr="00022AEB">
        <w:rPr>
          <w:i/>
          <w:iCs/>
        </w:rPr>
        <w:t>J. Geophys. Res. Solid Earth</w:t>
      </w:r>
      <w:r w:rsidRPr="00022AEB">
        <w:t xml:space="preserve"> </w:t>
      </w:r>
      <w:r w:rsidRPr="00022AEB">
        <w:rPr>
          <w:b/>
          <w:bCs/>
        </w:rPr>
        <w:t>124</w:t>
      </w:r>
      <w:r w:rsidRPr="00022AEB">
        <w:t>, 10544–10564 (2019).</w:t>
      </w:r>
    </w:p>
    <w:p w14:paraId="0310C2F0" w14:textId="77777777" w:rsidR="00022AEB" w:rsidRPr="00022AEB" w:rsidRDefault="00022AEB" w:rsidP="00022AEB">
      <w:pPr>
        <w:pStyle w:val="af6"/>
      </w:pPr>
      <w:r w:rsidRPr="00022AEB">
        <w:t>27.</w:t>
      </w:r>
      <w:r w:rsidRPr="00022AEB">
        <w:tab/>
        <w:t xml:space="preserve">Millen, D. W. &amp; Hamburger, M. W. Seismological evidence for tearing of the Pacific plate at the northern termination of the Tonga subduction zone. </w:t>
      </w:r>
      <w:r w:rsidRPr="00022AEB">
        <w:rPr>
          <w:i/>
          <w:iCs/>
        </w:rPr>
        <w:t>Geology</w:t>
      </w:r>
      <w:r w:rsidRPr="00022AEB">
        <w:t xml:space="preserve"> </w:t>
      </w:r>
      <w:r w:rsidRPr="00022AEB">
        <w:rPr>
          <w:b/>
          <w:bCs/>
        </w:rPr>
        <w:t>26</w:t>
      </w:r>
      <w:r w:rsidRPr="00022AEB">
        <w:t>, 659–662 (1998).</w:t>
      </w:r>
    </w:p>
    <w:p w14:paraId="35132D5B" w14:textId="77777777" w:rsidR="00022AEB" w:rsidRPr="00022AEB" w:rsidRDefault="00022AEB" w:rsidP="00022AEB">
      <w:pPr>
        <w:pStyle w:val="af6"/>
      </w:pPr>
      <w:r w:rsidRPr="00022AEB">
        <w:t>28.</w:t>
      </w:r>
      <w:r w:rsidRPr="00022AEB">
        <w:tab/>
        <w:t xml:space="preserve">Harris, C. W., Miller, M. S. &amp; Porritt, R. W. Tomographic Imaging of Slab Segmentation and Deformation in the Greater Antilles. </w:t>
      </w:r>
      <w:r w:rsidRPr="00022AEB">
        <w:rPr>
          <w:i/>
          <w:iCs/>
        </w:rPr>
        <w:t>Geochem. Geophys. Geosystems</w:t>
      </w:r>
      <w:r w:rsidRPr="00022AEB">
        <w:t xml:space="preserve"> </w:t>
      </w:r>
      <w:r w:rsidRPr="00022AEB">
        <w:rPr>
          <w:b/>
          <w:bCs/>
        </w:rPr>
        <w:t>19</w:t>
      </w:r>
      <w:r w:rsidRPr="00022AEB">
        <w:t>, 2292–2307 (2018).</w:t>
      </w:r>
    </w:p>
    <w:p w14:paraId="3BBFD06E" w14:textId="77777777" w:rsidR="00022AEB" w:rsidRPr="00022AEB" w:rsidRDefault="00022AEB" w:rsidP="00022AEB">
      <w:pPr>
        <w:pStyle w:val="af6"/>
      </w:pPr>
      <w:r w:rsidRPr="00022AEB">
        <w:t>29.</w:t>
      </w:r>
      <w:r w:rsidRPr="00022AEB">
        <w:tab/>
        <w:t xml:space="preserve">Braszus, B. </w:t>
      </w:r>
      <w:r w:rsidRPr="00022AEB">
        <w:rPr>
          <w:i/>
          <w:iCs/>
        </w:rPr>
        <w:t>et al.</w:t>
      </w:r>
      <w:r w:rsidRPr="00022AEB">
        <w:t xml:space="preserve"> Subduction history of the Caribbean from upper-mantle seismic imaging and plate reconstruction. </w:t>
      </w:r>
      <w:r w:rsidRPr="00022AEB">
        <w:rPr>
          <w:i/>
          <w:iCs/>
        </w:rPr>
        <w:t>Nat. Commun.</w:t>
      </w:r>
      <w:r w:rsidRPr="00022AEB">
        <w:t xml:space="preserve"> </w:t>
      </w:r>
      <w:r w:rsidRPr="00022AEB">
        <w:rPr>
          <w:b/>
          <w:bCs/>
        </w:rPr>
        <w:t>12</w:t>
      </w:r>
      <w:r w:rsidRPr="00022AEB">
        <w:t>, 4211 (2021).</w:t>
      </w:r>
    </w:p>
    <w:p w14:paraId="48ABEAAC" w14:textId="77777777" w:rsidR="00022AEB" w:rsidRPr="00022AEB" w:rsidRDefault="00022AEB" w:rsidP="00022AEB">
      <w:pPr>
        <w:pStyle w:val="af6"/>
      </w:pPr>
      <w:r w:rsidRPr="00022AEB">
        <w:t>30.</w:t>
      </w:r>
      <w:r w:rsidRPr="00022AEB">
        <w:tab/>
        <w:t xml:space="preserve">Biryol, C. B., Beck, S. L., Zandt, G. &amp; Özacar, A. A. Segmented African lithosphere beneath the Anatolian region inferred from teleseismic P-wave tomography. </w:t>
      </w:r>
      <w:r w:rsidRPr="00022AEB">
        <w:rPr>
          <w:i/>
          <w:iCs/>
        </w:rPr>
        <w:t>Geophys. J. Int.</w:t>
      </w:r>
      <w:r w:rsidRPr="00022AEB">
        <w:t xml:space="preserve"> </w:t>
      </w:r>
      <w:r w:rsidRPr="00022AEB">
        <w:rPr>
          <w:b/>
          <w:bCs/>
        </w:rPr>
        <w:t>184</w:t>
      </w:r>
      <w:r w:rsidRPr="00022AEB">
        <w:t>, 1037–1057 (2011).</w:t>
      </w:r>
    </w:p>
    <w:p w14:paraId="065692BE" w14:textId="77777777" w:rsidR="00022AEB" w:rsidRPr="00022AEB" w:rsidRDefault="00022AEB" w:rsidP="00022AEB">
      <w:pPr>
        <w:pStyle w:val="af6"/>
      </w:pPr>
      <w:r w:rsidRPr="00022AEB">
        <w:t>31.</w:t>
      </w:r>
      <w:r w:rsidRPr="00022AEB">
        <w:tab/>
        <w:t xml:space="preserve">Salaün, G. </w:t>
      </w:r>
      <w:r w:rsidRPr="00022AEB">
        <w:rPr>
          <w:i/>
          <w:iCs/>
        </w:rPr>
        <w:t>et al.</w:t>
      </w:r>
      <w:r w:rsidRPr="00022AEB">
        <w:t xml:space="preserve"> High-resolution surface wave tomography beneath the Aegean-Anatolia region: constraints on upper-mantle structure. </w:t>
      </w:r>
      <w:r w:rsidRPr="00022AEB">
        <w:rPr>
          <w:i/>
          <w:iCs/>
        </w:rPr>
        <w:t>Geophys. J. Int.</w:t>
      </w:r>
      <w:r w:rsidRPr="00022AEB">
        <w:t xml:space="preserve"> </w:t>
      </w:r>
      <w:r w:rsidRPr="00022AEB">
        <w:rPr>
          <w:b/>
          <w:bCs/>
        </w:rPr>
        <w:t>190</w:t>
      </w:r>
      <w:r w:rsidRPr="00022AEB">
        <w:t>, 406–420 (2012).</w:t>
      </w:r>
    </w:p>
    <w:p w14:paraId="424836B9" w14:textId="77777777" w:rsidR="00022AEB" w:rsidRPr="00022AEB" w:rsidRDefault="00022AEB" w:rsidP="00022AEB">
      <w:pPr>
        <w:pStyle w:val="af6"/>
      </w:pPr>
      <w:r w:rsidRPr="00022AEB">
        <w:t>32.</w:t>
      </w:r>
      <w:r w:rsidRPr="00022AEB">
        <w:tab/>
        <w:t xml:space="preserve">Vargas, C. A. &amp; Mann, P. Tearing and Breaking Off of Subducted Slabs as the Result of Collision of the Panama Arc‐Indenter with Northwestern South America. </w:t>
      </w:r>
      <w:r w:rsidRPr="00022AEB">
        <w:rPr>
          <w:i/>
          <w:iCs/>
        </w:rPr>
        <w:t xml:space="preserve">Bull. </w:t>
      </w:r>
      <w:r w:rsidRPr="00022AEB">
        <w:rPr>
          <w:i/>
          <w:iCs/>
        </w:rPr>
        <w:lastRenderedPageBreak/>
        <w:t>Seismol. Soc. Am.</w:t>
      </w:r>
      <w:r w:rsidRPr="00022AEB">
        <w:t xml:space="preserve"> </w:t>
      </w:r>
      <w:r w:rsidRPr="00022AEB">
        <w:rPr>
          <w:b/>
          <w:bCs/>
        </w:rPr>
        <w:t>103</w:t>
      </w:r>
      <w:r w:rsidRPr="00022AEB">
        <w:t>, 2025–2046 (2013).</w:t>
      </w:r>
    </w:p>
    <w:p w14:paraId="67683DC8" w14:textId="77777777" w:rsidR="00022AEB" w:rsidRPr="00022AEB" w:rsidRDefault="00022AEB" w:rsidP="00022AEB">
      <w:pPr>
        <w:pStyle w:val="af6"/>
      </w:pPr>
      <w:r w:rsidRPr="00022AEB">
        <w:t>33.</w:t>
      </w:r>
      <w:r w:rsidRPr="00022AEB">
        <w:tab/>
        <w:t xml:space="preserve">Wagner, L. S. </w:t>
      </w:r>
      <w:r w:rsidRPr="00022AEB">
        <w:rPr>
          <w:i/>
          <w:iCs/>
        </w:rPr>
        <w:t>et al.</w:t>
      </w:r>
      <w:r w:rsidRPr="00022AEB">
        <w:t xml:space="preserve"> Transient slab flattening beneath Colombia. </w:t>
      </w:r>
      <w:r w:rsidRPr="00022AEB">
        <w:rPr>
          <w:i/>
          <w:iCs/>
        </w:rPr>
        <w:t>Geophys. Res. Lett.</w:t>
      </w:r>
      <w:r w:rsidRPr="00022AEB">
        <w:t xml:space="preserve"> </w:t>
      </w:r>
      <w:r w:rsidRPr="00022AEB">
        <w:rPr>
          <w:b/>
          <w:bCs/>
        </w:rPr>
        <w:t>44</w:t>
      </w:r>
      <w:r w:rsidRPr="00022AEB">
        <w:t>, 6616–6623 (2017).</w:t>
      </w:r>
    </w:p>
    <w:p w14:paraId="2517150C" w14:textId="77777777" w:rsidR="00022AEB" w:rsidRPr="00022AEB" w:rsidRDefault="00022AEB" w:rsidP="00022AEB">
      <w:pPr>
        <w:pStyle w:val="af6"/>
      </w:pPr>
      <w:r w:rsidRPr="00022AEB">
        <w:t>34.</w:t>
      </w:r>
      <w:r w:rsidRPr="00022AEB">
        <w:tab/>
        <w:t xml:space="preserve">Spakman, W., Chertova, M. V., van den Berg, A. &amp; van Hinsbergen, D. J. J. Puzzling features of western Mediterranean tectonics explained by slab dragging. </w:t>
      </w:r>
      <w:r w:rsidRPr="00022AEB">
        <w:rPr>
          <w:i/>
          <w:iCs/>
        </w:rPr>
        <w:t>Nat. Geosci.</w:t>
      </w:r>
      <w:r w:rsidRPr="00022AEB">
        <w:t xml:space="preserve"> </w:t>
      </w:r>
      <w:r w:rsidRPr="00022AEB">
        <w:rPr>
          <w:b/>
          <w:bCs/>
        </w:rPr>
        <w:t>11</w:t>
      </w:r>
      <w:r w:rsidRPr="00022AEB">
        <w:t>, 211–216 (2018).</w:t>
      </w:r>
    </w:p>
    <w:p w14:paraId="018F3CB6" w14:textId="77777777" w:rsidR="00022AEB" w:rsidRPr="00022AEB" w:rsidRDefault="00022AEB" w:rsidP="00022AEB">
      <w:pPr>
        <w:pStyle w:val="af6"/>
      </w:pPr>
      <w:r w:rsidRPr="00022AEB">
        <w:t>35.</w:t>
      </w:r>
      <w:r w:rsidRPr="00022AEB">
        <w:tab/>
        <w:t xml:space="preserve">Clark, S. A. </w:t>
      </w:r>
      <w:r w:rsidRPr="00022AEB">
        <w:rPr>
          <w:i/>
          <w:iCs/>
        </w:rPr>
        <w:t>et al.</w:t>
      </w:r>
      <w:r w:rsidRPr="00022AEB">
        <w:t xml:space="preserve"> Identification and tectonic implications of a tear in the South American plate at the southern end of the Lesser Antilles. </w:t>
      </w:r>
      <w:r w:rsidRPr="00022AEB">
        <w:rPr>
          <w:i/>
          <w:iCs/>
        </w:rPr>
        <w:t>Geochem. Geophys. Geosystems</w:t>
      </w:r>
      <w:r w:rsidRPr="00022AEB">
        <w:t xml:space="preserve"> </w:t>
      </w:r>
      <w:r w:rsidRPr="00022AEB">
        <w:rPr>
          <w:b/>
          <w:bCs/>
        </w:rPr>
        <w:t>9</w:t>
      </w:r>
      <w:r w:rsidRPr="00022AEB">
        <w:t>, (2008).</w:t>
      </w:r>
    </w:p>
    <w:p w14:paraId="6F18D34D" w14:textId="77777777" w:rsidR="00022AEB" w:rsidRPr="00022AEB" w:rsidRDefault="00022AEB" w:rsidP="00022AEB">
      <w:pPr>
        <w:pStyle w:val="af6"/>
      </w:pPr>
      <w:r w:rsidRPr="00022AEB">
        <w:t>36.</w:t>
      </w:r>
      <w:r w:rsidRPr="00022AEB">
        <w:tab/>
        <w:t xml:space="preserve">Gvirtzman, Z. &amp; Stern, R. J. Bathymetry of Mariana trench-arc system and formation of the Challenger Deep as a consequence of weak plate coupling. </w:t>
      </w:r>
      <w:r w:rsidRPr="00022AEB">
        <w:rPr>
          <w:i/>
          <w:iCs/>
        </w:rPr>
        <w:t>Tectonics</w:t>
      </w:r>
      <w:r w:rsidRPr="00022AEB">
        <w:t xml:space="preserve"> </w:t>
      </w:r>
      <w:r w:rsidRPr="00022AEB">
        <w:rPr>
          <w:b/>
          <w:bCs/>
        </w:rPr>
        <w:t>23</w:t>
      </w:r>
      <w:r w:rsidRPr="00022AEB">
        <w:t>, (2004).</w:t>
      </w:r>
    </w:p>
    <w:p w14:paraId="266F323A" w14:textId="77777777" w:rsidR="00022AEB" w:rsidRPr="00022AEB" w:rsidRDefault="00022AEB" w:rsidP="00022AEB">
      <w:pPr>
        <w:pStyle w:val="af6"/>
      </w:pPr>
      <w:r w:rsidRPr="00022AEB">
        <w:t>37.</w:t>
      </w:r>
      <w:r w:rsidRPr="00022AEB">
        <w:tab/>
        <w:t xml:space="preserve">Govers, R. &amp; Wortel, M. J. R. Lithosphere tearing at STEP faults: response to edges of subduction zones. </w:t>
      </w:r>
      <w:r w:rsidRPr="00022AEB">
        <w:rPr>
          <w:i/>
          <w:iCs/>
        </w:rPr>
        <w:t>Earth Planet. Sci. Lett.</w:t>
      </w:r>
      <w:r w:rsidRPr="00022AEB">
        <w:t xml:space="preserve"> </w:t>
      </w:r>
      <w:r w:rsidRPr="00022AEB">
        <w:rPr>
          <w:b/>
          <w:bCs/>
        </w:rPr>
        <w:t>236</w:t>
      </w:r>
      <w:r w:rsidRPr="00022AEB">
        <w:t>, 505–523 (2005).</w:t>
      </w:r>
    </w:p>
    <w:p w14:paraId="12E6A6D3" w14:textId="77777777" w:rsidR="00022AEB" w:rsidRPr="00022AEB" w:rsidRDefault="00022AEB" w:rsidP="00022AEB">
      <w:pPr>
        <w:pStyle w:val="af6"/>
      </w:pPr>
      <w:r w:rsidRPr="00022AEB">
        <w:t>38.</w:t>
      </w:r>
      <w:r w:rsidRPr="00022AEB">
        <w:tab/>
        <w:t xml:space="preserve">Neely, J. S. &amp; Furlong, K. P. Evidence of displacement-driven maturation along the San Cristobal Trough transform plate boundary. </w:t>
      </w:r>
      <w:r w:rsidRPr="00022AEB">
        <w:rPr>
          <w:i/>
          <w:iCs/>
        </w:rPr>
        <w:t>Earth Planet. Sci. Lett.</w:t>
      </w:r>
      <w:r w:rsidRPr="00022AEB">
        <w:t xml:space="preserve"> </w:t>
      </w:r>
      <w:r w:rsidRPr="00022AEB">
        <w:rPr>
          <w:b/>
          <w:bCs/>
        </w:rPr>
        <w:t>485</w:t>
      </w:r>
      <w:r w:rsidRPr="00022AEB">
        <w:t>, 88–98 (2018).</w:t>
      </w:r>
    </w:p>
    <w:p w14:paraId="359AB8A1" w14:textId="77777777" w:rsidR="00022AEB" w:rsidRPr="00022AEB" w:rsidRDefault="00022AEB" w:rsidP="00022AEB">
      <w:pPr>
        <w:pStyle w:val="af6"/>
      </w:pPr>
      <w:r w:rsidRPr="00022AEB">
        <w:t>39.</w:t>
      </w:r>
      <w:r w:rsidRPr="00022AEB">
        <w:tab/>
        <w:t xml:space="preserve">Martin, A. K. Concave slab out board of the Tonga subduction zone caused by opposite toroidal flows under the North Fiji Basin. </w:t>
      </w:r>
      <w:r w:rsidRPr="00022AEB">
        <w:rPr>
          <w:i/>
          <w:iCs/>
        </w:rPr>
        <w:t>Tectonophysics</w:t>
      </w:r>
      <w:r w:rsidRPr="00022AEB">
        <w:t xml:space="preserve"> </w:t>
      </w:r>
      <w:r w:rsidRPr="00022AEB">
        <w:rPr>
          <w:b/>
          <w:bCs/>
        </w:rPr>
        <w:t>622</w:t>
      </w:r>
      <w:r w:rsidRPr="00022AEB">
        <w:t>, 56–61 (2014).</w:t>
      </w:r>
    </w:p>
    <w:p w14:paraId="0BA9D960" w14:textId="77777777" w:rsidR="00022AEB" w:rsidRPr="00022AEB" w:rsidRDefault="00022AEB" w:rsidP="00022AEB">
      <w:pPr>
        <w:pStyle w:val="af6"/>
      </w:pPr>
      <w:r w:rsidRPr="00022AEB">
        <w:t>40.</w:t>
      </w:r>
      <w:r w:rsidRPr="00022AEB">
        <w:tab/>
        <w:t xml:space="preserve">Gutscher, M.-A. </w:t>
      </w:r>
      <w:r w:rsidRPr="00022AEB">
        <w:rPr>
          <w:i/>
          <w:iCs/>
        </w:rPr>
        <w:t>et al.</w:t>
      </w:r>
      <w:r w:rsidRPr="00022AEB">
        <w:t xml:space="preserve"> Tectonic expression of an active slab tear from high-resolution seismic and bathymetric data offshore Sicily (Ionian Sea). </w:t>
      </w:r>
      <w:r w:rsidRPr="00022AEB">
        <w:rPr>
          <w:i/>
          <w:iCs/>
        </w:rPr>
        <w:t>Tectonics</w:t>
      </w:r>
      <w:r w:rsidRPr="00022AEB">
        <w:t xml:space="preserve"> </w:t>
      </w:r>
      <w:r w:rsidRPr="00022AEB">
        <w:rPr>
          <w:b/>
          <w:bCs/>
        </w:rPr>
        <w:t>35</w:t>
      </w:r>
      <w:r w:rsidRPr="00022AEB">
        <w:t>, 39–54 (2016).</w:t>
      </w:r>
    </w:p>
    <w:p w14:paraId="0E04E609" w14:textId="77777777" w:rsidR="00022AEB" w:rsidRPr="00022AEB" w:rsidRDefault="00022AEB" w:rsidP="00022AEB">
      <w:pPr>
        <w:pStyle w:val="af6"/>
      </w:pPr>
      <w:r w:rsidRPr="00022AEB">
        <w:t>41.</w:t>
      </w:r>
      <w:r w:rsidRPr="00022AEB">
        <w:tab/>
        <w:t xml:space="preserve">Scarfì, L. </w:t>
      </w:r>
      <w:r w:rsidRPr="00022AEB">
        <w:rPr>
          <w:i/>
          <w:iCs/>
        </w:rPr>
        <w:t>et al.</w:t>
      </w:r>
      <w:r w:rsidRPr="00022AEB">
        <w:t xml:space="preserve"> Slab narrowing in the Central Mediterranean: the Calabro-Ionian subduction zone as imaged by high resolution seismic tomography. </w:t>
      </w:r>
      <w:r w:rsidRPr="00022AEB">
        <w:rPr>
          <w:i/>
          <w:iCs/>
        </w:rPr>
        <w:t>Sci. Rep.</w:t>
      </w:r>
      <w:r w:rsidRPr="00022AEB">
        <w:t xml:space="preserve"> </w:t>
      </w:r>
      <w:r w:rsidRPr="00022AEB">
        <w:rPr>
          <w:b/>
          <w:bCs/>
        </w:rPr>
        <w:t>8</w:t>
      </w:r>
      <w:r w:rsidRPr="00022AEB">
        <w:t>, 5178 (2018).</w:t>
      </w:r>
    </w:p>
    <w:p w14:paraId="6CF9968C" w14:textId="77777777" w:rsidR="00022AEB" w:rsidRPr="00022AEB" w:rsidRDefault="00022AEB" w:rsidP="00022AEB">
      <w:pPr>
        <w:pStyle w:val="af6"/>
      </w:pPr>
      <w:r w:rsidRPr="00022AEB">
        <w:t>42.</w:t>
      </w:r>
      <w:r w:rsidRPr="00022AEB">
        <w:tab/>
        <w:t xml:space="preserve">Reyners, M. The central role of the Hikurangi Plateau in the Cenozoic tectonics of New Zealand and the Southwest Pacific. </w:t>
      </w:r>
      <w:r w:rsidRPr="00022AEB">
        <w:rPr>
          <w:i/>
          <w:iCs/>
        </w:rPr>
        <w:t>Earth Planet. Sci. Lett.</w:t>
      </w:r>
      <w:r w:rsidRPr="00022AEB">
        <w:t xml:space="preserve"> </w:t>
      </w:r>
      <w:r w:rsidRPr="00022AEB">
        <w:rPr>
          <w:b/>
          <w:bCs/>
        </w:rPr>
        <w:t>361</w:t>
      </w:r>
      <w:r w:rsidRPr="00022AEB">
        <w:t>, 460–468 (2013).</w:t>
      </w:r>
    </w:p>
    <w:p w14:paraId="3E116A4D" w14:textId="77777777" w:rsidR="00022AEB" w:rsidRPr="00022AEB" w:rsidRDefault="00022AEB" w:rsidP="00022AEB">
      <w:pPr>
        <w:pStyle w:val="af6"/>
      </w:pPr>
      <w:r w:rsidRPr="00022AEB">
        <w:t>43.</w:t>
      </w:r>
      <w:r w:rsidRPr="00022AEB">
        <w:tab/>
        <w:t xml:space="preserve">Yogodzinski, G. M. </w:t>
      </w:r>
      <w:r w:rsidRPr="00022AEB">
        <w:rPr>
          <w:i/>
          <w:iCs/>
        </w:rPr>
        <w:t>et al.</w:t>
      </w:r>
      <w:r w:rsidRPr="00022AEB">
        <w:t xml:space="preserve"> Geochemical evidence for the melting of subducting </w:t>
      </w:r>
      <w:r w:rsidRPr="00022AEB">
        <w:lastRenderedPageBreak/>
        <w:t xml:space="preserve">oceanic lithosphere at plate edges. </w:t>
      </w:r>
      <w:r w:rsidRPr="00022AEB">
        <w:rPr>
          <w:i/>
          <w:iCs/>
        </w:rPr>
        <w:t>Nature</w:t>
      </w:r>
      <w:r w:rsidRPr="00022AEB">
        <w:t xml:space="preserve"> </w:t>
      </w:r>
      <w:r w:rsidRPr="00022AEB">
        <w:rPr>
          <w:b/>
          <w:bCs/>
        </w:rPr>
        <w:t>409</w:t>
      </w:r>
      <w:r w:rsidRPr="00022AEB">
        <w:t>, 500–504 (2001).</w:t>
      </w:r>
    </w:p>
    <w:p w14:paraId="3D27E61D" w14:textId="77777777" w:rsidR="00022AEB" w:rsidRPr="00022AEB" w:rsidRDefault="00022AEB" w:rsidP="00022AEB">
      <w:pPr>
        <w:pStyle w:val="af6"/>
      </w:pPr>
      <w:r w:rsidRPr="00022AEB">
        <w:t>44.</w:t>
      </w:r>
      <w:r w:rsidRPr="00022AEB">
        <w:tab/>
        <w:t xml:space="preserve">Levin, V., Shapiro, N. M., Park, J. &amp; Ritzwoller, M. H. Slab portal beneath the western Aleutians. </w:t>
      </w:r>
      <w:r w:rsidRPr="00022AEB">
        <w:rPr>
          <w:i/>
          <w:iCs/>
        </w:rPr>
        <w:t>Geology</w:t>
      </w:r>
      <w:r w:rsidRPr="00022AEB">
        <w:t xml:space="preserve"> </w:t>
      </w:r>
      <w:r w:rsidRPr="00022AEB">
        <w:rPr>
          <w:b/>
          <w:bCs/>
        </w:rPr>
        <w:t>33</w:t>
      </w:r>
      <w:r w:rsidRPr="00022AEB">
        <w:t>, 253–256 (2005).</w:t>
      </w:r>
    </w:p>
    <w:p w14:paraId="3EB3ADB8" w14:textId="77777777" w:rsidR="00022AEB" w:rsidRPr="00022AEB" w:rsidRDefault="00022AEB" w:rsidP="00022AEB">
      <w:pPr>
        <w:pStyle w:val="af6"/>
      </w:pPr>
      <w:r w:rsidRPr="00022AEB">
        <w:t>45.</w:t>
      </w:r>
      <w:r w:rsidRPr="00022AEB">
        <w:tab/>
        <w:t xml:space="preserve">Lin, J.-Y., Hsu, S.-K. &amp; Sibuet, J.-C. Melting features along the western Ryukyu slab edge (northeast Taiwan): Tomographic evidence. </w:t>
      </w:r>
      <w:r w:rsidRPr="00022AEB">
        <w:rPr>
          <w:i/>
          <w:iCs/>
        </w:rPr>
        <w:t>J. Geophys. Res. Solid Earth</w:t>
      </w:r>
      <w:r w:rsidRPr="00022AEB">
        <w:t xml:space="preserve"> </w:t>
      </w:r>
      <w:r w:rsidRPr="00022AEB">
        <w:rPr>
          <w:b/>
          <w:bCs/>
        </w:rPr>
        <w:t>109</w:t>
      </w:r>
      <w:r w:rsidRPr="00022AEB">
        <w:t>, (2004).</w:t>
      </w:r>
    </w:p>
    <w:p w14:paraId="0C9E3B11" w14:textId="0E1C34C1" w:rsidR="009D2446" w:rsidRPr="009D2446" w:rsidRDefault="009D2446" w:rsidP="009D2446">
      <w:pPr>
        <w:rPr>
          <w:rFonts w:eastAsia="等线"/>
        </w:rPr>
      </w:pPr>
      <w:r>
        <w:rPr>
          <w:rFonts w:eastAsia="等线"/>
        </w:rPr>
        <w:fldChar w:fldCharType="end"/>
      </w:r>
    </w:p>
    <w:sectPr w:rsidR="009D2446" w:rsidRPr="009D2446" w:rsidSect="00BD1321">
      <w:pgSz w:w="11906" w:h="16838"/>
      <w:pgMar w:top="1440" w:right="1800" w:bottom="1440" w:left="1800" w:header="851" w:footer="992" w:gutter="0"/>
      <w:lnNumType w:countBy="1" w:restart="continuous"/>
      <w:cols w:space="425"/>
      <w:docGrid w:type="lines"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6921F26" w14:textId="77777777" w:rsidR="000254BF" w:rsidRDefault="000254BF" w:rsidP="00B07DCE">
      <w:r>
        <w:separator/>
      </w:r>
    </w:p>
  </w:endnote>
  <w:endnote w:type="continuationSeparator" w:id="0">
    <w:p w14:paraId="567B82AA" w14:textId="77777777" w:rsidR="000254BF" w:rsidRDefault="000254BF" w:rsidP="00B07DC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 w:name="Times New Roman (标题 CS)">
    <w:altName w:val="宋体"/>
    <w:panose1 w:val="00000000000000000000"/>
    <w:charset w:val="86"/>
    <w:family w:val="roman"/>
    <w:notTrueType/>
    <w:pitch w:val="default"/>
  </w:font>
  <w:font w:name="等线 Light">
    <w:panose1 w:val="02010600030101010101"/>
    <w:charset w:val="86"/>
    <w:family w:val="auto"/>
    <w:pitch w:val="variable"/>
    <w:sig w:usb0="A00002BF" w:usb1="38CF7CFA" w:usb2="00000016" w:usb3="00000000" w:csb0="0004000F" w:csb1="00000000"/>
  </w:font>
  <w:font w:name="Cambria Math">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72D57B7" w14:textId="77777777" w:rsidR="000254BF" w:rsidRDefault="000254BF" w:rsidP="00B07DCE">
      <w:r>
        <w:separator/>
      </w:r>
    </w:p>
  </w:footnote>
  <w:footnote w:type="continuationSeparator" w:id="0">
    <w:p w14:paraId="6A3A5E5B" w14:textId="77777777" w:rsidR="000254BF" w:rsidRDefault="000254BF" w:rsidP="00B07DC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2EA4A718"/>
    <w:lvl w:ilvl="0">
      <w:start w:val="1"/>
      <w:numFmt w:val="decimal"/>
      <w:lvlText w:val="%1."/>
      <w:lvlJc w:val="left"/>
      <w:pPr>
        <w:tabs>
          <w:tab w:val="num" w:pos="2040"/>
        </w:tabs>
        <w:ind w:leftChars="800" w:left="2040" w:hangingChars="200" w:hanging="360"/>
      </w:pPr>
    </w:lvl>
  </w:abstractNum>
  <w:abstractNum w:abstractNumId="1" w15:restartNumberingAfterBreak="0">
    <w:nsid w:val="FFFFFF7D"/>
    <w:multiLevelType w:val="singleLevel"/>
    <w:tmpl w:val="B62C5452"/>
    <w:lvl w:ilvl="0">
      <w:start w:val="1"/>
      <w:numFmt w:val="decimal"/>
      <w:lvlText w:val="%1."/>
      <w:lvlJc w:val="left"/>
      <w:pPr>
        <w:tabs>
          <w:tab w:val="num" w:pos="1620"/>
        </w:tabs>
        <w:ind w:leftChars="600" w:left="1620" w:hangingChars="200" w:hanging="360"/>
      </w:pPr>
    </w:lvl>
  </w:abstractNum>
  <w:abstractNum w:abstractNumId="2" w15:restartNumberingAfterBreak="0">
    <w:nsid w:val="FFFFFF7E"/>
    <w:multiLevelType w:val="singleLevel"/>
    <w:tmpl w:val="69DC803E"/>
    <w:lvl w:ilvl="0">
      <w:start w:val="1"/>
      <w:numFmt w:val="decimal"/>
      <w:lvlText w:val="%1."/>
      <w:lvlJc w:val="left"/>
      <w:pPr>
        <w:tabs>
          <w:tab w:val="num" w:pos="1200"/>
        </w:tabs>
        <w:ind w:leftChars="400" w:left="1200" w:hangingChars="200" w:hanging="360"/>
      </w:pPr>
    </w:lvl>
  </w:abstractNum>
  <w:abstractNum w:abstractNumId="3" w15:restartNumberingAfterBreak="0">
    <w:nsid w:val="FFFFFF7F"/>
    <w:multiLevelType w:val="singleLevel"/>
    <w:tmpl w:val="4F9EE520"/>
    <w:lvl w:ilvl="0">
      <w:start w:val="1"/>
      <w:numFmt w:val="decimal"/>
      <w:lvlText w:val="%1."/>
      <w:lvlJc w:val="left"/>
      <w:pPr>
        <w:tabs>
          <w:tab w:val="num" w:pos="780"/>
        </w:tabs>
        <w:ind w:leftChars="200" w:left="780" w:hangingChars="200" w:hanging="360"/>
      </w:pPr>
    </w:lvl>
  </w:abstractNum>
  <w:abstractNum w:abstractNumId="4" w15:restartNumberingAfterBreak="0">
    <w:nsid w:val="FFFFFF80"/>
    <w:multiLevelType w:val="singleLevel"/>
    <w:tmpl w:val="697AFEA4"/>
    <w:lvl w:ilvl="0">
      <w:start w:val="1"/>
      <w:numFmt w:val="bullet"/>
      <w:lvlText w:val=""/>
      <w:lvlJc w:val="left"/>
      <w:pPr>
        <w:tabs>
          <w:tab w:val="num" w:pos="2040"/>
        </w:tabs>
        <w:ind w:leftChars="800" w:left="2040" w:hangingChars="200" w:hanging="360"/>
      </w:pPr>
      <w:rPr>
        <w:rFonts w:ascii="Wingdings" w:hAnsi="Wingdings" w:hint="default"/>
      </w:rPr>
    </w:lvl>
  </w:abstractNum>
  <w:abstractNum w:abstractNumId="5" w15:restartNumberingAfterBreak="0">
    <w:nsid w:val="FFFFFF81"/>
    <w:multiLevelType w:val="singleLevel"/>
    <w:tmpl w:val="92D20A34"/>
    <w:lvl w:ilvl="0">
      <w:start w:val="1"/>
      <w:numFmt w:val="bullet"/>
      <w:lvlText w:val=""/>
      <w:lvlJc w:val="left"/>
      <w:pPr>
        <w:tabs>
          <w:tab w:val="num" w:pos="1620"/>
        </w:tabs>
        <w:ind w:leftChars="600" w:left="1620" w:hangingChars="200" w:hanging="360"/>
      </w:pPr>
      <w:rPr>
        <w:rFonts w:ascii="Wingdings" w:hAnsi="Wingdings" w:hint="default"/>
      </w:rPr>
    </w:lvl>
  </w:abstractNum>
  <w:abstractNum w:abstractNumId="6" w15:restartNumberingAfterBreak="0">
    <w:nsid w:val="FFFFFF82"/>
    <w:multiLevelType w:val="singleLevel"/>
    <w:tmpl w:val="C6B0CBE8"/>
    <w:lvl w:ilvl="0">
      <w:start w:val="1"/>
      <w:numFmt w:val="bullet"/>
      <w:lvlText w:val=""/>
      <w:lvlJc w:val="left"/>
      <w:pPr>
        <w:tabs>
          <w:tab w:val="num" w:pos="1200"/>
        </w:tabs>
        <w:ind w:leftChars="400" w:left="1200" w:hangingChars="200" w:hanging="360"/>
      </w:pPr>
      <w:rPr>
        <w:rFonts w:ascii="Wingdings" w:hAnsi="Wingdings" w:hint="default"/>
      </w:rPr>
    </w:lvl>
  </w:abstractNum>
  <w:abstractNum w:abstractNumId="7" w15:restartNumberingAfterBreak="0">
    <w:nsid w:val="FFFFFF83"/>
    <w:multiLevelType w:val="singleLevel"/>
    <w:tmpl w:val="1D00E0EC"/>
    <w:lvl w:ilvl="0">
      <w:start w:val="1"/>
      <w:numFmt w:val="bullet"/>
      <w:lvlText w:val=""/>
      <w:lvlJc w:val="left"/>
      <w:pPr>
        <w:tabs>
          <w:tab w:val="num" w:pos="780"/>
        </w:tabs>
        <w:ind w:leftChars="200" w:left="780" w:hangingChars="200" w:hanging="360"/>
      </w:pPr>
      <w:rPr>
        <w:rFonts w:ascii="Wingdings" w:hAnsi="Wingdings" w:hint="default"/>
      </w:rPr>
    </w:lvl>
  </w:abstractNum>
  <w:abstractNum w:abstractNumId="8" w15:restartNumberingAfterBreak="0">
    <w:nsid w:val="FFFFFF88"/>
    <w:multiLevelType w:val="singleLevel"/>
    <w:tmpl w:val="8D489228"/>
    <w:lvl w:ilvl="0">
      <w:start w:val="1"/>
      <w:numFmt w:val="decimal"/>
      <w:lvlText w:val="%1."/>
      <w:lvlJc w:val="left"/>
      <w:pPr>
        <w:tabs>
          <w:tab w:val="num" w:pos="360"/>
        </w:tabs>
        <w:ind w:left="360" w:hangingChars="200" w:hanging="360"/>
      </w:pPr>
    </w:lvl>
  </w:abstractNum>
  <w:abstractNum w:abstractNumId="9" w15:restartNumberingAfterBreak="0">
    <w:nsid w:val="FFFFFF89"/>
    <w:multiLevelType w:val="singleLevel"/>
    <w:tmpl w:val="7EBEBA80"/>
    <w:lvl w:ilvl="0">
      <w:start w:val="1"/>
      <w:numFmt w:val="bullet"/>
      <w:lvlText w:val=""/>
      <w:lvlJc w:val="left"/>
      <w:pPr>
        <w:tabs>
          <w:tab w:val="num" w:pos="360"/>
        </w:tabs>
        <w:ind w:left="360" w:hangingChars="200" w:hanging="360"/>
      </w:pPr>
      <w:rPr>
        <w:rFonts w:ascii="Wingdings" w:hAnsi="Wingdings" w:hint="default"/>
      </w:rPr>
    </w:lvl>
  </w:abstractNum>
  <w:abstractNum w:abstractNumId="10" w15:restartNumberingAfterBreak="0">
    <w:nsid w:val="5ED557C8"/>
    <w:multiLevelType w:val="hybridMultilevel"/>
    <w:tmpl w:val="E47E7ACA"/>
    <w:lvl w:ilvl="0" w:tplc="55505A76">
      <w:start w:val="1"/>
      <w:numFmt w:val="upperLetter"/>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num w:numId="1">
    <w:abstractNumId w:val="4"/>
  </w:num>
  <w:num w:numId="2">
    <w:abstractNumId w:val="5"/>
  </w:num>
  <w:num w:numId="3">
    <w:abstractNumId w:val="6"/>
  </w:num>
  <w:num w:numId="4">
    <w:abstractNumId w:val="7"/>
  </w:num>
  <w:num w:numId="5">
    <w:abstractNumId w:val="9"/>
  </w:num>
  <w:num w:numId="6">
    <w:abstractNumId w:val="0"/>
  </w:num>
  <w:num w:numId="7">
    <w:abstractNumId w:val="1"/>
  </w:num>
  <w:num w:numId="8">
    <w:abstractNumId w:val="2"/>
  </w:num>
  <w:num w:numId="9">
    <w:abstractNumId w:val="3"/>
  </w:num>
  <w:num w:numId="10">
    <w:abstractNumId w:val="8"/>
  </w:num>
  <w:num w:numId="11">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4"/>
  <w:bordersDoNotSurroundHeader/>
  <w:bordersDoNotSurroundFooter/>
  <w:stylePaneFormatFilter w:val="1004" w:allStyles="0" w:customStyles="0" w:latentStyles="1" w:stylesInUse="0" w:headingStyles="0" w:numberingStyles="0" w:tableStyles="0" w:directFormattingOnRuns="0" w:directFormattingOnParagraphs="0" w:directFormattingOnNumbering="0" w:directFormattingOnTables="0" w:clearFormatting="1" w:top3HeadingStyles="0" w:visibleStyles="0" w:alternateStyleNames="0"/>
  <w:defaultTabStop w:val="420"/>
  <w:drawingGridHorizontalSpacing w:val="120"/>
  <w:drawingGridVerticalSpacing w:val="163"/>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B74A8"/>
    <w:rsid w:val="00000AE0"/>
    <w:rsid w:val="00001236"/>
    <w:rsid w:val="00003283"/>
    <w:rsid w:val="00003689"/>
    <w:rsid w:val="0000550C"/>
    <w:rsid w:val="000078CB"/>
    <w:rsid w:val="00012225"/>
    <w:rsid w:val="000125F6"/>
    <w:rsid w:val="000219EA"/>
    <w:rsid w:val="00021E75"/>
    <w:rsid w:val="00022AEB"/>
    <w:rsid w:val="0002490C"/>
    <w:rsid w:val="00024A57"/>
    <w:rsid w:val="000254BF"/>
    <w:rsid w:val="00031DA0"/>
    <w:rsid w:val="00033C29"/>
    <w:rsid w:val="00041CFC"/>
    <w:rsid w:val="0004266A"/>
    <w:rsid w:val="00043709"/>
    <w:rsid w:val="00043BAA"/>
    <w:rsid w:val="00046837"/>
    <w:rsid w:val="0005066B"/>
    <w:rsid w:val="00052ACD"/>
    <w:rsid w:val="000531E2"/>
    <w:rsid w:val="000542CC"/>
    <w:rsid w:val="0006211A"/>
    <w:rsid w:val="00066307"/>
    <w:rsid w:val="000667C6"/>
    <w:rsid w:val="00067912"/>
    <w:rsid w:val="000752B9"/>
    <w:rsid w:val="00075A60"/>
    <w:rsid w:val="00076782"/>
    <w:rsid w:val="00082332"/>
    <w:rsid w:val="00087CB0"/>
    <w:rsid w:val="00087D7E"/>
    <w:rsid w:val="00090244"/>
    <w:rsid w:val="0009245E"/>
    <w:rsid w:val="0009266F"/>
    <w:rsid w:val="000934D6"/>
    <w:rsid w:val="000941D0"/>
    <w:rsid w:val="000942F5"/>
    <w:rsid w:val="000A1E56"/>
    <w:rsid w:val="000A3799"/>
    <w:rsid w:val="000A6F2A"/>
    <w:rsid w:val="000A7461"/>
    <w:rsid w:val="000B01B4"/>
    <w:rsid w:val="000B1D1A"/>
    <w:rsid w:val="000B26A9"/>
    <w:rsid w:val="000B2C4E"/>
    <w:rsid w:val="000B742B"/>
    <w:rsid w:val="000B7921"/>
    <w:rsid w:val="000B7C93"/>
    <w:rsid w:val="000C653A"/>
    <w:rsid w:val="000D1FF8"/>
    <w:rsid w:val="000D3EA8"/>
    <w:rsid w:val="000D7056"/>
    <w:rsid w:val="000E23B4"/>
    <w:rsid w:val="000E4575"/>
    <w:rsid w:val="000E5007"/>
    <w:rsid w:val="000F1C7E"/>
    <w:rsid w:val="000F3AEF"/>
    <w:rsid w:val="000F5BAD"/>
    <w:rsid w:val="000F66BA"/>
    <w:rsid w:val="000F74F4"/>
    <w:rsid w:val="00100231"/>
    <w:rsid w:val="0010361C"/>
    <w:rsid w:val="00107B65"/>
    <w:rsid w:val="00110127"/>
    <w:rsid w:val="00111D25"/>
    <w:rsid w:val="00114C27"/>
    <w:rsid w:val="001154D8"/>
    <w:rsid w:val="00123A12"/>
    <w:rsid w:val="001241A9"/>
    <w:rsid w:val="00127E4D"/>
    <w:rsid w:val="00127F04"/>
    <w:rsid w:val="00130A13"/>
    <w:rsid w:val="00130AC9"/>
    <w:rsid w:val="001336E7"/>
    <w:rsid w:val="00133819"/>
    <w:rsid w:val="00133BE3"/>
    <w:rsid w:val="001343E1"/>
    <w:rsid w:val="00135D4F"/>
    <w:rsid w:val="0014100A"/>
    <w:rsid w:val="00141CFA"/>
    <w:rsid w:val="001420D3"/>
    <w:rsid w:val="00152E4C"/>
    <w:rsid w:val="001562E1"/>
    <w:rsid w:val="00157090"/>
    <w:rsid w:val="00160958"/>
    <w:rsid w:val="0016439F"/>
    <w:rsid w:val="00172000"/>
    <w:rsid w:val="00175076"/>
    <w:rsid w:val="00183764"/>
    <w:rsid w:val="001850C2"/>
    <w:rsid w:val="0018570F"/>
    <w:rsid w:val="0018571B"/>
    <w:rsid w:val="0018659E"/>
    <w:rsid w:val="00191900"/>
    <w:rsid w:val="00193ACF"/>
    <w:rsid w:val="0019519E"/>
    <w:rsid w:val="00196CC6"/>
    <w:rsid w:val="00197DC8"/>
    <w:rsid w:val="001A108E"/>
    <w:rsid w:val="001A5480"/>
    <w:rsid w:val="001A6BAF"/>
    <w:rsid w:val="001B3FBF"/>
    <w:rsid w:val="001C2D5A"/>
    <w:rsid w:val="001C30D6"/>
    <w:rsid w:val="001C4A47"/>
    <w:rsid w:val="001D506E"/>
    <w:rsid w:val="001D7B4A"/>
    <w:rsid w:val="001E0EA0"/>
    <w:rsid w:val="001E2EAD"/>
    <w:rsid w:val="001E3850"/>
    <w:rsid w:val="001E3DF2"/>
    <w:rsid w:val="001E6BB5"/>
    <w:rsid w:val="001F0EB5"/>
    <w:rsid w:val="001F1F79"/>
    <w:rsid w:val="001F40B8"/>
    <w:rsid w:val="001F7AB6"/>
    <w:rsid w:val="002014A2"/>
    <w:rsid w:val="00202279"/>
    <w:rsid w:val="00204929"/>
    <w:rsid w:val="002074D5"/>
    <w:rsid w:val="0021105A"/>
    <w:rsid w:val="00212FE6"/>
    <w:rsid w:val="00214E8B"/>
    <w:rsid w:val="0021515E"/>
    <w:rsid w:val="00215FA1"/>
    <w:rsid w:val="0022002A"/>
    <w:rsid w:val="002200CA"/>
    <w:rsid w:val="00223B44"/>
    <w:rsid w:val="002240E1"/>
    <w:rsid w:val="002248E1"/>
    <w:rsid w:val="00224B7C"/>
    <w:rsid w:val="0023047B"/>
    <w:rsid w:val="00232323"/>
    <w:rsid w:val="0023249C"/>
    <w:rsid w:val="00233185"/>
    <w:rsid w:val="00233A85"/>
    <w:rsid w:val="002341ED"/>
    <w:rsid w:val="00234B45"/>
    <w:rsid w:val="002403AD"/>
    <w:rsid w:val="00242A72"/>
    <w:rsid w:val="00251B3F"/>
    <w:rsid w:val="00252182"/>
    <w:rsid w:val="00254AB0"/>
    <w:rsid w:val="00255F95"/>
    <w:rsid w:val="00256157"/>
    <w:rsid w:val="002564B0"/>
    <w:rsid w:val="00260469"/>
    <w:rsid w:val="00264705"/>
    <w:rsid w:val="00265CEF"/>
    <w:rsid w:val="00270C30"/>
    <w:rsid w:val="00280C1A"/>
    <w:rsid w:val="00282308"/>
    <w:rsid w:val="00291FC4"/>
    <w:rsid w:val="002964E9"/>
    <w:rsid w:val="002A4CAE"/>
    <w:rsid w:val="002A63D2"/>
    <w:rsid w:val="002B3204"/>
    <w:rsid w:val="002B347E"/>
    <w:rsid w:val="002B3D24"/>
    <w:rsid w:val="002B4B3E"/>
    <w:rsid w:val="002B72C4"/>
    <w:rsid w:val="002B75DD"/>
    <w:rsid w:val="002C176B"/>
    <w:rsid w:val="002C1AA5"/>
    <w:rsid w:val="002C3B81"/>
    <w:rsid w:val="002C79A5"/>
    <w:rsid w:val="002D0331"/>
    <w:rsid w:val="002D226D"/>
    <w:rsid w:val="002D2B5C"/>
    <w:rsid w:val="002E2210"/>
    <w:rsid w:val="002E4584"/>
    <w:rsid w:val="002F3354"/>
    <w:rsid w:val="002F3C19"/>
    <w:rsid w:val="002F5B50"/>
    <w:rsid w:val="00301095"/>
    <w:rsid w:val="003061BC"/>
    <w:rsid w:val="003063E5"/>
    <w:rsid w:val="0031045A"/>
    <w:rsid w:val="0031509A"/>
    <w:rsid w:val="003238B1"/>
    <w:rsid w:val="003240C6"/>
    <w:rsid w:val="00325CB3"/>
    <w:rsid w:val="00330435"/>
    <w:rsid w:val="00332250"/>
    <w:rsid w:val="00332531"/>
    <w:rsid w:val="00333A7B"/>
    <w:rsid w:val="003358A0"/>
    <w:rsid w:val="00340812"/>
    <w:rsid w:val="00340F78"/>
    <w:rsid w:val="0034260E"/>
    <w:rsid w:val="00342F8E"/>
    <w:rsid w:val="00344B37"/>
    <w:rsid w:val="00344F63"/>
    <w:rsid w:val="00347C7D"/>
    <w:rsid w:val="003526AA"/>
    <w:rsid w:val="00353FE5"/>
    <w:rsid w:val="00354821"/>
    <w:rsid w:val="00356CFB"/>
    <w:rsid w:val="00361167"/>
    <w:rsid w:val="003625E3"/>
    <w:rsid w:val="003635E0"/>
    <w:rsid w:val="003668D4"/>
    <w:rsid w:val="003725F6"/>
    <w:rsid w:val="00380390"/>
    <w:rsid w:val="00380FE5"/>
    <w:rsid w:val="0038420F"/>
    <w:rsid w:val="00385DEE"/>
    <w:rsid w:val="00386BD7"/>
    <w:rsid w:val="00391722"/>
    <w:rsid w:val="0039220C"/>
    <w:rsid w:val="0039654E"/>
    <w:rsid w:val="003A5804"/>
    <w:rsid w:val="003A768F"/>
    <w:rsid w:val="003B354F"/>
    <w:rsid w:val="003B5C5E"/>
    <w:rsid w:val="003B60E5"/>
    <w:rsid w:val="003C2DC5"/>
    <w:rsid w:val="003C32B3"/>
    <w:rsid w:val="003C505D"/>
    <w:rsid w:val="003D0D15"/>
    <w:rsid w:val="003D1690"/>
    <w:rsid w:val="003D2963"/>
    <w:rsid w:val="003D613D"/>
    <w:rsid w:val="003E25EF"/>
    <w:rsid w:val="003E530D"/>
    <w:rsid w:val="003E6D62"/>
    <w:rsid w:val="003F3DA4"/>
    <w:rsid w:val="003F458A"/>
    <w:rsid w:val="003F52E9"/>
    <w:rsid w:val="003F6B8B"/>
    <w:rsid w:val="003F7915"/>
    <w:rsid w:val="00401D64"/>
    <w:rsid w:val="00405219"/>
    <w:rsid w:val="00411525"/>
    <w:rsid w:val="00413394"/>
    <w:rsid w:val="004146F7"/>
    <w:rsid w:val="00414B47"/>
    <w:rsid w:val="0042059F"/>
    <w:rsid w:val="00421DEB"/>
    <w:rsid w:val="00423E78"/>
    <w:rsid w:val="00425F72"/>
    <w:rsid w:val="004419CD"/>
    <w:rsid w:val="00443B0A"/>
    <w:rsid w:val="00447085"/>
    <w:rsid w:val="00450ACF"/>
    <w:rsid w:val="004539DB"/>
    <w:rsid w:val="00454E6A"/>
    <w:rsid w:val="00460836"/>
    <w:rsid w:val="00461175"/>
    <w:rsid w:val="00461FDC"/>
    <w:rsid w:val="00464325"/>
    <w:rsid w:val="00464ED1"/>
    <w:rsid w:val="00465751"/>
    <w:rsid w:val="004664E5"/>
    <w:rsid w:val="0047336A"/>
    <w:rsid w:val="004752D4"/>
    <w:rsid w:val="0047710A"/>
    <w:rsid w:val="0048289F"/>
    <w:rsid w:val="00482BC1"/>
    <w:rsid w:val="004907D5"/>
    <w:rsid w:val="004921B3"/>
    <w:rsid w:val="0049318D"/>
    <w:rsid w:val="00496A9B"/>
    <w:rsid w:val="0049772E"/>
    <w:rsid w:val="004977F3"/>
    <w:rsid w:val="004A1EBE"/>
    <w:rsid w:val="004A2609"/>
    <w:rsid w:val="004A4F4F"/>
    <w:rsid w:val="004A5A2F"/>
    <w:rsid w:val="004A6DDA"/>
    <w:rsid w:val="004B5014"/>
    <w:rsid w:val="004B5088"/>
    <w:rsid w:val="004B64BC"/>
    <w:rsid w:val="004C1AE1"/>
    <w:rsid w:val="004C26C3"/>
    <w:rsid w:val="004C45B0"/>
    <w:rsid w:val="004C52CD"/>
    <w:rsid w:val="004C60AE"/>
    <w:rsid w:val="004C6A3A"/>
    <w:rsid w:val="004C715B"/>
    <w:rsid w:val="004D1929"/>
    <w:rsid w:val="004D221F"/>
    <w:rsid w:val="004D5257"/>
    <w:rsid w:val="004D7409"/>
    <w:rsid w:val="004E1693"/>
    <w:rsid w:val="004E1C09"/>
    <w:rsid w:val="004E2888"/>
    <w:rsid w:val="004E6227"/>
    <w:rsid w:val="004E755B"/>
    <w:rsid w:val="004F29EA"/>
    <w:rsid w:val="004F59ED"/>
    <w:rsid w:val="0050148B"/>
    <w:rsid w:val="005032C2"/>
    <w:rsid w:val="00512183"/>
    <w:rsid w:val="005127C1"/>
    <w:rsid w:val="005173D3"/>
    <w:rsid w:val="00521E49"/>
    <w:rsid w:val="005232A6"/>
    <w:rsid w:val="00524535"/>
    <w:rsid w:val="00524BCA"/>
    <w:rsid w:val="005272D5"/>
    <w:rsid w:val="00527885"/>
    <w:rsid w:val="005310B0"/>
    <w:rsid w:val="0053184F"/>
    <w:rsid w:val="00531BDC"/>
    <w:rsid w:val="00532F13"/>
    <w:rsid w:val="00532FC8"/>
    <w:rsid w:val="00537C67"/>
    <w:rsid w:val="00541146"/>
    <w:rsid w:val="00541E26"/>
    <w:rsid w:val="005438C1"/>
    <w:rsid w:val="0055015D"/>
    <w:rsid w:val="005558A5"/>
    <w:rsid w:val="0056196A"/>
    <w:rsid w:val="00570C26"/>
    <w:rsid w:val="00570DCA"/>
    <w:rsid w:val="0058206D"/>
    <w:rsid w:val="005822CD"/>
    <w:rsid w:val="0058552C"/>
    <w:rsid w:val="0058563D"/>
    <w:rsid w:val="00587331"/>
    <w:rsid w:val="0059075C"/>
    <w:rsid w:val="0059429B"/>
    <w:rsid w:val="00595DDF"/>
    <w:rsid w:val="005A4D69"/>
    <w:rsid w:val="005B2AD5"/>
    <w:rsid w:val="005B393A"/>
    <w:rsid w:val="005B4EE7"/>
    <w:rsid w:val="005B7867"/>
    <w:rsid w:val="005B7AD1"/>
    <w:rsid w:val="005C1DF2"/>
    <w:rsid w:val="005C2D2A"/>
    <w:rsid w:val="005C667D"/>
    <w:rsid w:val="005C6F0F"/>
    <w:rsid w:val="005D1E38"/>
    <w:rsid w:val="005D28DB"/>
    <w:rsid w:val="005D2BB3"/>
    <w:rsid w:val="005D399E"/>
    <w:rsid w:val="005D6757"/>
    <w:rsid w:val="005E0B6E"/>
    <w:rsid w:val="005E328C"/>
    <w:rsid w:val="005E4C84"/>
    <w:rsid w:val="005E516F"/>
    <w:rsid w:val="005E650F"/>
    <w:rsid w:val="005F0A30"/>
    <w:rsid w:val="005F0CF3"/>
    <w:rsid w:val="005F2945"/>
    <w:rsid w:val="005F2A7B"/>
    <w:rsid w:val="005F31EF"/>
    <w:rsid w:val="005F40F7"/>
    <w:rsid w:val="005F727E"/>
    <w:rsid w:val="00605281"/>
    <w:rsid w:val="00605A4C"/>
    <w:rsid w:val="006060D2"/>
    <w:rsid w:val="00606AFF"/>
    <w:rsid w:val="00610A22"/>
    <w:rsid w:val="0061133F"/>
    <w:rsid w:val="00611AA3"/>
    <w:rsid w:val="00612D71"/>
    <w:rsid w:val="006147D3"/>
    <w:rsid w:val="00615454"/>
    <w:rsid w:val="00627FC1"/>
    <w:rsid w:val="00631526"/>
    <w:rsid w:val="00632643"/>
    <w:rsid w:val="00632D88"/>
    <w:rsid w:val="0063364C"/>
    <w:rsid w:val="00635D05"/>
    <w:rsid w:val="00640A60"/>
    <w:rsid w:val="00642059"/>
    <w:rsid w:val="00645E59"/>
    <w:rsid w:val="00647BE0"/>
    <w:rsid w:val="006561DF"/>
    <w:rsid w:val="00656D82"/>
    <w:rsid w:val="0066082B"/>
    <w:rsid w:val="00660C40"/>
    <w:rsid w:val="006613A8"/>
    <w:rsid w:val="00664F8B"/>
    <w:rsid w:val="006701E0"/>
    <w:rsid w:val="0067622C"/>
    <w:rsid w:val="006811F1"/>
    <w:rsid w:val="00681550"/>
    <w:rsid w:val="00686395"/>
    <w:rsid w:val="00694082"/>
    <w:rsid w:val="00695CA9"/>
    <w:rsid w:val="00696A16"/>
    <w:rsid w:val="006A2322"/>
    <w:rsid w:val="006A42BD"/>
    <w:rsid w:val="006A47A9"/>
    <w:rsid w:val="006A4CD5"/>
    <w:rsid w:val="006A72FA"/>
    <w:rsid w:val="006A7B50"/>
    <w:rsid w:val="006B221D"/>
    <w:rsid w:val="006B33EA"/>
    <w:rsid w:val="006B6E75"/>
    <w:rsid w:val="006B719F"/>
    <w:rsid w:val="006B78E8"/>
    <w:rsid w:val="006C428B"/>
    <w:rsid w:val="006C4D94"/>
    <w:rsid w:val="006C567B"/>
    <w:rsid w:val="006C68C5"/>
    <w:rsid w:val="006D0397"/>
    <w:rsid w:val="006D3180"/>
    <w:rsid w:val="006D47F2"/>
    <w:rsid w:val="006D4C68"/>
    <w:rsid w:val="006D62A8"/>
    <w:rsid w:val="006E668A"/>
    <w:rsid w:val="006E7291"/>
    <w:rsid w:val="006E7C21"/>
    <w:rsid w:val="006F12B5"/>
    <w:rsid w:val="006F2651"/>
    <w:rsid w:val="006F488E"/>
    <w:rsid w:val="006F4B8B"/>
    <w:rsid w:val="00701070"/>
    <w:rsid w:val="007016F8"/>
    <w:rsid w:val="00704D6B"/>
    <w:rsid w:val="00706073"/>
    <w:rsid w:val="00713CAD"/>
    <w:rsid w:val="0071615B"/>
    <w:rsid w:val="00732046"/>
    <w:rsid w:val="0073372F"/>
    <w:rsid w:val="00735813"/>
    <w:rsid w:val="00737C14"/>
    <w:rsid w:val="00740415"/>
    <w:rsid w:val="007430B9"/>
    <w:rsid w:val="007468F9"/>
    <w:rsid w:val="00747A73"/>
    <w:rsid w:val="00751327"/>
    <w:rsid w:val="00752E36"/>
    <w:rsid w:val="00755256"/>
    <w:rsid w:val="00757569"/>
    <w:rsid w:val="00763963"/>
    <w:rsid w:val="00764671"/>
    <w:rsid w:val="00770F78"/>
    <w:rsid w:val="00777ABC"/>
    <w:rsid w:val="00780E0E"/>
    <w:rsid w:val="00780F57"/>
    <w:rsid w:val="00781B8D"/>
    <w:rsid w:val="0078372D"/>
    <w:rsid w:val="007844D5"/>
    <w:rsid w:val="007866AB"/>
    <w:rsid w:val="00791E64"/>
    <w:rsid w:val="007937AB"/>
    <w:rsid w:val="0079421A"/>
    <w:rsid w:val="00794698"/>
    <w:rsid w:val="0079606E"/>
    <w:rsid w:val="0079708D"/>
    <w:rsid w:val="007A218F"/>
    <w:rsid w:val="007A6703"/>
    <w:rsid w:val="007B04D1"/>
    <w:rsid w:val="007B5326"/>
    <w:rsid w:val="007B5DDF"/>
    <w:rsid w:val="007C27D9"/>
    <w:rsid w:val="007D08C4"/>
    <w:rsid w:val="007D2EC3"/>
    <w:rsid w:val="007D676D"/>
    <w:rsid w:val="007E17C8"/>
    <w:rsid w:val="007E1A72"/>
    <w:rsid w:val="007E2786"/>
    <w:rsid w:val="007F1F69"/>
    <w:rsid w:val="007F5141"/>
    <w:rsid w:val="007F6D64"/>
    <w:rsid w:val="008022BB"/>
    <w:rsid w:val="00802734"/>
    <w:rsid w:val="008034BF"/>
    <w:rsid w:val="008043B2"/>
    <w:rsid w:val="008044FB"/>
    <w:rsid w:val="0080762C"/>
    <w:rsid w:val="00810B44"/>
    <w:rsid w:val="00812610"/>
    <w:rsid w:val="00813471"/>
    <w:rsid w:val="00817AE6"/>
    <w:rsid w:val="00821F98"/>
    <w:rsid w:val="0082213B"/>
    <w:rsid w:val="00824710"/>
    <w:rsid w:val="008256EC"/>
    <w:rsid w:val="00826FDF"/>
    <w:rsid w:val="00830981"/>
    <w:rsid w:val="00831AF5"/>
    <w:rsid w:val="00831F7E"/>
    <w:rsid w:val="008370F2"/>
    <w:rsid w:val="008371AB"/>
    <w:rsid w:val="00837F4F"/>
    <w:rsid w:val="0084249A"/>
    <w:rsid w:val="00843CCE"/>
    <w:rsid w:val="008463FD"/>
    <w:rsid w:val="0084655E"/>
    <w:rsid w:val="0085088A"/>
    <w:rsid w:val="00850D5D"/>
    <w:rsid w:val="00853A18"/>
    <w:rsid w:val="00855301"/>
    <w:rsid w:val="00857C0C"/>
    <w:rsid w:val="00861014"/>
    <w:rsid w:val="00863806"/>
    <w:rsid w:val="00863E81"/>
    <w:rsid w:val="0086710A"/>
    <w:rsid w:val="00874925"/>
    <w:rsid w:val="00881A82"/>
    <w:rsid w:val="0088285A"/>
    <w:rsid w:val="00885B75"/>
    <w:rsid w:val="00886204"/>
    <w:rsid w:val="0088710B"/>
    <w:rsid w:val="00890486"/>
    <w:rsid w:val="0089074E"/>
    <w:rsid w:val="00891235"/>
    <w:rsid w:val="008A0860"/>
    <w:rsid w:val="008A0EB2"/>
    <w:rsid w:val="008A0F56"/>
    <w:rsid w:val="008A3644"/>
    <w:rsid w:val="008A58F3"/>
    <w:rsid w:val="008B324B"/>
    <w:rsid w:val="008B51F6"/>
    <w:rsid w:val="008B69AF"/>
    <w:rsid w:val="008B6ABA"/>
    <w:rsid w:val="008C02CC"/>
    <w:rsid w:val="008C3CB0"/>
    <w:rsid w:val="008D081F"/>
    <w:rsid w:val="008D0A98"/>
    <w:rsid w:val="008D5A64"/>
    <w:rsid w:val="008F1C5D"/>
    <w:rsid w:val="008F1F92"/>
    <w:rsid w:val="008F2B18"/>
    <w:rsid w:val="008F3389"/>
    <w:rsid w:val="008F3E1C"/>
    <w:rsid w:val="008F4804"/>
    <w:rsid w:val="008F5D7D"/>
    <w:rsid w:val="008F7E3C"/>
    <w:rsid w:val="009005AE"/>
    <w:rsid w:val="009031BC"/>
    <w:rsid w:val="00910270"/>
    <w:rsid w:val="00911748"/>
    <w:rsid w:val="00913A85"/>
    <w:rsid w:val="00914A07"/>
    <w:rsid w:val="00914AE1"/>
    <w:rsid w:val="009159C8"/>
    <w:rsid w:val="009215B5"/>
    <w:rsid w:val="009229A6"/>
    <w:rsid w:val="00922A39"/>
    <w:rsid w:val="00923C8B"/>
    <w:rsid w:val="0092489A"/>
    <w:rsid w:val="00926407"/>
    <w:rsid w:val="00926550"/>
    <w:rsid w:val="00931723"/>
    <w:rsid w:val="00933A59"/>
    <w:rsid w:val="00934411"/>
    <w:rsid w:val="00941720"/>
    <w:rsid w:val="00950200"/>
    <w:rsid w:val="00951DEE"/>
    <w:rsid w:val="00952ECC"/>
    <w:rsid w:val="00953B65"/>
    <w:rsid w:val="009568F2"/>
    <w:rsid w:val="0096366A"/>
    <w:rsid w:val="009700AD"/>
    <w:rsid w:val="00970B64"/>
    <w:rsid w:val="009717B6"/>
    <w:rsid w:val="00973BA4"/>
    <w:rsid w:val="00977EF1"/>
    <w:rsid w:val="0098482B"/>
    <w:rsid w:val="00984870"/>
    <w:rsid w:val="0098556F"/>
    <w:rsid w:val="0098752B"/>
    <w:rsid w:val="0099168B"/>
    <w:rsid w:val="00993773"/>
    <w:rsid w:val="009946A1"/>
    <w:rsid w:val="00996E2D"/>
    <w:rsid w:val="009A315A"/>
    <w:rsid w:val="009A3AA0"/>
    <w:rsid w:val="009A4C55"/>
    <w:rsid w:val="009A5AD0"/>
    <w:rsid w:val="009A5E79"/>
    <w:rsid w:val="009A7AB5"/>
    <w:rsid w:val="009B169F"/>
    <w:rsid w:val="009B464D"/>
    <w:rsid w:val="009B5C15"/>
    <w:rsid w:val="009B64FA"/>
    <w:rsid w:val="009B7424"/>
    <w:rsid w:val="009C01A5"/>
    <w:rsid w:val="009C5E3C"/>
    <w:rsid w:val="009C7A69"/>
    <w:rsid w:val="009D1B0F"/>
    <w:rsid w:val="009D2446"/>
    <w:rsid w:val="009D4D81"/>
    <w:rsid w:val="009D7342"/>
    <w:rsid w:val="009E1966"/>
    <w:rsid w:val="009E3748"/>
    <w:rsid w:val="009E4F00"/>
    <w:rsid w:val="009F0E61"/>
    <w:rsid w:val="00A04DAB"/>
    <w:rsid w:val="00A06A94"/>
    <w:rsid w:val="00A07F40"/>
    <w:rsid w:val="00A10167"/>
    <w:rsid w:val="00A1494A"/>
    <w:rsid w:val="00A20EB2"/>
    <w:rsid w:val="00A21CC5"/>
    <w:rsid w:val="00A244BC"/>
    <w:rsid w:val="00A27FDF"/>
    <w:rsid w:val="00A3063A"/>
    <w:rsid w:val="00A44974"/>
    <w:rsid w:val="00A463F4"/>
    <w:rsid w:val="00A53553"/>
    <w:rsid w:val="00A542E7"/>
    <w:rsid w:val="00A55B7F"/>
    <w:rsid w:val="00A55FCB"/>
    <w:rsid w:val="00A60E0C"/>
    <w:rsid w:val="00A67025"/>
    <w:rsid w:val="00A71E4F"/>
    <w:rsid w:val="00A81214"/>
    <w:rsid w:val="00A865C7"/>
    <w:rsid w:val="00A90977"/>
    <w:rsid w:val="00A95D9F"/>
    <w:rsid w:val="00AA3025"/>
    <w:rsid w:val="00AA42BA"/>
    <w:rsid w:val="00AA5653"/>
    <w:rsid w:val="00AB1BFF"/>
    <w:rsid w:val="00AB2CE6"/>
    <w:rsid w:val="00AB5118"/>
    <w:rsid w:val="00AB5993"/>
    <w:rsid w:val="00AB7A25"/>
    <w:rsid w:val="00AC0707"/>
    <w:rsid w:val="00AC18B8"/>
    <w:rsid w:val="00AC2715"/>
    <w:rsid w:val="00AC3CD8"/>
    <w:rsid w:val="00AC3DB5"/>
    <w:rsid w:val="00AD0511"/>
    <w:rsid w:val="00AD09FC"/>
    <w:rsid w:val="00AD3D7C"/>
    <w:rsid w:val="00AD5251"/>
    <w:rsid w:val="00AE0AC7"/>
    <w:rsid w:val="00AE40BE"/>
    <w:rsid w:val="00AE48C8"/>
    <w:rsid w:val="00AF1EB6"/>
    <w:rsid w:val="00AF21FF"/>
    <w:rsid w:val="00AF572D"/>
    <w:rsid w:val="00AF5D5A"/>
    <w:rsid w:val="00B00276"/>
    <w:rsid w:val="00B01B00"/>
    <w:rsid w:val="00B03D2C"/>
    <w:rsid w:val="00B07DCE"/>
    <w:rsid w:val="00B11BCA"/>
    <w:rsid w:val="00B13180"/>
    <w:rsid w:val="00B16424"/>
    <w:rsid w:val="00B22E87"/>
    <w:rsid w:val="00B23369"/>
    <w:rsid w:val="00B3075B"/>
    <w:rsid w:val="00B31FB3"/>
    <w:rsid w:val="00B334BC"/>
    <w:rsid w:val="00B33BBA"/>
    <w:rsid w:val="00B41283"/>
    <w:rsid w:val="00B54512"/>
    <w:rsid w:val="00B5611B"/>
    <w:rsid w:val="00B5692D"/>
    <w:rsid w:val="00B56BC2"/>
    <w:rsid w:val="00B61021"/>
    <w:rsid w:val="00B66613"/>
    <w:rsid w:val="00B66CE2"/>
    <w:rsid w:val="00B70D34"/>
    <w:rsid w:val="00B7154C"/>
    <w:rsid w:val="00B722A0"/>
    <w:rsid w:val="00B74F12"/>
    <w:rsid w:val="00B75B00"/>
    <w:rsid w:val="00B77930"/>
    <w:rsid w:val="00B822D4"/>
    <w:rsid w:val="00B82D9C"/>
    <w:rsid w:val="00B869AA"/>
    <w:rsid w:val="00B90173"/>
    <w:rsid w:val="00B92377"/>
    <w:rsid w:val="00BA02E6"/>
    <w:rsid w:val="00BA0E6A"/>
    <w:rsid w:val="00BA2AB6"/>
    <w:rsid w:val="00BB0DD8"/>
    <w:rsid w:val="00BB141B"/>
    <w:rsid w:val="00BB2AB6"/>
    <w:rsid w:val="00BB4D76"/>
    <w:rsid w:val="00BB6D4C"/>
    <w:rsid w:val="00BC0B62"/>
    <w:rsid w:val="00BC17FB"/>
    <w:rsid w:val="00BC3CC6"/>
    <w:rsid w:val="00BC7551"/>
    <w:rsid w:val="00BD1321"/>
    <w:rsid w:val="00BD56BB"/>
    <w:rsid w:val="00BD68FA"/>
    <w:rsid w:val="00BD7E22"/>
    <w:rsid w:val="00BE01ED"/>
    <w:rsid w:val="00BE2C7F"/>
    <w:rsid w:val="00BE6C4F"/>
    <w:rsid w:val="00BF2233"/>
    <w:rsid w:val="00BF26DF"/>
    <w:rsid w:val="00BF3661"/>
    <w:rsid w:val="00C00924"/>
    <w:rsid w:val="00C06D95"/>
    <w:rsid w:val="00C10B68"/>
    <w:rsid w:val="00C1253E"/>
    <w:rsid w:val="00C15E8E"/>
    <w:rsid w:val="00C16F18"/>
    <w:rsid w:val="00C2293A"/>
    <w:rsid w:val="00C31179"/>
    <w:rsid w:val="00C31836"/>
    <w:rsid w:val="00C3301C"/>
    <w:rsid w:val="00C33120"/>
    <w:rsid w:val="00C33D62"/>
    <w:rsid w:val="00C43E09"/>
    <w:rsid w:val="00C50A97"/>
    <w:rsid w:val="00C5427E"/>
    <w:rsid w:val="00C55EDC"/>
    <w:rsid w:val="00C56736"/>
    <w:rsid w:val="00C60BFD"/>
    <w:rsid w:val="00C61362"/>
    <w:rsid w:val="00C63CCA"/>
    <w:rsid w:val="00C70D47"/>
    <w:rsid w:val="00C741A1"/>
    <w:rsid w:val="00C7541C"/>
    <w:rsid w:val="00C7562F"/>
    <w:rsid w:val="00C82E19"/>
    <w:rsid w:val="00C86301"/>
    <w:rsid w:val="00C86600"/>
    <w:rsid w:val="00C86F1F"/>
    <w:rsid w:val="00C87D0B"/>
    <w:rsid w:val="00C93394"/>
    <w:rsid w:val="00C93C0F"/>
    <w:rsid w:val="00C94AE3"/>
    <w:rsid w:val="00C95A01"/>
    <w:rsid w:val="00C95D76"/>
    <w:rsid w:val="00C97989"/>
    <w:rsid w:val="00CA0A58"/>
    <w:rsid w:val="00CA1708"/>
    <w:rsid w:val="00CA3310"/>
    <w:rsid w:val="00CA4182"/>
    <w:rsid w:val="00CA52C3"/>
    <w:rsid w:val="00CA6693"/>
    <w:rsid w:val="00CA6C81"/>
    <w:rsid w:val="00CB3425"/>
    <w:rsid w:val="00CB47B4"/>
    <w:rsid w:val="00CB4D1C"/>
    <w:rsid w:val="00CB59BE"/>
    <w:rsid w:val="00CB62E7"/>
    <w:rsid w:val="00CB6475"/>
    <w:rsid w:val="00CC3537"/>
    <w:rsid w:val="00CC5F7C"/>
    <w:rsid w:val="00CC6959"/>
    <w:rsid w:val="00CC6F0B"/>
    <w:rsid w:val="00CD00A7"/>
    <w:rsid w:val="00CD0127"/>
    <w:rsid w:val="00CD0E55"/>
    <w:rsid w:val="00CD25B6"/>
    <w:rsid w:val="00CD6B11"/>
    <w:rsid w:val="00CD6B1C"/>
    <w:rsid w:val="00CD7AB6"/>
    <w:rsid w:val="00CE2E19"/>
    <w:rsid w:val="00CE6E0A"/>
    <w:rsid w:val="00CF5817"/>
    <w:rsid w:val="00CF5E69"/>
    <w:rsid w:val="00D01070"/>
    <w:rsid w:val="00D0280B"/>
    <w:rsid w:val="00D10090"/>
    <w:rsid w:val="00D12965"/>
    <w:rsid w:val="00D135C4"/>
    <w:rsid w:val="00D1464C"/>
    <w:rsid w:val="00D16B3E"/>
    <w:rsid w:val="00D17984"/>
    <w:rsid w:val="00D17A01"/>
    <w:rsid w:val="00D22B35"/>
    <w:rsid w:val="00D24B80"/>
    <w:rsid w:val="00D251B7"/>
    <w:rsid w:val="00D26FAA"/>
    <w:rsid w:val="00D27504"/>
    <w:rsid w:val="00D3194A"/>
    <w:rsid w:val="00D4211E"/>
    <w:rsid w:val="00D45875"/>
    <w:rsid w:val="00D46263"/>
    <w:rsid w:val="00D52F0A"/>
    <w:rsid w:val="00D53EAC"/>
    <w:rsid w:val="00D53EC2"/>
    <w:rsid w:val="00D545AF"/>
    <w:rsid w:val="00D6101E"/>
    <w:rsid w:val="00D6256E"/>
    <w:rsid w:val="00D6627B"/>
    <w:rsid w:val="00D67688"/>
    <w:rsid w:val="00D71318"/>
    <w:rsid w:val="00D714E2"/>
    <w:rsid w:val="00D715C9"/>
    <w:rsid w:val="00D74372"/>
    <w:rsid w:val="00D76F3C"/>
    <w:rsid w:val="00D808C3"/>
    <w:rsid w:val="00D858C4"/>
    <w:rsid w:val="00D86DD4"/>
    <w:rsid w:val="00D86DE5"/>
    <w:rsid w:val="00D9170A"/>
    <w:rsid w:val="00D91B42"/>
    <w:rsid w:val="00D93356"/>
    <w:rsid w:val="00D9559F"/>
    <w:rsid w:val="00DA0C69"/>
    <w:rsid w:val="00DA47E9"/>
    <w:rsid w:val="00DA4E87"/>
    <w:rsid w:val="00DB7EDF"/>
    <w:rsid w:val="00DC0D8F"/>
    <w:rsid w:val="00DC1EA6"/>
    <w:rsid w:val="00DC2433"/>
    <w:rsid w:val="00DC3A05"/>
    <w:rsid w:val="00DC567B"/>
    <w:rsid w:val="00DC7385"/>
    <w:rsid w:val="00DD037B"/>
    <w:rsid w:val="00DD0D1D"/>
    <w:rsid w:val="00DD23C7"/>
    <w:rsid w:val="00DD39B8"/>
    <w:rsid w:val="00DD6822"/>
    <w:rsid w:val="00DD68C5"/>
    <w:rsid w:val="00DD6FCB"/>
    <w:rsid w:val="00DD7BEA"/>
    <w:rsid w:val="00DE0455"/>
    <w:rsid w:val="00DE3632"/>
    <w:rsid w:val="00DE45D3"/>
    <w:rsid w:val="00DE4A87"/>
    <w:rsid w:val="00DE53FA"/>
    <w:rsid w:val="00DE78B7"/>
    <w:rsid w:val="00DF1D9D"/>
    <w:rsid w:val="00DF225F"/>
    <w:rsid w:val="00DF436D"/>
    <w:rsid w:val="00DF4F5B"/>
    <w:rsid w:val="00DF723A"/>
    <w:rsid w:val="00DF7F3C"/>
    <w:rsid w:val="00E00789"/>
    <w:rsid w:val="00E01084"/>
    <w:rsid w:val="00E013F8"/>
    <w:rsid w:val="00E02386"/>
    <w:rsid w:val="00E03784"/>
    <w:rsid w:val="00E105C3"/>
    <w:rsid w:val="00E142E9"/>
    <w:rsid w:val="00E168F8"/>
    <w:rsid w:val="00E3048D"/>
    <w:rsid w:val="00E30E19"/>
    <w:rsid w:val="00E414B6"/>
    <w:rsid w:val="00E41687"/>
    <w:rsid w:val="00E438D1"/>
    <w:rsid w:val="00E43BF4"/>
    <w:rsid w:val="00E44630"/>
    <w:rsid w:val="00E51423"/>
    <w:rsid w:val="00E52594"/>
    <w:rsid w:val="00E52F65"/>
    <w:rsid w:val="00E534E5"/>
    <w:rsid w:val="00E55B65"/>
    <w:rsid w:val="00E578A2"/>
    <w:rsid w:val="00E644D8"/>
    <w:rsid w:val="00E64B69"/>
    <w:rsid w:val="00E67CC2"/>
    <w:rsid w:val="00E716CB"/>
    <w:rsid w:val="00E7599F"/>
    <w:rsid w:val="00E771E1"/>
    <w:rsid w:val="00E774E2"/>
    <w:rsid w:val="00E815F4"/>
    <w:rsid w:val="00E82FF7"/>
    <w:rsid w:val="00E913B9"/>
    <w:rsid w:val="00E91593"/>
    <w:rsid w:val="00E92D87"/>
    <w:rsid w:val="00E9510C"/>
    <w:rsid w:val="00E9602D"/>
    <w:rsid w:val="00E96273"/>
    <w:rsid w:val="00E97ACD"/>
    <w:rsid w:val="00EA0316"/>
    <w:rsid w:val="00EA07EF"/>
    <w:rsid w:val="00EA0CE2"/>
    <w:rsid w:val="00EA27B0"/>
    <w:rsid w:val="00EA5E46"/>
    <w:rsid w:val="00EB18EF"/>
    <w:rsid w:val="00EB2513"/>
    <w:rsid w:val="00EB6478"/>
    <w:rsid w:val="00EB74A8"/>
    <w:rsid w:val="00EB7814"/>
    <w:rsid w:val="00EC03D9"/>
    <w:rsid w:val="00EC0F1E"/>
    <w:rsid w:val="00EC7021"/>
    <w:rsid w:val="00EC7DEC"/>
    <w:rsid w:val="00ED3850"/>
    <w:rsid w:val="00ED4322"/>
    <w:rsid w:val="00ED5DAA"/>
    <w:rsid w:val="00EE0009"/>
    <w:rsid w:val="00EE3D60"/>
    <w:rsid w:val="00EE5C51"/>
    <w:rsid w:val="00EE7179"/>
    <w:rsid w:val="00EF2F0C"/>
    <w:rsid w:val="00EF3474"/>
    <w:rsid w:val="00EF3A46"/>
    <w:rsid w:val="00EF3B61"/>
    <w:rsid w:val="00EF5F32"/>
    <w:rsid w:val="00F10985"/>
    <w:rsid w:val="00F10D41"/>
    <w:rsid w:val="00F13702"/>
    <w:rsid w:val="00F14961"/>
    <w:rsid w:val="00F14BB2"/>
    <w:rsid w:val="00F20198"/>
    <w:rsid w:val="00F210E7"/>
    <w:rsid w:val="00F24B66"/>
    <w:rsid w:val="00F325E2"/>
    <w:rsid w:val="00F332F2"/>
    <w:rsid w:val="00F3365C"/>
    <w:rsid w:val="00F3421A"/>
    <w:rsid w:val="00F3506A"/>
    <w:rsid w:val="00F35979"/>
    <w:rsid w:val="00F42DFF"/>
    <w:rsid w:val="00F43E5D"/>
    <w:rsid w:val="00F44CF2"/>
    <w:rsid w:val="00F453D8"/>
    <w:rsid w:val="00F45C77"/>
    <w:rsid w:val="00F464D4"/>
    <w:rsid w:val="00F47367"/>
    <w:rsid w:val="00F47ACA"/>
    <w:rsid w:val="00F539A7"/>
    <w:rsid w:val="00F53EAA"/>
    <w:rsid w:val="00F54C9A"/>
    <w:rsid w:val="00F64BE5"/>
    <w:rsid w:val="00F662A3"/>
    <w:rsid w:val="00F6768D"/>
    <w:rsid w:val="00F724C4"/>
    <w:rsid w:val="00F76A4E"/>
    <w:rsid w:val="00F76B0C"/>
    <w:rsid w:val="00F76EB8"/>
    <w:rsid w:val="00F81072"/>
    <w:rsid w:val="00F8357B"/>
    <w:rsid w:val="00F87B9F"/>
    <w:rsid w:val="00F90352"/>
    <w:rsid w:val="00FA5ABB"/>
    <w:rsid w:val="00FA7878"/>
    <w:rsid w:val="00FB08B7"/>
    <w:rsid w:val="00FB340A"/>
    <w:rsid w:val="00FB3EAD"/>
    <w:rsid w:val="00FB4052"/>
    <w:rsid w:val="00FB56AD"/>
    <w:rsid w:val="00FB5AC0"/>
    <w:rsid w:val="00FB6BE4"/>
    <w:rsid w:val="00FB75C4"/>
    <w:rsid w:val="00FC2AAD"/>
    <w:rsid w:val="00FC509E"/>
    <w:rsid w:val="00FC6B4D"/>
    <w:rsid w:val="00FC7349"/>
    <w:rsid w:val="00FD1CAC"/>
    <w:rsid w:val="00FD35F7"/>
    <w:rsid w:val="00FD3EA9"/>
    <w:rsid w:val="00FD571F"/>
    <w:rsid w:val="00FE1237"/>
    <w:rsid w:val="00FE2486"/>
    <w:rsid w:val="00FE2CFA"/>
    <w:rsid w:val="00FE44DC"/>
    <w:rsid w:val="00FE6C7F"/>
    <w:rsid w:val="00FF00FC"/>
    <w:rsid w:val="00FF09E8"/>
    <w:rsid w:val="00FF1284"/>
    <w:rsid w:val="00FF1D6E"/>
    <w:rsid w:val="00FF5AC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47F14165"/>
  <w14:defaultImageDpi w14:val="32767"/>
  <w15:chartTrackingRefBased/>
  <w15:docId w15:val="{D9E922BB-F910-B84B-8404-79761A7843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2B4B3E"/>
    <w:pPr>
      <w:widowControl w:val="0"/>
      <w:spacing w:line="360" w:lineRule="auto"/>
      <w:jc w:val="both"/>
    </w:pPr>
    <w:rPr>
      <w:rFonts w:ascii="Times New Roman" w:eastAsia="Times New Roman" w:hAnsi="Times New Roman" w:cs="Times New Roman"/>
      <w:sz w:val="24"/>
      <w:szCs w:val="24"/>
    </w:rPr>
  </w:style>
  <w:style w:type="paragraph" w:styleId="1">
    <w:name w:val="heading 1"/>
    <w:basedOn w:val="a"/>
    <w:next w:val="a"/>
    <w:link w:val="10"/>
    <w:autoRedefine/>
    <w:qFormat/>
    <w:rsid w:val="00D16B3E"/>
    <w:pPr>
      <w:keepNext/>
      <w:keepLines/>
      <w:spacing w:after="60"/>
      <w:outlineLvl w:val="0"/>
    </w:pPr>
    <w:rPr>
      <w:b/>
      <w:bCs/>
      <w:kern w:val="44"/>
      <w:sz w:val="28"/>
      <w:szCs w:val="44"/>
    </w:rPr>
  </w:style>
  <w:style w:type="paragraph" w:styleId="2">
    <w:name w:val="heading 2"/>
    <w:aliases w:val="Figures"/>
    <w:basedOn w:val="a"/>
    <w:next w:val="a"/>
    <w:link w:val="20"/>
    <w:uiPriority w:val="9"/>
    <w:unhideWhenUsed/>
    <w:qFormat/>
    <w:rsid w:val="002341ED"/>
    <w:pPr>
      <w:keepNext/>
      <w:keepLines/>
      <w:spacing w:afterLines="50" w:after="50" w:line="240" w:lineRule="auto"/>
      <w:jc w:val="center"/>
      <w:outlineLvl w:val="1"/>
    </w:pPr>
    <w:rPr>
      <w:rFonts w:cs="Times New Roman (标题 CS)"/>
      <w:b/>
      <w:bCs/>
    </w:rPr>
  </w:style>
  <w:style w:type="paragraph" w:styleId="3">
    <w:name w:val="heading 3"/>
    <w:basedOn w:val="a"/>
    <w:next w:val="a"/>
    <w:link w:val="30"/>
    <w:uiPriority w:val="9"/>
    <w:unhideWhenUsed/>
    <w:qFormat/>
    <w:rsid w:val="00914A07"/>
    <w:pPr>
      <w:keepNext/>
      <w:keepLines/>
      <w:ind w:firstLineChars="200" w:firstLine="200"/>
      <w:outlineLvl w:val="2"/>
    </w:pPr>
    <w:rPr>
      <w:b/>
      <w:bCs/>
      <w:szCs w:val="32"/>
    </w:rPr>
  </w:style>
  <w:style w:type="paragraph" w:styleId="4">
    <w:name w:val="heading 4"/>
    <w:basedOn w:val="a"/>
    <w:next w:val="a"/>
    <w:link w:val="40"/>
    <w:autoRedefine/>
    <w:uiPriority w:val="9"/>
    <w:unhideWhenUsed/>
    <w:qFormat/>
    <w:rsid w:val="00570DCA"/>
    <w:pPr>
      <w:keepNext/>
      <w:keepLines/>
      <w:spacing w:afterLines="50" w:after="163" w:line="240" w:lineRule="auto"/>
      <w:jc w:val="center"/>
      <w:outlineLvl w:val="3"/>
    </w:pPr>
    <w:rPr>
      <w:rFonts w:eastAsia="等线"/>
      <w:b/>
      <w:bCs/>
    </w:rPr>
  </w:style>
  <w:style w:type="paragraph" w:styleId="5">
    <w:name w:val="heading 5"/>
    <w:aliases w:val="表标题"/>
    <w:basedOn w:val="a"/>
    <w:next w:val="a"/>
    <w:link w:val="50"/>
    <w:autoRedefine/>
    <w:uiPriority w:val="9"/>
    <w:unhideWhenUsed/>
    <w:qFormat/>
    <w:rsid w:val="007B5326"/>
    <w:pPr>
      <w:keepNext/>
      <w:keepLines/>
      <w:spacing w:afterLines="50" w:after="50"/>
      <w:jc w:val="center"/>
      <w:outlineLvl w:val="4"/>
    </w:pPr>
    <w:rPr>
      <w:b/>
      <w:bCs/>
      <w:szCs w:val="28"/>
    </w:rPr>
  </w:style>
  <w:style w:type="paragraph" w:styleId="6">
    <w:name w:val="heading 6"/>
    <w:basedOn w:val="a"/>
    <w:next w:val="a"/>
    <w:link w:val="60"/>
    <w:uiPriority w:val="9"/>
    <w:unhideWhenUsed/>
    <w:qFormat/>
    <w:rsid w:val="003B60E5"/>
    <w:pPr>
      <w:keepNext/>
      <w:keepLines/>
      <w:spacing w:before="240" w:after="64" w:line="320" w:lineRule="auto"/>
      <w:outlineLvl w:val="5"/>
    </w:pPr>
    <w:rPr>
      <w:rFonts w:asciiTheme="majorHAnsi" w:eastAsiaTheme="majorEastAsia" w:hAnsiTheme="majorHAnsi" w:cstheme="majorBidi"/>
      <w:b/>
      <w:bC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标题 1 字符"/>
    <w:basedOn w:val="a0"/>
    <w:link w:val="1"/>
    <w:rsid w:val="00D16B3E"/>
    <w:rPr>
      <w:b/>
      <w:bCs/>
      <w:kern w:val="44"/>
      <w:sz w:val="28"/>
      <w:szCs w:val="44"/>
    </w:rPr>
  </w:style>
  <w:style w:type="paragraph" w:styleId="a3">
    <w:name w:val="Balloon Text"/>
    <w:basedOn w:val="a"/>
    <w:link w:val="a4"/>
    <w:uiPriority w:val="99"/>
    <w:semiHidden/>
    <w:unhideWhenUsed/>
    <w:rsid w:val="00E52F65"/>
    <w:rPr>
      <w:sz w:val="18"/>
      <w:szCs w:val="18"/>
    </w:rPr>
  </w:style>
  <w:style w:type="character" w:customStyle="1" w:styleId="a4">
    <w:name w:val="批注框文本 字符"/>
    <w:basedOn w:val="a0"/>
    <w:link w:val="a3"/>
    <w:uiPriority w:val="99"/>
    <w:semiHidden/>
    <w:rsid w:val="00E52F65"/>
    <w:rPr>
      <w:rFonts w:ascii="Times New Roman" w:hAnsi="Times New Roman" w:cs="Times New Roman"/>
      <w:sz w:val="18"/>
      <w:szCs w:val="18"/>
    </w:rPr>
  </w:style>
  <w:style w:type="character" w:styleId="a5">
    <w:name w:val="annotation reference"/>
    <w:basedOn w:val="a0"/>
    <w:uiPriority w:val="99"/>
    <w:semiHidden/>
    <w:unhideWhenUsed/>
    <w:rsid w:val="00E52F65"/>
    <w:rPr>
      <w:sz w:val="16"/>
      <w:szCs w:val="16"/>
    </w:rPr>
  </w:style>
  <w:style w:type="paragraph" w:styleId="a6">
    <w:name w:val="annotation text"/>
    <w:basedOn w:val="a"/>
    <w:link w:val="a7"/>
    <w:uiPriority w:val="99"/>
    <w:semiHidden/>
    <w:unhideWhenUsed/>
    <w:rsid w:val="00E52F65"/>
    <w:rPr>
      <w:sz w:val="20"/>
      <w:szCs w:val="20"/>
    </w:rPr>
  </w:style>
  <w:style w:type="character" w:customStyle="1" w:styleId="a7">
    <w:name w:val="批注文字 字符"/>
    <w:basedOn w:val="a0"/>
    <w:link w:val="a6"/>
    <w:uiPriority w:val="99"/>
    <w:semiHidden/>
    <w:rsid w:val="00E52F65"/>
    <w:rPr>
      <w:sz w:val="20"/>
      <w:szCs w:val="20"/>
    </w:rPr>
  </w:style>
  <w:style w:type="paragraph" w:styleId="a8">
    <w:name w:val="annotation subject"/>
    <w:basedOn w:val="a6"/>
    <w:next w:val="a6"/>
    <w:link w:val="a9"/>
    <w:uiPriority w:val="99"/>
    <w:semiHidden/>
    <w:unhideWhenUsed/>
    <w:rsid w:val="00E52F65"/>
    <w:rPr>
      <w:b/>
      <w:bCs/>
    </w:rPr>
  </w:style>
  <w:style w:type="character" w:customStyle="1" w:styleId="a9">
    <w:name w:val="批注主题 字符"/>
    <w:basedOn w:val="a7"/>
    <w:link w:val="a8"/>
    <w:uiPriority w:val="99"/>
    <w:semiHidden/>
    <w:rsid w:val="00E52F65"/>
    <w:rPr>
      <w:b/>
      <w:bCs/>
      <w:sz w:val="20"/>
      <w:szCs w:val="20"/>
    </w:rPr>
  </w:style>
  <w:style w:type="paragraph" w:styleId="aa">
    <w:name w:val="header"/>
    <w:basedOn w:val="a"/>
    <w:link w:val="ab"/>
    <w:uiPriority w:val="99"/>
    <w:unhideWhenUsed/>
    <w:rsid w:val="00B07DCE"/>
    <w:pPr>
      <w:pBdr>
        <w:bottom w:val="single" w:sz="6" w:space="1" w:color="auto"/>
      </w:pBdr>
      <w:tabs>
        <w:tab w:val="center" w:pos="4153"/>
        <w:tab w:val="right" w:pos="8306"/>
      </w:tabs>
      <w:snapToGrid w:val="0"/>
      <w:jc w:val="center"/>
    </w:pPr>
    <w:rPr>
      <w:sz w:val="18"/>
      <w:szCs w:val="18"/>
    </w:rPr>
  </w:style>
  <w:style w:type="character" w:customStyle="1" w:styleId="ab">
    <w:name w:val="页眉 字符"/>
    <w:basedOn w:val="a0"/>
    <w:link w:val="aa"/>
    <w:uiPriority w:val="99"/>
    <w:rsid w:val="00B07DCE"/>
    <w:rPr>
      <w:sz w:val="18"/>
      <w:szCs w:val="18"/>
    </w:rPr>
  </w:style>
  <w:style w:type="paragraph" w:styleId="ac">
    <w:name w:val="footer"/>
    <w:basedOn w:val="a"/>
    <w:link w:val="ad"/>
    <w:uiPriority w:val="99"/>
    <w:unhideWhenUsed/>
    <w:rsid w:val="00B07DCE"/>
    <w:pPr>
      <w:tabs>
        <w:tab w:val="center" w:pos="4153"/>
        <w:tab w:val="right" w:pos="8306"/>
      </w:tabs>
      <w:snapToGrid w:val="0"/>
      <w:jc w:val="left"/>
    </w:pPr>
    <w:rPr>
      <w:sz w:val="18"/>
      <w:szCs w:val="18"/>
    </w:rPr>
  </w:style>
  <w:style w:type="character" w:customStyle="1" w:styleId="ad">
    <w:name w:val="页脚 字符"/>
    <w:basedOn w:val="a0"/>
    <w:link w:val="ac"/>
    <w:uiPriority w:val="99"/>
    <w:rsid w:val="00B07DCE"/>
    <w:rPr>
      <w:sz w:val="18"/>
      <w:szCs w:val="18"/>
    </w:rPr>
  </w:style>
  <w:style w:type="character" w:styleId="ae">
    <w:name w:val="line number"/>
    <w:basedOn w:val="a0"/>
    <w:uiPriority w:val="99"/>
    <w:semiHidden/>
    <w:unhideWhenUsed/>
    <w:rsid w:val="00D24B80"/>
  </w:style>
  <w:style w:type="paragraph" w:styleId="af">
    <w:name w:val="List Paragraph"/>
    <w:basedOn w:val="a"/>
    <w:uiPriority w:val="34"/>
    <w:qFormat/>
    <w:rsid w:val="005D2BB3"/>
    <w:pPr>
      <w:ind w:firstLineChars="200" w:firstLine="420"/>
    </w:pPr>
  </w:style>
  <w:style w:type="paragraph" w:styleId="af0">
    <w:name w:val="Title"/>
    <w:basedOn w:val="a"/>
    <w:next w:val="a"/>
    <w:link w:val="af1"/>
    <w:autoRedefine/>
    <w:uiPriority w:val="10"/>
    <w:qFormat/>
    <w:rsid w:val="000D1FF8"/>
    <w:pPr>
      <w:outlineLvl w:val="0"/>
    </w:pPr>
  </w:style>
  <w:style w:type="character" w:customStyle="1" w:styleId="af1">
    <w:name w:val="标题 字符"/>
    <w:basedOn w:val="a0"/>
    <w:link w:val="af0"/>
    <w:uiPriority w:val="10"/>
    <w:rsid w:val="000D1FF8"/>
    <w:rPr>
      <w:rFonts w:ascii="Times New Roman" w:eastAsia="Times New Roman" w:hAnsi="Times New Roman" w:cs="Times New Roman"/>
      <w:sz w:val="24"/>
      <w:szCs w:val="24"/>
    </w:rPr>
  </w:style>
  <w:style w:type="character" w:customStyle="1" w:styleId="20">
    <w:name w:val="标题 2 字符"/>
    <w:aliases w:val="Figures 字符"/>
    <w:basedOn w:val="a0"/>
    <w:link w:val="2"/>
    <w:uiPriority w:val="9"/>
    <w:rsid w:val="002341ED"/>
    <w:rPr>
      <w:rFonts w:ascii="Times New Roman" w:eastAsia="Times New Roman" w:hAnsi="Times New Roman" w:cs="Times New Roman (标题 CS)"/>
      <w:b/>
      <w:bCs/>
      <w:sz w:val="24"/>
      <w:szCs w:val="24"/>
    </w:rPr>
  </w:style>
  <w:style w:type="character" w:customStyle="1" w:styleId="30">
    <w:name w:val="标题 3 字符"/>
    <w:basedOn w:val="a0"/>
    <w:link w:val="3"/>
    <w:uiPriority w:val="9"/>
    <w:rsid w:val="00914A07"/>
    <w:rPr>
      <w:rFonts w:ascii="Times New Roman" w:eastAsia="Times New Roman" w:hAnsi="Times New Roman" w:cs="Times New Roman"/>
      <w:b/>
      <w:bCs/>
      <w:sz w:val="24"/>
      <w:szCs w:val="32"/>
    </w:rPr>
  </w:style>
  <w:style w:type="character" w:customStyle="1" w:styleId="40">
    <w:name w:val="标题 4 字符"/>
    <w:basedOn w:val="a0"/>
    <w:link w:val="4"/>
    <w:uiPriority w:val="9"/>
    <w:rsid w:val="00570DCA"/>
    <w:rPr>
      <w:rFonts w:ascii="Times New Roman" w:eastAsia="等线" w:hAnsi="Times New Roman" w:cs="Times New Roman"/>
      <w:b/>
      <w:bCs/>
      <w:sz w:val="24"/>
      <w:szCs w:val="24"/>
    </w:rPr>
  </w:style>
  <w:style w:type="character" w:customStyle="1" w:styleId="50">
    <w:name w:val="标题 5 字符"/>
    <w:aliases w:val="表标题 字符"/>
    <w:basedOn w:val="a0"/>
    <w:link w:val="5"/>
    <w:uiPriority w:val="9"/>
    <w:rsid w:val="007B5326"/>
    <w:rPr>
      <w:rFonts w:ascii="Times New Roman" w:eastAsia="Times New Roman" w:hAnsi="Times New Roman" w:cs="Times New Roman"/>
      <w:b/>
      <w:bCs/>
      <w:sz w:val="24"/>
      <w:szCs w:val="28"/>
    </w:rPr>
  </w:style>
  <w:style w:type="character" w:customStyle="1" w:styleId="60">
    <w:name w:val="标题 6 字符"/>
    <w:basedOn w:val="a0"/>
    <w:link w:val="6"/>
    <w:uiPriority w:val="9"/>
    <w:rsid w:val="003B60E5"/>
    <w:rPr>
      <w:rFonts w:asciiTheme="majorHAnsi" w:eastAsiaTheme="majorEastAsia" w:hAnsiTheme="majorHAnsi" w:cstheme="majorBidi"/>
      <w:b/>
      <w:bCs/>
      <w:sz w:val="24"/>
      <w:szCs w:val="24"/>
    </w:rPr>
  </w:style>
  <w:style w:type="paragraph" w:customStyle="1" w:styleId="11">
    <w:name w:val="书目1"/>
    <w:basedOn w:val="a"/>
    <w:link w:val="Bibliography"/>
    <w:rsid w:val="0010361C"/>
    <w:pPr>
      <w:tabs>
        <w:tab w:val="left" w:pos="260"/>
      </w:tabs>
      <w:spacing w:line="480" w:lineRule="auto"/>
      <w:ind w:left="264" w:hanging="264"/>
    </w:pPr>
    <w:rPr>
      <w:rFonts w:eastAsia="等线"/>
    </w:rPr>
  </w:style>
  <w:style w:type="character" w:customStyle="1" w:styleId="Bibliography">
    <w:name w:val="Bibliography 字符"/>
    <w:basedOn w:val="a0"/>
    <w:link w:val="11"/>
    <w:rsid w:val="0010361C"/>
    <w:rPr>
      <w:rFonts w:ascii="Times New Roman" w:eastAsia="等线" w:hAnsi="Times New Roman" w:cs="Times New Roman"/>
      <w:sz w:val="24"/>
      <w:szCs w:val="24"/>
    </w:rPr>
  </w:style>
  <w:style w:type="table" w:styleId="af2">
    <w:name w:val="Table Grid"/>
    <w:basedOn w:val="a1"/>
    <w:uiPriority w:val="39"/>
    <w:rsid w:val="001E3DF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31">
    <w:name w:val="Plain Table 3"/>
    <w:basedOn w:val="a1"/>
    <w:uiPriority w:val="43"/>
    <w:rsid w:val="00D12965"/>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51">
    <w:name w:val="Plain Table 5"/>
    <w:basedOn w:val="a1"/>
    <w:uiPriority w:val="45"/>
    <w:rsid w:val="00D12965"/>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41">
    <w:name w:val="Plain Table 4"/>
    <w:basedOn w:val="a1"/>
    <w:uiPriority w:val="44"/>
    <w:rsid w:val="001D506E"/>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32">
    <w:name w:val="Grid Table 3"/>
    <w:basedOn w:val="a1"/>
    <w:uiPriority w:val="48"/>
    <w:rsid w:val="001D506E"/>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character" w:styleId="af3">
    <w:name w:val="Hyperlink"/>
    <w:basedOn w:val="a0"/>
    <w:uiPriority w:val="99"/>
    <w:unhideWhenUsed/>
    <w:rsid w:val="00B7154C"/>
    <w:rPr>
      <w:color w:val="0563C1" w:themeColor="hyperlink"/>
      <w:u w:val="single"/>
    </w:rPr>
  </w:style>
  <w:style w:type="character" w:styleId="af4">
    <w:name w:val="Unresolved Mention"/>
    <w:basedOn w:val="a0"/>
    <w:uiPriority w:val="99"/>
    <w:semiHidden/>
    <w:unhideWhenUsed/>
    <w:rsid w:val="00B7154C"/>
    <w:rPr>
      <w:color w:val="605E5C"/>
      <w:shd w:val="clear" w:color="auto" w:fill="E1DFDD"/>
    </w:rPr>
  </w:style>
  <w:style w:type="character" w:styleId="af5">
    <w:name w:val="FollowedHyperlink"/>
    <w:basedOn w:val="a0"/>
    <w:uiPriority w:val="99"/>
    <w:semiHidden/>
    <w:unhideWhenUsed/>
    <w:rsid w:val="00B7154C"/>
    <w:rPr>
      <w:color w:val="954F72" w:themeColor="followedHyperlink"/>
      <w:u w:val="single"/>
    </w:rPr>
  </w:style>
  <w:style w:type="paragraph" w:styleId="af6">
    <w:name w:val="Bibliography"/>
    <w:basedOn w:val="a"/>
    <w:next w:val="a"/>
    <w:uiPriority w:val="37"/>
    <w:unhideWhenUsed/>
    <w:rsid w:val="00537C6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32795256">
      <w:bodyDiv w:val="1"/>
      <w:marLeft w:val="0"/>
      <w:marRight w:val="0"/>
      <w:marTop w:val="0"/>
      <w:marBottom w:val="0"/>
      <w:divBdr>
        <w:top w:val="none" w:sz="0" w:space="0" w:color="auto"/>
        <w:left w:val="none" w:sz="0" w:space="0" w:color="auto"/>
        <w:bottom w:val="none" w:sz="0" w:space="0" w:color="auto"/>
        <w:right w:val="none" w:sz="0" w:space="0" w:color="auto"/>
      </w:divBdr>
    </w:div>
    <w:div w:id="224151078">
      <w:bodyDiv w:val="1"/>
      <w:marLeft w:val="0"/>
      <w:marRight w:val="0"/>
      <w:marTop w:val="0"/>
      <w:marBottom w:val="0"/>
      <w:divBdr>
        <w:top w:val="none" w:sz="0" w:space="0" w:color="auto"/>
        <w:left w:val="none" w:sz="0" w:space="0" w:color="auto"/>
        <w:bottom w:val="none" w:sz="0" w:space="0" w:color="auto"/>
        <w:right w:val="none" w:sz="0" w:space="0" w:color="auto"/>
      </w:divBdr>
    </w:div>
    <w:div w:id="874124347">
      <w:bodyDiv w:val="1"/>
      <w:marLeft w:val="0"/>
      <w:marRight w:val="0"/>
      <w:marTop w:val="0"/>
      <w:marBottom w:val="0"/>
      <w:divBdr>
        <w:top w:val="none" w:sz="0" w:space="0" w:color="auto"/>
        <w:left w:val="none" w:sz="0" w:space="0" w:color="auto"/>
        <w:bottom w:val="none" w:sz="0" w:space="0" w:color="auto"/>
        <w:right w:val="none" w:sz="0" w:space="0" w:color="auto"/>
      </w:divBdr>
    </w:div>
    <w:div w:id="971138027">
      <w:bodyDiv w:val="1"/>
      <w:marLeft w:val="0"/>
      <w:marRight w:val="0"/>
      <w:marTop w:val="0"/>
      <w:marBottom w:val="0"/>
      <w:divBdr>
        <w:top w:val="none" w:sz="0" w:space="0" w:color="auto"/>
        <w:left w:val="none" w:sz="0" w:space="0" w:color="auto"/>
        <w:bottom w:val="none" w:sz="0" w:space="0" w:color="auto"/>
        <w:right w:val="none" w:sz="0" w:space="0" w:color="auto"/>
      </w:divBdr>
    </w:div>
    <w:div w:id="1027604768">
      <w:bodyDiv w:val="1"/>
      <w:marLeft w:val="0"/>
      <w:marRight w:val="0"/>
      <w:marTop w:val="0"/>
      <w:marBottom w:val="0"/>
      <w:divBdr>
        <w:top w:val="none" w:sz="0" w:space="0" w:color="auto"/>
        <w:left w:val="none" w:sz="0" w:space="0" w:color="auto"/>
        <w:bottom w:val="none" w:sz="0" w:space="0" w:color="auto"/>
        <w:right w:val="none" w:sz="0" w:space="0" w:color="auto"/>
      </w:divBdr>
    </w:div>
    <w:div w:id="1094284689">
      <w:bodyDiv w:val="1"/>
      <w:marLeft w:val="0"/>
      <w:marRight w:val="0"/>
      <w:marTop w:val="0"/>
      <w:marBottom w:val="0"/>
      <w:divBdr>
        <w:top w:val="none" w:sz="0" w:space="0" w:color="auto"/>
        <w:left w:val="none" w:sz="0" w:space="0" w:color="auto"/>
        <w:bottom w:val="none" w:sz="0" w:space="0" w:color="auto"/>
        <w:right w:val="none" w:sz="0" w:space="0" w:color="auto"/>
      </w:divBdr>
    </w:div>
    <w:div w:id="1700736169">
      <w:bodyDiv w:val="1"/>
      <w:marLeft w:val="0"/>
      <w:marRight w:val="0"/>
      <w:marTop w:val="0"/>
      <w:marBottom w:val="0"/>
      <w:divBdr>
        <w:top w:val="none" w:sz="0" w:space="0" w:color="auto"/>
        <w:left w:val="none" w:sz="0" w:space="0" w:color="auto"/>
        <w:bottom w:val="none" w:sz="0" w:space="0" w:color="auto"/>
        <w:right w:val="none" w:sz="0" w:space="0" w:color="auto"/>
      </w:divBdr>
    </w:div>
    <w:div w:id="1871529911">
      <w:bodyDiv w:val="1"/>
      <w:marLeft w:val="0"/>
      <w:marRight w:val="0"/>
      <w:marTop w:val="0"/>
      <w:marBottom w:val="0"/>
      <w:divBdr>
        <w:top w:val="none" w:sz="0" w:space="0" w:color="auto"/>
        <w:left w:val="none" w:sz="0" w:space="0" w:color="auto"/>
        <w:bottom w:val="none" w:sz="0" w:space="0" w:color="auto"/>
        <w:right w:val="none" w:sz="0" w:space="0" w:color="auto"/>
      </w:divBdr>
    </w:div>
    <w:div w:id="21170948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ntTable" Target="fontTable.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文档" ma:contentTypeID="0x0101009B4DE8691CE44B4EB4F887006D36E2E4" ma:contentTypeVersion="10" ma:contentTypeDescription="新建文档。" ma:contentTypeScope="" ma:versionID="2118ce251ef07bb068edb3dcd63e57f5">
  <xsd:schema xmlns:xsd="http://www.w3.org/2001/XMLSchema" xmlns:xs="http://www.w3.org/2001/XMLSchema" xmlns:p="http://schemas.microsoft.com/office/2006/metadata/properties" xmlns:ns3="3e755edd-8f10-40c7-ac20-946b549f698c" targetNamespace="http://schemas.microsoft.com/office/2006/metadata/properties" ma:root="true" ma:fieldsID="233b32a8f7bf80a947dfbebd0a36f0e7" ns3:_="">
    <xsd:import namespace="3e755edd-8f10-40c7-ac20-946b549f698c"/>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DateTaken" minOccurs="0"/>
                <xsd:element ref="ns3:MediaServiceOCR" minOccurs="0"/>
                <xsd:element ref="ns3:MediaServiceLocation" minOccurs="0"/>
                <xsd:element ref="ns3:MediaServiceGenerationTime" minOccurs="0"/>
                <xsd:element ref="ns3:MediaServiceEventHashCode"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e755edd-8f10-40c7-ac20-946b549f698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DateTaken" ma:index="11" nillable="true" ma:displayName="MediaServiceDateTaken" ma:hidden="true" ma:internalName="MediaServiceDateTaken"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Location" ma:index="13" nillable="true" ma:displayName="Location" ma:internalName="MediaServiceLocation"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内容类型"/>
        <xsd:element ref="dc:title" minOccurs="0" maxOccurs="1" ma:index="4" ma:displayName="标题"/>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8F5D6F-44F5-4A72-88D2-BEC8ACEC73E6}">
  <ds:schemaRefs>
    <ds:schemaRef ds:uri="http://schemas.microsoft.com/sharepoint/v3/contenttype/forms"/>
  </ds:schemaRefs>
</ds:datastoreItem>
</file>

<file path=customXml/itemProps2.xml><?xml version="1.0" encoding="utf-8"?>
<ds:datastoreItem xmlns:ds="http://schemas.openxmlformats.org/officeDocument/2006/customXml" ds:itemID="{EF4D4E6A-ED80-4A5D-9E77-8DF4B3D6D604}">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47A75C19-D131-4D41-89C5-3856FCA46CA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e755edd-8f10-40c7-ac20-946b549f698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AA8616CE-E99A-479E-9AAF-45DCBDA71D9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3479</TotalTime>
  <Pages>8</Pages>
  <Words>21241</Words>
  <Characters>121077</Characters>
  <Application>Microsoft Office Word</Application>
  <DocSecurity>0</DocSecurity>
  <Lines>1008</Lines>
  <Paragraphs>284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142034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陈 亚光</dc:creator>
  <cp:keywords/>
  <dc:description/>
  <cp:lastModifiedBy>陈亚光</cp:lastModifiedBy>
  <cp:revision>668</cp:revision>
  <cp:lastPrinted>2021-02-17T20:35:00Z</cp:lastPrinted>
  <dcterms:created xsi:type="dcterms:W3CDTF">2021-01-20T10:13:00Z</dcterms:created>
  <dcterms:modified xsi:type="dcterms:W3CDTF">2022-03-28T11:56:00Z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0x0101009B4DE8691CE44B4EB4F887006D36E2E4</vt:lpwstr>
  </property>
  <property fmtid="{D5CDD505-2E9C-101B-9397-08002B2CF9AE}" pid="3" name="ZOTERO_PREF_1">
    <vt:lpwstr>&lt;data data-version="3" zotero-version="6.0.4"&gt;&lt;session id="fIVzxOuU"/&gt;&lt;style id="http://www.zotero.org/styles/nature" hasBibliography="1" bibliographyStyleHasBeenSet="1"/&gt;&lt;prefs&gt;&lt;pref name="fieldType" value="Field"/&gt;&lt;pref name="automaticJournalAbbreviatio</vt:lpwstr>
  </property>
  <property fmtid="{D5CDD505-2E9C-101B-9397-08002B2CF9AE}" pid="4" name="ZOTERO_PREF_2">
    <vt:lpwstr>ns" value="true"/&gt;&lt;pref name="dontAskDelayCitationUpdates" value="true"/&gt;&lt;/prefs&gt;&lt;/data&gt;</vt:lpwstr>
  </property>
</Properties>
</file>