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E070" w14:textId="62AB80D8" w:rsidR="002C3D37" w:rsidRPr="00EA03CE" w:rsidRDefault="00E7002B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EA03CE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Supplementary Figures</w:t>
      </w:r>
    </w:p>
    <w:p w14:paraId="687ACE1C" w14:textId="269488AE" w:rsidR="00E7002B" w:rsidRDefault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1</w:t>
      </w:r>
    </w:p>
    <w:p w14:paraId="2B4C51FB" w14:textId="308193CC" w:rsidR="00E7002B" w:rsidRDefault="00AF19D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760FC4C9" wp14:editId="73520C26">
            <wp:extent cx="5400040" cy="6474460"/>
            <wp:effectExtent l="0" t="0" r="0" b="2540"/>
            <wp:docPr id="6" name="Imagen 6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 con confianza me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47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8E92" w14:textId="5443D557" w:rsidR="00E7002B" w:rsidRPr="00AF19DC" w:rsidRDefault="00E7002B" w:rsidP="00E7002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1. PRLR </w:t>
      </w:r>
      <w:proofErr w:type="spellStart"/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signaling</w:t>
      </w:r>
      <w:proofErr w:type="spellEnd"/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pathway is differentially expressed in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>AML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comparison to HSCs and early precursors. </w:t>
      </w:r>
      <w:r w:rsidR="00AF19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mRNA expression profiles related to PRLR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signaling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(GSE24006 and KEGG Prolactin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signaling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pathway hsa04917) were selected and hierarchy grouped without supervision, previous normalization by RMA (Robust Multichip Average).  AML patient samples enrich in LSCs were marked.</w:t>
      </w:r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F19DC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B) </w:t>
      </w:r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PRLR (211917_s_at) mRNA expression in healthy blood </w:t>
      </w:r>
      <w:r w:rsidR="007048B9">
        <w:rPr>
          <w:rFonts w:ascii="Times New Roman" w:hAnsi="Times New Roman" w:cs="Times New Roman"/>
          <w:sz w:val="24"/>
          <w:szCs w:val="24"/>
          <w:lang w:val="en-GB"/>
        </w:rPr>
        <w:t>donor</w:t>
      </w:r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 cells (grey), ALL (acute lymphoblastic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, green), AML (acute myeloid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, red), CLL (chronic lymphocytic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, yellow), CML (chronic myeloid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>, orange), and MDS (myelodysplastic syndromes, blue) from the GSR13159 database. **p&lt;0.01; ***p&lt;0.001; ****p&lt;0.0001. (One-way ANOVA, Tukey’s multiple comparison test).</w:t>
      </w:r>
    </w:p>
    <w:p w14:paraId="18D56EF4" w14:textId="385B49C3" w:rsidR="00E7002B" w:rsidRDefault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346D4BB" w14:textId="3E763323" w:rsidR="00E7002B" w:rsidRDefault="00E7002B" w:rsidP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Figure 2</w:t>
      </w:r>
    </w:p>
    <w:p w14:paraId="5794A061" w14:textId="6BBA04FA" w:rsidR="00E7002B" w:rsidRDefault="00E7002B" w:rsidP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770CBB9A" wp14:editId="26176CEA">
            <wp:extent cx="5400040" cy="5452110"/>
            <wp:effectExtent l="0" t="0" r="0" b="0"/>
            <wp:docPr id="2" name="Imagen 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85B3" w14:textId="2B13C704" w:rsidR="00E7002B" w:rsidRDefault="00E7002B" w:rsidP="00E700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2.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Validation of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PRLR-transduced cells</w:t>
      </w:r>
      <w:r w:rsidR="00EA03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AML murine model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A)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PRLR surface expression in PRLR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wt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-transduced (orange) and parental control (grey) MonoMac-1 (MM), HL-60 and SKM-1 cells by flow cytometry. A representative histogram is shown (n=3).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B)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rFLuc</w:t>
      </w:r>
      <w:proofErr w:type="spellEnd"/>
      <w:r w:rsidR="008935A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transduced MonoMac-1 (MM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rFluc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cells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were intravenously injected into </w:t>
      </w:r>
      <w:r w:rsidR="008935A1">
        <w:rPr>
          <w:rFonts w:ascii="Times New Roman" w:hAnsi="Times New Roman" w:cs="Times New Roman"/>
          <w:sz w:val="24"/>
          <w:szCs w:val="24"/>
          <w:lang w:val="en-GB"/>
        </w:rPr>
        <w:t xml:space="preserve">adult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conditioned NSG mice. At day 4, 6, 8, 11 and 13 mice were treated intraperitoneally with the vehicle, PRL or G129R at 0.2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mg/kg. Engraftment was followed by bioluminescence at day 4, 6, 8, 11, 13 and 14.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PRLR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wt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>- (orange) and PRLR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sh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>ort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-transduced (blue)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MonoMac-1 (MM) 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cells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were validated by qPCR (mRNA expression, bars represent 2</w:t>
      </w:r>
      <w:r w:rsidRPr="00C2624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-ΔCt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± SEM) and Western Blot (protein)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with GAPDH as loading control and a representative membrane is shown. *p&lt;0.05; ****p&lt;0.0001 (two-way ANOVA,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Šidák’s</w:t>
      </w:r>
      <w:proofErr w:type="spellEnd"/>
      <w:r w:rsidRPr="00C2624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multiple comparison test, triplicates</w:t>
      </w:r>
      <w:hyperlink r:id="rId6" w:history="1"/>
      <w:r w:rsidRPr="00C2624A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274C6773" w14:textId="39295C21" w:rsidR="00E7002B" w:rsidRDefault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4859BF2" w14:textId="15894024" w:rsidR="00E7002B" w:rsidRDefault="00E7002B" w:rsidP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Figure 3</w:t>
      </w:r>
    </w:p>
    <w:p w14:paraId="02C01E0E" w14:textId="13A8A308" w:rsidR="00E7002B" w:rsidRDefault="00C0028A" w:rsidP="00E700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5CFEC6C7" wp14:editId="524A9E52">
            <wp:extent cx="5400040" cy="3501390"/>
            <wp:effectExtent l="0" t="0" r="0" b="3810"/>
            <wp:docPr id="3" name="Imagen 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EE87C" w14:textId="50405A4B" w:rsidR="00C0028A" w:rsidRPr="00C2624A" w:rsidRDefault="00C0028A" w:rsidP="00C0028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</w:t>
      </w:r>
      <w:r w:rsidR="00EA03C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3. PRLR signal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through Jak2/Stat5. A)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PRLR-transduced MonoMac-1 cells (MM PRLR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wt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>) were treated with the vehicle, PRL (blue) or G129R (red) at different doses for 2h and total protein lysates were obtained. Phosphorylated and total Stat5 were analysed by Western Blot; GAPDH was used as loading control. A representative membrane is shown (n=3).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B)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CRE and SRE reporters were transfected in HEK293T cells and treated with the vehicle (grey), PRL (blue) or G129R (red) at 500 ng/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mL.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The luciferase activity is shown in a representative replicate. **p&lt;0.01 (two-way ANOVA, Tukey’s multiple comparison test, triplicates).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MonoMac-1 (MM, black) and HL-60 (green) were treated with a Stat3, Stat5 and Jak2 inhibitor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for 72h at different doses and viability was analysed by flow cytometry. A representative result was shown (n=3). Bars represent the mean ± SEM.</w:t>
      </w:r>
    </w:p>
    <w:p w14:paraId="47832B52" w14:textId="5FE9A43A" w:rsidR="00C0028A" w:rsidRDefault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787E238B" w14:textId="1F042DB3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Figure 4</w:t>
      </w:r>
    </w:p>
    <w:p w14:paraId="7E59DCF4" w14:textId="054C35E1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57BBBA39" wp14:editId="6DCEE67F">
            <wp:extent cx="5400040" cy="3860800"/>
            <wp:effectExtent l="0" t="0" r="0" b="6350"/>
            <wp:docPr id="4" name="Imagen 4" descr="Imagen de la pantalla de un video 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de la pantalla de un video juego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5748" w14:textId="403BA546" w:rsidR="00C0028A" w:rsidRPr="00C2624A" w:rsidRDefault="00C0028A" w:rsidP="00C0028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4. PRLR confer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chemoresistance to AML. A)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PRLR surface expression analysis in non-refractory (grey) </w:t>
      </w:r>
      <w:r w:rsidR="00F35FF5">
        <w:rPr>
          <w:rFonts w:ascii="Times New Roman" w:hAnsi="Times New Roman" w:cs="Times New Roman"/>
          <w:noProof/>
          <w:sz w:val="24"/>
          <w:szCs w:val="24"/>
          <w:lang w:val="en-GB"/>
        </w:rPr>
        <w:t>vs.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refractory (red) AML patient samples (n=59) by flow cytometry (unpaired t test).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B)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Cytarabine-resistant (red, AraC resistant) and the parental (black) cell lines</w:t>
      </w:r>
      <w:r w:rsidRPr="00C2624A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HL-60 and SKM-1 (black) were validated by flow cytometry. A representative result is shown (n=3).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214E3457" w14:textId="7330504D" w:rsidR="00C0028A" w:rsidRDefault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161ED4B" w14:textId="0F5364A5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Figure 5</w:t>
      </w:r>
    </w:p>
    <w:p w14:paraId="0D48D80D" w14:textId="77A653DD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42EC37ED" wp14:editId="7505ABB6">
            <wp:extent cx="5400040" cy="2905125"/>
            <wp:effectExtent l="0" t="0" r="0" b="9525"/>
            <wp:docPr id="5" name="Imagen 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&#10;&#10;Descripción generada automáticamente con confianza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EADED" w14:textId="171E9D0B" w:rsidR="00C0028A" w:rsidRPr="00C2624A" w:rsidRDefault="00C0028A" w:rsidP="00F35FF5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5. PRLR overexpression does not affect AML proliferation capacity. A)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Proliferation </w:t>
      </w:r>
      <w:r w:rsidR="00B8633E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DiI mean fluorescence intensity</w:t>
      </w:r>
      <w:r w:rsidR="00B8633E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assessed in PRLR-transduced (orange) and parental control (black) HL-60 and SKM-1 cells by flow cytometry (paired t test, duplicates). </w:t>
      </w:r>
      <w:r w:rsidRPr="00C2624A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B)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p16 mRNA expression in PRLR-tranduced (orange) and parental control (grey) HL-60 and SKM-1 cells analysed by qPCR (Unpaired t test, triplicates</w:t>
      </w:r>
      <w:r w:rsidR="00EA03CE">
        <w:rPr>
          <w:rFonts w:ascii="Times New Roman" w:hAnsi="Times New Roman" w:cs="Times New Roman"/>
          <w:noProof/>
          <w:sz w:val="24"/>
          <w:szCs w:val="24"/>
          <w:lang w:val="en-GB"/>
        </w:rPr>
        <w:t>, bars represented 2</w:t>
      </w:r>
      <w:r w:rsidR="00EA03CE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-ΔCt</w:t>
      </w:r>
      <w:r w:rsidR="00EA03C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± SEM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Cell cycle analysis of PRLR-transduced and parental control HL-60 and SKM-1 analysed by flow cytometry. A representative histogram is shown (n=2).</w:t>
      </w:r>
    </w:p>
    <w:p w14:paraId="0A615579" w14:textId="77777777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F859070" w14:textId="77777777" w:rsidR="00C0028A" w:rsidRPr="00E7002B" w:rsidRDefault="00C0028A" w:rsidP="00E700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C0028A" w:rsidRPr="00E700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2B"/>
    <w:rsid w:val="00494A89"/>
    <w:rsid w:val="007048B9"/>
    <w:rsid w:val="00752984"/>
    <w:rsid w:val="008935A1"/>
    <w:rsid w:val="00AF19DC"/>
    <w:rsid w:val="00B8633E"/>
    <w:rsid w:val="00B96E95"/>
    <w:rsid w:val="00C0028A"/>
    <w:rsid w:val="00DD7D9B"/>
    <w:rsid w:val="00E7002B"/>
    <w:rsid w:val="00EA03CE"/>
    <w:rsid w:val="00EE0ACC"/>
    <w:rsid w:val="00F35FF5"/>
    <w:rsid w:val="00F8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6EB8"/>
  <w15:chartTrackingRefBased/>
  <w15:docId w15:val="{7065C4DF-2B47-4CDB-8A0C-17E33596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%C5%A0id%C3%A1k_correctio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583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Cuesta Casanovas</dc:creator>
  <cp:keywords/>
  <dc:description/>
  <cp:lastModifiedBy>Laia Cuesta Casanovas</cp:lastModifiedBy>
  <cp:revision>4</cp:revision>
  <dcterms:created xsi:type="dcterms:W3CDTF">2022-04-20T12:43:00Z</dcterms:created>
  <dcterms:modified xsi:type="dcterms:W3CDTF">2022-04-22T12:07:00Z</dcterms:modified>
</cp:coreProperties>
</file>