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1CE" w:rsidRPr="009469C0" w:rsidRDefault="004871CE" w:rsidP="004871CE">
      <w:pPr>
        <w:pStyle w:val="Listenabsatz"/>
        <w:rPr>
          <w:sz w:val="32"/>
        </w:rPr>
      </w:pPr>
      <w:r>
        <w:rPr>
          <w:sz w:val="32"/>
        </w:rPr>
        <w:t>Inferring the diurnal variability</w:t>
      </w:r>
      <w:r w:rsidRPr="009469C0">
        <w:rPr>
          <w:sz w:val="32"/>
        </w:rPr>
        <w:t xml:space="preserve"> </w:t>
      </w:r>
      <w:r>
        <w:rPr>
          <w:sz w:val="32"/>
        </w:rPr>
        <w:t xml:space="preserve">of </w:t>
      </w:r>
      <w:r w:rsidRPr="009469C0">
        <w:rPr>
          <w:sz w:val="32"/>
        </w:rPr>
        <w:t>OH radical concentrations</w:t>
      </w:r>
      <w:r>
        <w:rPr>
          <w:sz w:val="32"/>
        </w:rPr>
        <w:t xml:space="preserve"> </w:t>
      </w:r>
      <w:r w:rsidRPr="009469C0">
        <w:rPr>
          <w:sz w:val="32"/>
        </w:rPr>
        <w:t xml:space="preserve">over the Amazon </w:t>
      </w:r>
      <w:r>
        <w:rPr>
          <w:sz w:val="32"/>
        </w:rPr>
        <w:t>from</w:t>
      </w:r>
      <w:r w:rsidRPr="009469C0">
        <w:rPr>
          <w:sz w:val="32"/>
        </w:rPr>
        <w:t xml:space="preserve"> BVOC measurements</w:t>
      </w:r>
    </w:p>
    <w:p w:rsidR="004871CE" w:rsidRDefault="004871CE" w:rsidP="004871CE">
      <w:pPr>
        <w:pStyle w:val="Listenabsatz"/>
        <w:rPr>
          <w:sz w:val="28"/>
        </w:rPr>
      </w:pPr>
    </w:p>
    <w:p w:rsidR="004871CE" w:rsidRPr="008A5095" w:rsidRDefault="004871CE" w:rsidP="004871CE">
      <w:pPr>
        <w:pStyle w:val="Listenabsatz"/>
        <w:rPr>
          <w:sz w:val="28"/>
        </w:rPr>
      </w:pPr>
      <w:r w:rsidRPr="00B93DBB">
        <w:rPr>
          <w:sz w:val="28"/>
        </w:rPr>
        <w:t>A. Ringsdorf</w:t>
      </w:r>
      <w:r w:rsidRPr="00B93DBB">
        <w:rPr>
          <w:sz w:val="28"/>
          <w:vertAlign w:val="superscript"/>
        </w:rPr>
        <w:t>1</w:t>
      </w:r>
      <w:r w:rsidRPr="00B93DBB">
        <w:rPr>
          <w:sz w:val="28"/>
        </w:rPr>
        <w:t>, A. Edtbauer</w:t>
      </w:r>
      <w:r w:rsidRPr="00B93DBB">
        <w:rPr>
          <w:sz w:val="28"/>
          <w:vertAlign w:val="superscript"/>
        </w:rPr>
        <w:t>1</w:t>
      </w:r>
      <w:r w:rsidRPr="00B93DBB">
        <w:rPr>
          <w:sz w:val="28"/>
        </w:rPr>
        <w:t xml:space="preserve">, J. </w:t>
      </w:r>
      <w:proofErr w:type="spellStart"/>
      <w:r w:rsidRPr="00B93DBB">
        <w:rPr>
          <w:sz w:val="28"/>
        </w:rPr>
        <w:t>Vilà-Guerau</w:t>
      </w:r>
      <w:proofErr w:type="spellEnd"/>
      <w:r w:rsidRPr="00B93DBB">
        <w:rPr>
          <w:sz w:val="28"/>
        </w:rPr>
        <w:t xml:space="preserve"> de Arellano</w:t>
      </w:r>
      <w:r w:rsidRPr="00B93DBB">
        <w:rPr>
          <w:sz w:val="28"/>
          <w:vertAlign w:val="superscript"/>
        </w:rPr>
        <w:t>1,2</w:t>
      </w:r>
      <w:r w:rsidRPr="00B93DBB">
        <w:rPr>
          <w:sz w:val="28"/>
        </w:rPr>
        <w:t>, E. Y. Pfannerstill</w:t>
      </w:r>
      <w:r w:rsidRPr="00B93DBB">
        <w:rPr>
          <w:sz w:val="28"/>
          <w:vertAlign w:val="superscript"/>
        </w:rPr>
        <w:t>1a</w:t>
      </w:r>
      <w:r w:rsidRPr="00B93DBB">
        <w:rPr>
          <w:sz w:val="28"/>
        </w:rPr>
        <w:t>, S. Gromov</w:t>
      </w:r>
      <w:r w:rsidRPr="00B93DBB">
        <w:rPr>
          <w:sz w:val="28"/>
          <w:vertAlign w:val="superscript"/>
        </w:rPr>
        <w:t>1</w:t>
      </w:r>
      <w:r w:rsidRPr="00B93DBB">
        <w:rPr>
          <w:sz w:val="28"/>
        </w:rPr>
        <w:t>, V. Kumar</w:t>
      </w:r>
      <w:r w:rsidRPr="00B93DBB">
        <w:rPr>
          <w:sz w:val="28"/>
          <w:vertAlign w:val="superscript"/>
        </w:rPr>
        <w:t>3</w:t>
      </w:r>
      <w:r w:rsidRPr="00B93DBB">
        <w:rPr>
          <w:sz w:val="28"/>
        </w:rPr>
        <w:t>, A. Pozzer</w:t>
      </w:r>
      <w:r w:rsidRPr="00B93DBB">
        <w:rPr>
          <w:sz w:val="28"/>
          <w:vertAlign w:val="superscript"/>
        </w:rPr>
        <w:t>1</w:t>
      </w:r>
      <w:r w:rsidRPr="00B93DBB">
        <w:rPr>
          <w:sz w:val="28"/>
        </w:rPr>
        <w:t>, S. Wolff</w:t>
      </w:r>
      <w:r w:rsidRPr="00B93DBB">
        <w:rPr>
          <w:sz w:val="28"/>
          <w:vertAlign w:val="superscript"/>
        </w:rPr>
        <w:t>1</w:t>
      </w:r>
      <w:r w:rsidRPr="00B93DBB">
        <w:rPr>
          <w:sz w:val="28"/>
        </w:rPr>
        <w:t>, A. Tsokankunku</w:t>
      </w:r>
      <w:r w:rsidRPr="00B93DBB">
        <w:rPr>
          <w:sz w:val="28"/>
          <w:vertAlign w:val="superscript"/>
        </w:rPr>
        <w:t>1</w:t>
      </w:r>
      <w:r>
        <w:rPr>
          <w:sz w:val="28"/>
        </w:rPr>
        <w:t>,</w:t>
      </w:r>
      <w:r w:rsidRPr="00B93DBB">
        <w:rPr>
          <w:sz w:val="28"/>
        </w:rPr>
        <w:t xml:space="preserve"> </w:t>
      </w:r>
      <w:r>
        <w:rPr>
          <w:sz w:val="28"/>
        </w:rPr>
        <w:t>M. Soergel</w:t>
      </w:r>
      <w:r w:rsidRPr="00CA75A2">
        <w:rPr>
          <w:sz w:val="28"/>
          <w:vertAlign w:val="superscript"/>
        </w:rPr>
        <w:t>1b</w:t>
      </w:r>
      <w:r>
        <w:rPr>
          <w:sz w:val="28"/>
        </w:rPr>
        <w:t xml:space="preserve">, </w:t>
      </w:r>
      <w:r w:rsidRPr="008A5095">
        <w:rPr>
          <w:sz w:val="28"/>
        </w:rPr>
        <w:t>M. O. Sá</w:t>
      </w:r>
      <w:r w:rsidRPr="008A5095">
        <w:rPr>
          <w:sz w:val="28"/>
          <w:vertAlign w:val="superscript"/>
        </w:rPr>
        <w:t>4</w:t>
      </w:r>
      <w:r w:rsidRPr="008A5095">
        <w:rPr>
          <w:sz w:val="28"/>
        </w:rPr>
        <w:t>, A. Araújo</w:t>
      </w:r>
      <w:r>
        <w:rPr>
          <w:sz w:val="28"/>
          <w:vertAlign w:val="superscript"/>
        </w:rPr>
        <w:t>5</w:t>
      </w:r>
      <w:r w:rsidRPr="008A5095">
        <w:rPr>
          <w:sz w:val="28"/>
        </w:rPr>
        <w:t>, F. Ditas</w:t>
      </w:r>
      <w:r>
        <w:rPr>
          <w:sz w:val="28"/>
          <w:vertAlign w:val="superscript"/>
        </w:rPr>
        <w:t>6c</w:t>
      </w:r>
      <w:r w:rsidRPr="008A5095">
        <w:rPr>
          <w:sz w:val="28"/>
        </w:rPr>
        <w:t>, C. Poehlker</w:t>
      </w:r>
      <w:r>
        <w:rPr>
          <w:sz w:val="28"/>
          <w:vertAlign w:val="superscript"/>
        </w:rPr>
        <w:t>6</w:t>
      </w:r>
      <w:r w:rsidRPr="008A5095">
        <w:rPr>
          <w:sz w:val="28"/>
        </w:rPr>
        <w:t>, J. Lelieveld</w:t>
      </w:r>
      <w:r w:rsidRPr="008A5095">
        <w:rPr>
          <w:sz w:val="28"/>
          <w:vertAlign w:val="superscript"/>
        </w:rPr>
        <w:t>1,</w:t>
      </w:r>
      <w:r>
        <w:rPr>
          <w:sz w:val="28"/>
          <w:vertAlign w:val="superscript"/>
        </w:rPr>
        <w:t>7</w:t>
      </w:r>
      <w:r w:rsidRPr="008A5095">
        <w:rPr>
          <w:sz w:val="28"/>
        </w:rPr>
        <w:t>, J. Williams</w:t>
      </w:r>
      <w:r w:rsidRPr="008A5095">
        <w:rPr>
          <w:sz w:val="28"/>
          <w:vertAlign w:val="superscript"/>
        </w:rPr>
        <w:t>1,</w:t>
      </w:r>
      <w:r>
        <w:rPr>
          <w:sz w:val="28"/>
          <w:vertAlign w:val="superscript"/>
        </w:rPr>
        <w:t>7</w:t>
      </w:r>
    </w:p>
    <w:p w:rsidR="004871CE" w:rsidRDefault="004871CE" w:rsidP="004871CE">
      <w:pPr>
        <w:pStyle w:val="Listenabsatz"/>
        <w:rPr>
          <w:sz w:val="18"/>
          <w:szCs w:val="18"/>
        </w:rPr>
      </w:pPr>
      <w:bookmarkStart w:id="0" w:name="_Hlk103253665"/>
      <w:r>
        <w:rPr>
          <w:sz w:val="18"/>
          <w:szCs w:val="18"/>
          <w:vertAlign w:val="superscript"/>
        </w:rPr>
        <w:t>1</w:t>
      </w:r>
      <w:r w:rsidRPr="007B1771">
        <w:rPr>
          <w:sz w:val="18"/>
          <w:szCs w:val="18"/>
        </w:rPr>
        <w:t>Department of Atmospheric Chemistry, Max Planck Institute for Chemistry, Mainz, Germany</w:t>
      </w:r>
    </w:p>
    <w:p w:rsidR="004871CE" w:rsidRDefault="004871CE" w:rsidP="004871CE">
      <w:pPr>
        <w:pStyle w:val="Listenabsatz"/>
        <w:rPr>
          <w:sz w:val="18"/>
          <w:szCs w:val="18"/>
        </w:rPr>
      </w:pPr>
      <w:bookmarkStart w:id="1" w:name="_Hlk103253880"/>
      <w:bookmarkEnd w:id="0"/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Meteorology and Air Quality Section, University of Wageningen, Netherlands</w:t>
      </w:r>
    </w:p>
    <w:bookmarkEnd w:id="1"/>
    <w:p w:rsidR="004871CE" w:rsidRPr="00893CE8" w:rsidRDefault="004871CE" w:rsidP="004871CE">
      <w:pPr>
        <w:pStyle w:val="Listenabsatz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>Satellite remote sensing group</w:t>
      </w:r>
      <w:r w:rsidRPr="007B1771">
        <w:rPr>
          <w:sz w:val="18"/>
          <w:szCs w:val="18"/>
        </w:rPr>
        <w:t>, Max Planck Institute for Chemistry, Mainz, Germany</w:t>
      </w:r>
    </w:p>
    <w:p w:rsidR="004871CE" w:rsidRDefault="004871CE" w:rsidP="004871CE">
      <w:pPr>
        <w:pStyle w:val="Listenabsatz"/>
        <w:rPr>
          <w:rFonts w:cstheme="minorHAnsi"/>
          <w:sz w:val="18"/>
          <w:szCs w:val="18"/>
        </w:rPr>
      </w:pPr>
      <w:r w:rsidRPr="00700E66">
        <w:rPr>
          <w:rFonts w:cstheme="minorHAnsi"/>
          <w:sz w:val="18"/>
          <w:szCs w:val="18"/>
          <w:vertAlign w:val="superscript"/>
        </w:rPr>
        <w:t>4</w:t>
      </w:r>
      <w:r w:rsidRPr="00700E66">
        <w:rPr>
          <w:rFonts w:cstheme="minorHAnsi"/>
          <w:sz w:val="18"/>
          <w:szCs w:val="18"/>
        </w:rPr>
        <w:t xml:space="preserve">Instituto Nacional de </w:t>
      </w:r>
      <w:proofErr w:type="spellStart"/>
      <w:r w:rsidRPr="00700E66">
        <w:rPr>
          <w:rFonts w:cstheme="minorHAnsi"/>
          <w:sz w:val="18"/>
          <w:szCs w:val="18"/>
        </w:rPr>
        <w:t>Pesquisas</w:t>
      </w:r>
      <w:proofErr w:type="spellEnd"/>
      <w:r w:rsidRPr="00700E66">
        <w:rPr>
          <w:rFonts w:cstheme="minorHAnsi"/>
          <w:sz w:val="18"/>
          <w:szCs w:val="18"/>
        </w:rPr>
        <w:t xml:space="preserve"> da Amazônia (INPA), CEP 69067-375, Manaus, Brazil</w:t>
      </w:r>
    </w:p>
    <w:p w:rsidR="004871CE" w:rsidRPr="00171858" w:rsidRDefault="004871CE" w:rsidP="004871CE">
      <w:pPr>
        <w:pStyle w:val="Listenabsatz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vertAlign w:val="superscript"/>
        </w:rPr>
        <w:t>5</w:t>
      </w:r>
      <w:r w:rsidRPr="00171858">
        <w:rPr>
          <w:rFonts w:cstheme="minorHAnsi"/>
          <w:sz w:val="18"/>
          <w:szCs w:val="18"/>
        </w:rPr>
        <w:t xml:space="preserve">Empresa </w:t>
      </w:r>
      <w:proofErr w:type="spellStart"/>
      <w:r w:rsidRPr="00171858">
        <w:rPr>
          <w:rFonts w:cstheme="minorHAnsi"/>
          <w:sz w:val="18"/>
          <w:szCs w:val="18"/>
        </w:rPr>
        <w:t>Brasileira</w:t>
      </w:r>
      <w:proofErr w:type="spellEnd"/>
      <w:r w:rsidRPr="00171858">
        <w:rPr>
          <w:rFonts w:cstheme="minorHAnsi"/>
          <w:sz w:val="18"/>
          <w:szCs w:val="18"/>
        </w:rPr>
        <w:t xml:space="preserve"> de </w:t>
      </w:r>
      <w:proofErr w:type="spellStart"/>
      <w:r w:rsidRPr="00171858">
        <w:rPr>
          <w:rFonts w:cstheme="minorHAnsi"/>
          <w:sz w:val="18"/>
          <w:szCs w:val="18"/>
        </w:rPr>
        <w:t>Pesquisa</w:t>
      </w:r>
      <w:proofErr w:type="spellEnd"/>
      <w:r w:rsidRPr="00171858">
        <w:rPr>
          <w:rFonts w:cstheme="minorHAnsi"/>
          <w:sz w:val="18"/>
          <w:szCs w:val="18"/>
        </w:rPr>
        <w:t xml:space="preserve"> </w:t>
      </w:r>
      <w:proofErr w:type="spellStart"/>
      <w:r w:rsidRPr="00171858">
        <w:rPr>
          <w:rFonts w:cstheme="minorHAnsi"/>
          <w:sz w:val="18"/>
          <w:szCs w:val="18"/>
        </w:rPr>
        <w:t>Agropecuária</w:t>
      </w:r>
      <w:proofErr w:type="spellEnd"/>
      <w:r w:rsidRPr="00171858">
        <w:rPr>
          <w:rFonts w:cstheme="minorHAnsi"/>
          <w:sz w:val="18"/>
          <w:szCs w:val="18"/>
        </w:rPr>
        <w:t xml:space="preserve"> (</w:t>
      </w:r>
      <w:proofErr w:type="spellStart"/>
      <w:r w:rsidRPr="00171858">
        <w:rPr>
          <w:rFonts w:cstheme="minorHAnsi"/>
          <w:sz w:val="18"/>
          <w:szCs w:val="18"/>
        </w:rPr>
        <w:t>Embrapa</w:t>
      </w:r>
      <w:proofErr w:type="spellEnd"/>
      <w:r w:rsidRPr="00171858">
        <w:rPr>
          <w:rFonts w:cstheme="minorHAnsi"/>
          <w:sz w:val="18"/>
          <w:szCs w:val="18"/>
        </w:rPr>
        <w:t xml:space="preserve">) Amazonia Oriental, CEP 66095-100, </w:t>
      </w:r>
      <w:proofErr w:type="spellStart"/>
      <w:r w:rsidRPr="00171858">
        <w:rPr>
          <w:rFonts w:cstheme="minorHAnsi"/>
          <w:sz w:val="18"/>
          <w:szCs w:val="18"/>
        </w:rPr>
        <w:t>Belém</w:t>
      </w:r>
      <w:proofErr w:type="spellEnd"/>
      <w:r w:rsidRPr="00171858">
        <w:rPr>
          <w:rFonts w:cstheme="minorHAnsi"/>
          <w:sz w:val="18"/>
          <w:szCs w:val="18"/>
        </w:rPr>
        <w:t xml:space="preserve">, Brazil </w:t>
      </w:r>
    </w:p>
    <w:p w:rsidR="004871CE" w:rsidRPr="00D83464" w:rsidRDefault="004871CE" w:rsidP="004871CE">
      <w:pPr>
        <w:pStyle w:val="Listenabsatz"/>
        <w:rPr>
          <w:sz w:val="18"/>
          <w:szCs w:val="18"/>
        </w:rPr>
      </w:pPr>
      <w:r>
        <w:rPr>
          <w:sz w:val="18"/>
          <w:szCs w:val="18"/>
          <w:vertAlign w:val="superscript"/>
        </w:rPr>
        <w:t>6</w:t>
      </w:r>
      <w:r w:rsidRPr="007B1771">
        <w:rPr>
          <w:sz w:val="18"/>
          <w:szCs w:val="18"/>
        </w:rPr>
        <w:t xml:space="preserve">Department of </w:t>
      </w:r>
      <w:r>
        <w:rPr>
          <w:sz w:val="18"/>
          <w:szCs w:val="18"/>
        </w:rPr>
        <w:t>Multiphase</w:t>
      </w:r>
      <w:r w:rsidRPr="007B1771">
        <w:rPr>
          <w:sz w:val="18"/>
          <w:szCs w:val="18"/>
        </w:rPr>
        <w:t xml:space="preserve"> Chemistry, Max Planck Institute for Chemistry, Mainz, Germany</w:t>
      </w:r>
    </w:p>
    <w:p w:rsidR="004871CE" w:rsidRDefault="004871CE" w:rsidP="004871CE">
      <w:pPr>
        <w:pStyle w:val="Listenabsatz"/>
        <w:rPr>
          <w:sz w:val="18"/>
          <w:szCs w:val="18"/>
        </w:rPr>
      </w:pPr>
      <w:r>
        <w:rPr>
          <w:sz w:val="18"/>
          <w:szCs w:val="18"/>
          <w:vertAlign w:val="superscript"/>
        </w:rPr>
        <w:t>7</w:t>
      </w:r>
      <w:r>
        <w:rPr>
          <w:sz w:val="18"/>
          <w:szCs w:val="18"/>
        </w:rPr>
        <w:t>Climate and Atmosphere</w:t>
      </w:r>
      <w:r w:rsidRPr="007B1771">
        <w:rPr>
          <w:sz w:val="18"/>
          <w:szCs w:val="18"/>
        </w:rPr>
        <w:t xml:space="preserve"> Research Center, The Cyprus Institute,</w:t>
      </w:r>
      <w:r>
        <w:rPr>
          <w:sz w:val="18"/>
          <w:szCs w:val="18"/>
        </w:rPr>
        <w:t xml:space="preserve"> 1645</w:t>
      </w:r>
      <w:r w:rsidRPr="007B1771">
        <w:rPr>
          <w:sz w:val="18"/>
          <w:szCs w:val="18"/>
        </w:rPr>
        <w:t xml:space="preserve"> Nicosia, Cyprus</w:t>
      </w:r>
    </w:p>
    <w:p w:rsidR="004871CE" w:rsidRDefault="004871CE" w:rsidP="004871CE">
      <w:pPr>
        <w:pStyle w:val="Listenabsatz"/>
        <w:rPr>
          <w:sz w:val="18"/>
          <w:szCs w:val="18"/>
        </w:rPr>
      </w:pPr>
      <w:proofErr w:type="spellStart"/>
      <w:r w:rsidRPr="00306102">
        <w:rPr>
          <w:sz w:val="18"/>
          <w:szCs w:val="18"/>
          <w:vertAlign w:val="superscript"/>
        </w:rPr>
        <w:t>a</w:t>
      </w:r>
      <w:r w:rsidRPr="00306102">
        <w:rPr>
          <w:sz w:val="18"/>
          <w:szCs w:val="18"/>
        </w:rPr>
        <w:t>now</w:t>
      </w:r>
      <w:proofErr w:type="spellEnd"/>
      <w:r>
        <w:rPr>
          <w:sz w:val="18"/>
          <w:szCs w:val="18"/>
        </w:rPr>
        <w:t xml:space="preserve"> at: Department of Environmental Science, Policy, and Management, University of California, Berkeley, 94720, CA, USA</w:t>
      </w:r>
    </w:p>
    <w:p w:rsidR="004871CE" w:rsidRPr="003F334E" w:rsidRDefault="004871CE" w:rsidP="004871CE">
      <w:pPr>
        <w:pStyle w:val="Listenabsatz"/>
        <w:rPr>
          <w:sz w:val="18"/>
          <w:szCs w:val="18"/>
          <w:lang w:val="de-DE"/>
        </w:rPr>
      </w:pPr>
      <w:proofErr w:type="spellStart"/>
      <w:r w:rsidRPr="003F334E">
        <w:rPr>
          <w:sz w:val="18"/>
          <w:szCs w:val="18"/>
          <w:vertAlign w:val="superscript"/>
          <w:lang w:val="de-DE"/>
        </w:rPr>
        <w:t>b</w:t>
      </w:r>
      <w:r w:rsidRPr="003F334E">
        <w:rPr>
          <w:sz w:val="18"/>
          <w:szCs w:val="18"/>
          <w:lang w:val="de-DE"/>
        </w:rPr>
        <w:t>now</w:t>
      </w:r>
      <w:proofErr w:type="spellEnd"/>
      <w:r w:rsidRPr="003F334E">
        <w:rPr>
          <w:sz w:val="18"/>
          <w:szCs w:val="18"/>
          <w:lang w:val="de-DE"/>
        </w:rPr>
        <w:t xml:space="preserve"> at: </w:t>
      </w:r>
      <w:r w:rsidRPr="00297C1D">
        <w:rPr>
          <w:sz w:val="18"/>
          <w:szCs w:val="18"/>
          <w:lang w:val="de-DE"/>
        </w:rPr>
        <w:t>Friedrich-Alexander-Universität Erlangen-Nürnberg, Sachgebiet Arbeitssicherheit, Erlangen</w:t>
      </w:r>
      <w:r>
        <w:rPr>
          <w:sz w:val="18"/>
          <w:szCs w:val="18"/>
          <w:lang w:val="de-DE"/>
        </w:rPr>
        <w:t xml:space="preserve">, </w:t>
      </w:r>
      <w:r w:rsidRPr="00297C1D">
        <w:rPr>
          <w:sz w:val="18"/>
          <w:szCs w:val="18"/>
          <w:lang w:val="de-DE"/>
        </w:rPr>
        <w:t>Germany</w:t>
      </w:r>
    </w:p>
    <w:p w:rsidR="004871CE" w:rsidRDefault="004871CE" w:rsidP="004871CE">
      <w:pPr>
        <w:pStyle w:val="Listenabsatz"/>
        <w:rPr>
          <w:sz w:val="18"/>
          <w:szCs w:val="18"/>
        </w:rPr>
      </w:pPr>
      <w:proofErr w:type="spellStart"/>
      <w:r>
        <w:rPr>
          <w:sz w:val="18"/>
          <w:szCs w:val="18"/>
          <w:vertAlign w:val="superscript"/>
        </w:rPr>
        <w:t>c</w:t>
      </w:r>
      <w:r>
        <w:rPr>
          <w:sz w:val="18"/>
          <w:szCs w:val="18"/>
        </w:rPr>
        <w:t>now</w:t>
      </w:r>
      <w:proofErr w:type="spellEnd"/>
      <w:r>
        <w:rPr>
          <w:sz w:val="18"/>
          <w:szCs w:val="18"/>
        </w:rPr>
        <w:t xml:space="preserve"> at: </w:t>
      </w:r>
      <w:r w:rsidRPr="00745F6E">
        <w:rPr>
          <w:sz w:val="18"/>
          <w:szCs w:val="18"/>
        </w:rPr>
        <w:t>Hessian Agency for Nature Conservation, Environment and Geology, Wiesbaden, Germany</w:t>
      </w:r>
    </w:p>
    <w:p w:rsidR="004871CE" w:rsidRDefault="004871CE" w:rsidP="004871CE">
      <w:pPr>
        <w:spacing w:before="100" w:beforeAutospacing="1" w:after="100" w:afterAutospacing="1" w:line="240" w:lineRule="auto"/>
        <w:jc w:val="left"/>
        <w:rPr>
          <w:sz w:val="32"/>
        </w:rPr>
      </w:pPr>
      <w:bookmarkStart w:id="2" w:name="_GoBack"/>
      <w:bookmarkEnd w:id="2"/>
    </w:p>
    <w:p w:rsidR="004871CE" w:rsidRDefault="004871CE" w:rsidP="004871CE">
      <w:pPr>
        <w:spacing w:before="100" w:beforeAutospacing="1" w:after="100" w:afterAutospacing="1" w:line="240" w:lineRule="auto"/>
        <w:jc w:val="left"/>
        <w:rPr>
          <w:sz w:val="32"/>
        </w:rPr>
      </w:pPr>
      <w:r w:rsidRPr="004507CE">
        <w:rPr>
          <w:sz w:val="32"/>
        </w:rPr>
        <w:t>Supplementary</w:t>
      </w:r>
    </w:p>
    <w:p w:rsidR="004871CE" w:rsidRPr="0024590B" w:rsidRDefault="004871CE" w:rsidP="004871CE">
      <w:pPr>
        <w:spacing w:before="100" w:beforeAutospacing="1" w:after="100" w:afterAutospacing="1" w:line="240" w:lineRule="auto"/>
        <w:rPr>
          <w:i/>
          <w:sz w:val="32"/>
        </w:rPr>
      </w:pPr>
      <w:r w:rsidRPr="0024590B">
        <w:rPr>
          <w:b/>
          <w:i/>
          <w:sz w:val="24"/>
        </w:rPr>
        <w:t>Table S1:</w:t>
      </w:r>
      <w:r w:rsidRPr="0024590B">
        <w:rPr>
          <w:i/>
          <w:sz w:val="24"/>
        </w:rPr>
        <w:t xml:space="preserve"> Daytime chemical reaction scheme applied in DALES. The reaction rate coefficients for first order reactions [s-1] and second order reactions [cm</w:t>
      </w:r>
      <w:r w:rsidRPr="0024590B">
        <w:rPr>
          <w:i/>
          <w:sz w:val="24"/>
          <w:vertAlign w:val="superscript"/>
        </w:rPr>
        <w:t>3</w:t>
      </w:r>
      <w:r w:rsidRPr="0024590B">
        <w:rPr>
          <w:i/>
          <w:sz w:val="24"/>
        </w:rPr>
        <w:t xml:space="preserve"> modelcules</w:t>
      </w:r>
      <w:r w:rsidRPr="0024590B">
        <w:rPr>
          <w:i/>
          <w:sz w:val="24"/>
          <w:vertAlign w:val="superscript"/>
        </w:rPr>
        <w:t>-1</w:t>
      </w:r>
      <w:r w:rsidRPr="0024590B">
        <w:rPr>
          <w:i/>
          <w:sz w:val="24"/>
        </w:rPr>
        <w:t xml:space="preserve"> s</w:t>
      </w:r>
      <w:r w:rsidRPr="0024590B">
        <w:rPr>
          <w:i/>
          <w:sz w:val="24"/>
          <w:vertAlign w:val="superscript"/>
        </w:rPr>
        <w:t>-1</w:t>
      </w:r>
      <w:r w:rsidRPr="0024590B">
        <w:rPr>
          <w:i/>
          <w:sz w:val="24"/>
        </w:rPr>
        <w:t>] are presented in the right column with T representing the air temperature [K]. The rate coefficient of R17 is shown below the table. Species in brackets are chemically inactive. The n is a variable describing the recycling efficiency by giving the number of OH molecules emerging from the reaction R19. R1 and R6 are reactions depending on the photolysis of the respective species.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034"/>
        <w:gridCol w:w="3945"/>
        <w:gridCol w:w="2475"/>
      </w:tblGrid>
      <w:tr w:rsidR="004871CE" w:rsidRPr="00C6306F" w:rsidTr="00733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Number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Chemical equation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Reaction rate constant</w:t>
            </w:r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(</w:t>
            </w:r>
            <w:proofErr w:type="spellStart"/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>hv</w:t>
            </w:r>
            <w:proofErr w:type="spellEnd"/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 xml:space="preserve">)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 xml:space="preserve"> 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1D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3.83×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-5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-0.575</m:t>
                    </m:r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1D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O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2OH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1.63×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-10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60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R3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1D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N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 xml:space="preserve"> 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2.15×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-11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110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R4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1D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3.30×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-11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55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R5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(O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)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NO + 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1.67×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-0.575</m:t>
                    </m:r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R6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 + (</w:t>
            </w:r>
            <w:proofErr w:type="spellStart"/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>hv</w:t>
            </w:r>
            <w:proofErr w:type="spellEnd"/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)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1.47×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-4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-0.575</m:t>
                    </m:r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R7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OH + CO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(CO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2.40×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-13</m:t>
                    </m:r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R8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OH + 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4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2.45×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-1755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R9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OH + ISO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RO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1.00×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-10</m:t>
                    </m:r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R10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OH + MVK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2.40×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-11</m:t>
                    </m:r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R11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OH +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 + (O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4.80×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-11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250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lastRenderedPageBreak/>
              <w:t>R12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OH + 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 +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2.90×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-160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R13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NO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OH + 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3.50×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250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R14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NO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2.80×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300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R15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RO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NO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box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→</m:t>
                  </m:r>
                </m:e>
              </m:box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</w:t>
            </w:r>
            <w:proofErr w:type="gramStart"/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MVK  +</w:t>
            </w:r>
            <w:proofErr w:type="gramEnd"/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1.00×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-11</m:t>
                    </m:r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R16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tabs>
                <w:tab w:val="left" w:pos="1125"/>
              </w:tabs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OH + 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O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→</m:t>
              </m:r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5.50×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125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R17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2HO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→</m:t>
              </m:r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(O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k*</w:t>
            </w:r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R18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CH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→</m:t>
              </m:r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>Product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4.10×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-13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750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R19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RO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HO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→</m:t>
              </m:r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>n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OH</w:t>
            </w:r>
            <w:proofErr w:type="spellEnd"/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</w:t>
            </w:r>
            <w:r w:rsidRPr="00C6306F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>Product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1.50×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-11</m:t>
                    </m:r>
                  </m:sup>
                </m:sSup>
              </m:oMath>
            </m:oMathPara>
          </w:p>
        </w:tc>
      </w:tr>
      <w:tr w:rsidR="004871CE" w:rsidRPr="00C6306F" w:rsidTr="00733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R20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OH + 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→</m:t>
              </m:r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3.50×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340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  <w:tr w:rsidR="004871CE" w:rsidRPr="00C6306F" w:rsidTr="00733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b w:val="0"/>
                <w:sz w:val="24"/>
                <w:szCs w:val="24"/>
                <w:lang w:eastAsia="de-DE"/>
              </w:rPr>
              <w:t>R21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NO + 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3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→</m:t>
              </m:r>
            </m:oMath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NO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+ (O</w:t>
            </w:r>
            <w:r w:rsidRPr="00C6306F">
              <w:rPr>
                <w:rFonts w:eastAsia="Times New Roman" w:cstheme="minorHAnsi"/>
                <w:sz w:val="24"/>
                <w:szCs w:val="24"/>
                <w:vertAlign w:val="subscript"/>
                <w:lang w:eastAsia="de-DE"/>
              </w:rPr>
              <w:t>2</w:t>
            </w:r>
            <w:r w:rsidRPr="00C6306F">
              <w:rPr>
                <w:rFonts w:eastAsia="Times New Roman" w:cstheme="minorHAnsi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0" w:type="auto"/>
          </w:tcPr>
          <w:p w:rsidR="004871CE" w:rsidRPr="00C6306F" w:rsidRDefault="004871CE" w:rsidP="00733C61">
            <w:pPr>
              <w:keepNext/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3.00×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eastAsia="de-DE"/>
                      </w:rPr>
                      <m:t>-12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eastAsia="de-DE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eastAsia="de-D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eastAsia="de-D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-1500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de-DE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</w:tc>
      </w:tr>
    </w:tbl>
    <w:p w:rsidR="004871CE" w:rsidRPr="00C6306F" w:rsidRDefault="004871CE" w:rsidP="004871CE">
      <w:pPr>
        <w:pStyle w:val="Beschriftung"/>
        <w:jc w:val="left"/>
        <w:rPr>
          <w:rFonts w:cstheme="minorHAnsi"/>
          <w:color w:val="auto"/>
          <w:sz w:val="20"/>
          <w:szCs w:val="22"/>
          <w:lang w:val="de-DE"/>
        </w:rPr>
      </w:pPr>
      <w:r w:rsidRPr="00C6306F">
        <w:rPr>
          <w:rFonts w:cstheme="minorHAnsi"/>
          <w:color w:val="auto"/>
          <w:sz w:val="24"/>
          <w:lang w:val="de-DE"/>
        </w:rPr>
        <w:t xml:space="preserve">* </w:t>
      </w:r>
      <w:r w:rsidRPr="00C6306F">
        <w:rPr>
          <w:rFonts w:cstheme="minorHAnsi"/>
          <w:color w:val="auto"/>
          <w:sz w:val="20"/>
          <w:szCs w:val="22"/>
          <w:lang w:val="de-DE"/>
        </w:rPr>
        <w:t>k = (k</w:t>
      </w:r>
      <w:r w:rsidRPr="00C6306F">
        <w:rPr>
          <w:rFonts w:cstheme="minorHAnsi"/>
          <w:color w:val="auto"/>
          <w:sz w:val="20"/>
          <w:szCs w:val="22"/>
          <w:vertAlign w:val="subscript"/>
          <w:lang w:val="de-DE"/>
        </w:rPr>
        <w:t>1</w:t>
      </w:r>
      <w:r w:rsidRPr="00C6306F">
        <w:rPr>
          <w:rFonts w:cstheme="minorHAnsi"/>
          <w:color w:val="auto"/>
          <w:sz w:val="20"/>
          <w:szCs w:val="22"/>
          <w:lang w:val="de-DE"/>
        </w:rPr>
        <w:t xml:space="preserve"> + k</w:t>
      </w:r>
      <w:r w:rsidRPr="00C6306F">
        <w:rPr>
          <w:rFonts w:cstheme="minorHAnsi"/>
          <w:color w:val="auto"/>
          <w:sz w:val="20"/>
          <w:szCs w:val="22"/>
          <w:vertAlign w:val="subscript"/>
          <w:lang w:val="de-DE"/>
        </w:rPr>
        <w:t>2</w:t>
      </w:r>
      <w:r w:rsidRPr="00C6306F">
        <w:rPr>
          <w:rFonts w:cstheme="minorHAnsi"/>
          <w:color w:val="auto"/>
          <w:sz w:val="20"/>
          <w:szCs w:val="22"/>
          <w:lang w:val="de-DE"/>
        </w:rPr>
        <w:t>)k</w:t>
      </w:r>
      <w:r w:rsidRPr="00C6306F">
        <w:rPr>
          <w:rFonts w:cstheme="minorHAnsi"/>
          <w:color w:val="auto"/>
          <w:sz w:val="20"/>
          <w:szCs w:val="22"/>
          <w:vertAlign w:val="subscript"/>
          <w:lang w:val="de-DE"/>
        </w:rPr>
        <w:t>3</w:t>
      </w:r>
      <w:r w:rsidRPr="00C6306F">
        <w:rPr>
          <w:rFonts w:cstheme="minorHAnsi"/>
          <w:color w:val="auto"/>
          <w:sz w:val="20"/>
          <w:szCs w:val="22"/>
          <w:lang w:val="de-DE"/>
        </w:rPr>
        <w:t xml:space="preserve">, </w:t>
      </w:r>
      <w:r w:rsidRPr="00C6306F">
        <w:rPr>
          <w:rFonts w:eastAsiaTheme="minorEastAsia" w:cstheme="minorHAnsi"/>
          <w:color w:val="auto"/>
          <w:sz w:val="20"/>
          <w:szCs w:val="22"/>
          <w:lang w:val="de-DE"/>
        </w:rPr>
        <w:t>k</w:t>
      </w:r>
      <w:r w:rsidRPr="00C6306F">
        <w:rPr>
          <w:rFonts w:eastAsiaTheme="minorEastAsia" w:cstheme="minorHAnsi"/>
          <w:color w:val="auto"/>
          <w:sz w:val="20"/>
          <w:szCs w:val="22"/>
          <w:vertAlign w:val="subscript"/>
          <w:lang w:val="de-DE"/>
        </w:rPr>
        <w:t>1</w:t>
      </w:r>
      <w:r w:rsidRPr="00C6306F">
        <w:rPr>
          <w:rFonts w:eastAsiaTheme="minorEastAsia" w:cstheme="minorHAnsi"/>
          <w:color w:val="auto"/>
          <w:sz w:val="20"/>
          <w:szCs w:val="22"/>
          <w:lang w:val="de-DE"/>
        </w:rPr>
        <w:t xml:space="preserve"> = </w:t>
      </w:r>
      <m:oMath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2.2×</m:t>
        </m:r>
        <m:sSup>
          <m:sSupPr>
            <m:ctrlPr>
              <w:rPr>
                <w:rFonts w:ascii="Cambria Math" w:eastAsia="Times New Roman" w:hAnsi="Cambria Math" w:cstheme="minorHAnsi"/>
                <w:i w:val="0"/>
                <w:color w:val="auto"/>
                <w:sz w:val="20"/>
                <w:szCs w:val="22"/>
                <w:lang w:eastAsia="de-DE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val="de-DE" w:eastAsia="de-DE"/>
              </w:rPr>
              <m:t>10</m:t>
            </m:r>
          </m:e>
          <m:sup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val="de-DE" w:eastAsia="de-DE"/>
              </w:rPr>
              <m:t>-13</m:t>
            </m:r>
          </m:sup>
        </m:sSup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∙</m:t>
        </m:r>
        <m:sSup>
          <m:sSupPr>
            <m:ctrlPr>
              <w:rPr>
                <w:rFonts w:ascii="Cambria Math" w:eastAsia="Times New Roman" w:hAnsi="Cambria Math" w:cstheme="minorHAnsi"/>
                <w:i w:val="0"/>
                <w:color w:val="auto"/>
                <w:sz w:val="20"/>
                <w:szCs w:val="22"/>
                <w:lang w:eastAsia="de-DE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</w:rPr>
              <m:t>e</m:t>
            </m:r>
          </m:e>
          <m:sup>
            <m:f>
              <m:fPr>
                <m:ctrlPr>
                  <w:rPr>
                    <w:rFonts w:ascii="Cambria Math" w:eastAsia="Times New Roman" w:hAnsi="Cambria Math" w:cstheme="minorHAnsi"/>
                    <w:i w:val="0"/>
                    <w:color w:val="auto"/>
                    <w:sz w:val="20"/>
                    <w:szCs w:val="22"/>
                    <w:lang w:eastAsia="de-DE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val="de-DE" w:eastAsia="de-DE"/>
                  </w:rPr>
                  <m:t>600</m:t>
                </m:r>
              </m:num>
              <m:den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eastAsia="de-DE"/>
                  </w:rPr>
                  <m:t>T</m:t>
                </m:r>
              </m:den>
            </m:f>
          </m:sup>
        </m:sSup>
      </m:oMath>
      <w:r w:rsidRPr="00C6306F">
        <w:rPr>
          <w:rFonts w:eastAsiaTheme="minorEastAsia" w:cstheme="minorHAnsi"/>
          <w:color w:val="auto"/>
          <w:sz w:val="20"/>
          <w:szCs w:val="22"/>
          <w:lang w:val="de-DE" w:eastAsia="de-DE"/>
        </w:rPr>
        <w:t>, k</w:t>
      </w:r>
      <w:r w:rsidRPr="00C6306F">
        <w:rPr>
          <w:rFonts w:eastAsiaTheme="minorEastAsia" w:cstheme="minorHAnsi"/>
          <w:color w:val="auto"/>
          <w:sz w:val="20"/>
          <w:szCs w:val="22"/>
          <w:vertAlign w:val="subscript"/>
          <w:lang w:val="de-DE" w:eastAsia="de-DE"/>
        </w:rPr>
        <w:t>2</w:t>
      </w:r>
      <w:r w:rsidRPr="00C6306F">
        <w:rPr>
          <w:rFonts w:eastAsiaTheme="minorEastAsia" w:cstheme="minorHAnsi"/>
          <w:color w:val="auto"/>
          <w:sz w:val="20"/>
          <w:szCs w:val="22"/>
          <w:lang w:val="de-DE" w:eastAsia="de-DE"/>
        </w:rPr>
        <w:t xml:space="preserve"> = </w:t>
      </w:r>
      <m:oMath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1.90×</m:t>
        </m:r>
        <m:sSup>
          <m:sSupPr>
            <m:ctrlPr>
              <w:rPr>
                <w:rFonts w:ascii="Cambria Math" w:eastAsia="Times New Roman" w:hAnsi="Cambria Math" w:cstheme="minorHAnsi"/>
                <w:i w:val="0"/>
                <w:color w:val="auto"/>
                <w:sz w:val="20"/>
                <w:szCs w:val="22"/>
                <w:lang w:eastAsia="de-DE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val="de-DE" w:eastAsia="de-DE"/>
              </w:rPr>
              <m:t>10</m:t>
            </m:r>
          </m:e>
          <m:sup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val="de-DE" w:eastAsia="de-DE"/>
              </w:rPr>
              <m:t>-33</m:t>
            </m:r>
          </m:sup>
        </m:sSup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∙</m:t>
        </m:r>
        <m:sSup>
          <m:sSupPr>
            <m:ctrlPr>
              <w:rPr>
                <w:rFonts w:ascii="Cambria Math" w:eastAsia="Times New Roman" w:hAnsi="Cambria Math" w:cstheme="minorHAnsi"/>
                <w:i w:val="0"/>
                <w:color w:val="auto"/>
                <w:sz w:val="20"/>
                <w:szCs w:val="22"/>
                <w:lang w:eastAsia="de-DE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</w:rPr>
              <m:t>e</m:t>
            </m:r>
          </m:e>
          <m:sup>
            <m:f>
              <m:fPr>
                <m:ctrlPr>
                  <w:rPr>
                    <w:rFonts w:ascii="Cambria Math" w:eastAsia="Times New Roman" w:hAnsi="Cambria Math" w:cstheme="minorHAnsi"/>
                    <w:i w:val="0"/>
                    <w:color w:val="auto"/>
                    <w:sz w:val="20"/>
                    <w:szCs w:val="22"/>
                    <w:lang w:eastAsia="de-DE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val="de-DE" w:eastAsia="de-DE"/>
                  </w:rPr>
                  <m:t>980</m:t>
                </m:r>
              </m:num>
              <m:den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eastAsia="de-DE"/>
                  </w:rPr>
                  <m:t>T</m:t>
                </m:r>
              </m:den>
            </m:f>
          </m:sup>
        </m:sSup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 xml:space="preserve">∙ </m:t>
        </m:r>
        <m:sSub>
          <m:sSubPr>
            <m:ctrlP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eastAsia="de-DE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eastAsia="de-DE"/>
              </w:rPr>
              <m:t>c</m:t>
            </m:r>
          </m:e>
          <m:sub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eastAsia="de-DE"/>
              </w:rPr>
              <m:t>air</m:t>
            </m:r>
          </m:sub>
        </m:sSub>
      </m:oMath>
      <w:r w:rsidRPr="00C6306F">
        <w:rPr>
          <w:rFonts w:eastAsiaTheme="minorEastAsia" w:cstheme="minorHAnsi"/>
          <w:color w:val="auto"/>
          <w:sz w:val="20"/>
          <w:szCs w:val="22"/>
          <w:lang w:val="de-DE" w:eastAsia="de-DE"/>
        </w:rPr>
        <w:t>, k</w:t>
      </w:r>
      <w:r w:rsidRPr="00C6306F">
        <w:rPr>
          <w:rFonts w:eastAsiaTheme="minorEastAsia" w:cstheme="minorHAnsi"/>
          <w:color w:val="auto"/>
          <w:sz w:val="20"/>
          <w:szCs w:val="22"/>
          <w:vertAlign w:val="subscript"/>
          <w:lang w:val="de-DE" w:eastAsia="de-DE"/>
        </w:rPr>
        <w:t>3</w:t>
      </w:r>
      <w:r w:rsidRPr="00C6306F">
        <w:rPr>
          <w:rFonts w:eastAsiaTheme="minorEastAsia" w:cstheme="minorHAnsi"/>
          <w:color w:val="auto"/>
          <w:sz w:val="20"/>
          <w:szCs w:val="22"/>
          <w:lang w:val="de-DE" w:eastAsia="de-DE"/>
        </w:rPr>
        <w:t xml:space="preserve"> =</w:t>
      </w:r>
      <m:oMath>
        <m:r>
          <w:rPr>
            <w:rFonts w:ascii="Cambria Math" w:eastAsiaTheme="minorEastAsia" w:hAnsi="Cambria Math" w:cstheme="minorHAnsi"/>
            <w:color w:val="auto"/>
            <w:sz w:val="20"/>
            <w:szCs w:val="22"/>
            <w:lang w:val="de-DE" w:eastAsia="de-DE"/>
          </w:rPr>
          <m:t>1+</m:t>
        </m:r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1.40×</m:t>
        </m:r>
        <m:sSup>
          <m:sSupPr>
            <m:ctrlPr>
              <w:rPr>
                <w:rFonts w:ascii="Cambria Math" w:eastAsia="Times New Roman" w:hAnsi="Cambria Math" w:cstheme="minorHAnsi"/>
                <w:i w:val="0"/>
                <w:color w:val="auto"/>
                <w:sz w:val="20"/>
                <w:szCs w:val="22"/>
                <w:lang w:eastAsia="de-DE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val="de-DE" w:eastAsia="de-DE"/>
              </w:rPr>
              <m:t>10</m:t>
            </m:r>
          </m:e>
          <m:sup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val="de-DE" w:eastAsia="de-DE"/>
              </w:rPr>
              <m:t>-21</m:t>
            </m:r>
          </m:sup>
        </m:sSup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∙</m:t>
        </m:r>
        <m:sSup>
          <m:sSupPr>
            <m:ctrlPr>
              <w:rPr>
                <w:rFonts w:ascii="Cambria Math" w:eastAsia="Times New Roman" w:hAnsi="Cambria Math" w:cstheme="minorHAnsi"/>
                <w:i w:val="0"/>
                <w:color w:val="auto"/>
                <w:sz w:val="20"/>
                <w:szCs w:val="22"/>
                <w:lang w:eastAsia="de-DE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</w:rPr>
              <m:t>e</m:t>
            </m:r>
          </m:e>
          <m:sup>
            <m:f>
              <m:fPr>
                <m:ctrlPr>
                  <w:rPr>
                    <w:rFonts w:ascii="Cambria Math" w:eastAsia="Times New Roman" w:hAnsi="Cambria Math" w:cstheme="minorHAnsi"/>
                    <w:i w:val="0"/>
                    <w:color w:val="auto"/>
                    <w:sz w:val="20"/>
                    <w:szCs w:val="22"/>
                    <w:lang w:eastAsia="de-DE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val="de-DE" w:eastAsia="de-DE"/>
                  </w:rPr>
                  <m:t>2200</m:t>
                </m:r>
              </m:num>
              <m:den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eastAsia="de-DE"/>
                  </w:rPr>
                  <m:t>T</m:t>
                </m:r>
              </m:den>
            </m:f>
          </m:sup>
        </m:sSup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>∙</m:t>
        </m:r>
        <m:sSub>
          <m:sSubPr>
            <m:ctrlP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eastAsia="de-DE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eastAsia="de-DE"/>
              </w:rPr>
              <m:t>c</m:t>
            </m:r>
          </m:e>
          <m:sub>
            <m:sSub>
              <m:sSubPr>
                <m:ctrlP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eastAsia="de-DE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eastAsia="de-DE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inorHAnsi"/>
                    <w:color w:val="auto"/>
                    <w:sz w:val="20"/>
                    <w:szCs w:val="22"/>
                    <w:lang w:val="de-DE" w:eastAsia="de-DE"/>
                  </w:rPr>
                  <m:t>2</m:t>
                </m:r>
              </m:sub>
            </m:sSub>
            <m:r>
              <w:rPr>
                <w:rFonts w:ascii="Cambria Math" w:eastAsia="Times New Roman" w:hAnsi="Cambria Math" w:cstheme="minorHAnsi"/>
                <w:color w:val="auto"/>
                <w:sz w:val="20"/>
                <w:szCs w:val="22"/>
                <w:lang w:eastAsia="de-DE"/>
              </w:rPr>
              <m:t>O</m:t>
            </m:r>
          </m:sub>
        </m:sSub>
        <m:r>
          <w:rPr>
            <w:rFonts w:ascii="Cambria Math" w:eastAsia="Times New Roman" w:hAnsi="Cambria Math" w:cstheme="minorHAnsi"/>
            <w:color w:val="auto"/>
            <w:sz w:val="20"/>
            <w:szCs w:val="22"/>
            <w:lang w:val="de-DE" w:eastAsia="de-DE"/>
          </w:rPr>
          <m:t xml:space="preserve"> </m:t>
        </m:r>
      </m:oMath>
    </w:p>
    <w:p w:rsidR="004871CE" w:rsidRDefault="004871CE" w:rsidP="004871CE">
      <w:pPr>
        <w:keepNext/>
      </w:pPr>
      <w:r>
        <w:rPr>
          <w:noProof/>
        </w:rPr>
        <w:drawing>
          <wp:inline distT="0" distB="0" distL="0" distR="0" wp14:anchorId="20870CA3" wp14:editId="77FC85E7">
            <wp:extent cx="6480000" cy="3575421"/>
            <wp:effectExtent l="0" t="0" r="0" b="635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fig_S1_ZoverL_ATTO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r="6411"/>
                    <a:stretch/>
                  </pic:blipFill>
                  <pic:spPr bwMode="auto">
                    <a:xfrm>
                      <a:off x="0" y="0"/>
                      <a:ext cx="6480000" cy="357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CE" w:rsidRDefault="004871CE" w:rsidP="004871CE">
      <w:pPr>
        <w:pStyle w:val="Beschriftung"/>
        <w:rPr>
          <w:color w:val="auto"/>
          <w:sz w:val="24"/>
          <w:szCs w:val="24"/>
        </w:rPr>
      </w:pPr>
      <w:r w:rsidRPr="00C47724">
        <w:rPr>
          <w:b/>
          <w:color w:val="auto"/>
          <w:sz w:val="24"/>
        </w:rPr>
        <w:t>S</w:t>
      </w:r>
      <w:r w:rsidRPr="00C47724">
        <w:rPr>
          <w:b/>
          <w:color w:val="auto"/>
          <w:sz w:val="24"/>
        </w:rPr>
        <w:fldChar w:fldCharType="begin"/>
      </w:r>
      <w:r w:rsidRPr="00C47724">
        <w:rPr>
          <w:b/>
          <w:color w:val="auto"/>
          <w:sz w:val="24"/>
        </w:rPr>
        <w:instrText xml:space="preserve"> SEQ Figure \* ARABIC </w:instrText>
      </w:r>
      <w:r w:rsidRPr="00C47724">
        <w:rPr>
          <w:b/>
          <w:color w:val="auto"/>
          <w:sz w:val="24"/>
        </w:rPr>
        <w:fldChar w:fldCharType="separate"/>
      </w:r>
      <w:r>
        <w:rPr>
          <w:b/>
          <w:noProof/>
          <w:color w:val="auto"/>
          <w:sz w:val="24"/>
        </w:rPr>
        <w:t>1</w:t>
      </w:r>
      <w:r w:rsidRPr="00C47724">
        <w:rPr>
          <w:b/>
          <w:color w:val="auto"/>
          <w:sz w:val="24"/>
        </w:rPr>
        <w:fldChar w:fldCharType="end"/>
      </w:r>
      <w:r w:rsidRPr="00C47724">
        <w:rPr>
          <w:b/>
          <w:color w:val="auto"/>
          <w:sz w:val="24"/>
        </w:rPr>
        <w:t>:</w:t>
      </w:r>
      <w:r w:rsidRPr="00C47724">
        <w:rPr>
          <w:color w:val="auto"/>
          <w:sz w:val="24"/>
        </w:rPr>
        <w:t xml:space="preserve"> Stability parameter z/L observed at ATTO and </w:t>
      </w:r>
      <w:r>
        <w:rPr>
          <w:color w:val="auto"/>
          <w:sz w:val="24"/>
        </w:rPr>
        <w:t xml:space="preserve">median </w:t>
      </w:r>
      <w:r w:rsidRPr="00C47724">
        <w:rPr>
          <w:color w:val="auto"/>
          <w:sz w:val="24"/>
        </w:rPr>
        <w:t>averaged over the 23 days used in this study.</w:t>
      </w:r>
      <w:r>
        <w:rPr>
          <w:color w:val="auto"/>
          <w:sz w:val="24"/>
        </w:rPr>
        <w:t xml:space="preserve"> Precipitation events are excluded. </w:t>
      </w:r>
      <w:r>
        <w:rPr>
          <w:color w:val="auto"/>
          <w:sz w:val="24"/>
          <w:szCs w:val="24"/>
        </w:rPr>
        <w:t>Shadings</w:t>
      </w:r>
      <w:r w:rsidRPr="00420228">
        <w:rPr>
          <w:color w:val="auto"/>
          <w:sz w:val="24"/>
          <w:szCs w:val="24"/>
        </w:rPr>
        <w:t xml:space="preserve"> indicate 1</w:t>
      </w:r>
      <w:r w:rsidRPr="00420228">
        <w:rPr>
          <w:rFonts w:cstheme="minorHAnsi"/>
          <w:color w:val="auto"/>
          <w:sz w:val="24"/>
          <w:szCs w:val="24"/>
        </w:rPr>
        <w:t>σ</w:t>
      </w:r>
      <w:r w:rsidRPr="00420228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At certain days single observations give values for z/L of almost 100 leading to the high variability at some daytimes.</w:t>
      </w:r>
    </w:p>
    <w:p w:rsidR="004871CE" w:rsidRDefault="004871CE" w:rsidP="004871CE">
      <w:pPr>
        <w:keepNext/>
      </w:pPr>
      <w:r>
        <w:rPr>
          <w:noProof/>
        </w:rPr>
        <w:lastRenderedPageBreak/>
        <w:drawing>
          <wp:inline distT="0" distB="0" distL="0" distR="0" wp14:anchorId="2DA9F411" wp14:editId="6C050178">
            <wp:extent cx="5943600" cy="2734310"/>
            <wp:effectExtent l="0" t="0" r="0" b="889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urbulence correction_inert_q_complila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1CE" w:rsidRPr="00980368" w:rsidRDefault="004871CE" w:rsidP="004871CE">
      <w:pPr>
        <w:pStyle w:val="Beschriftung"/>
      </w:pPr>
      <w:r w:rsidRPr="00933AFE">
        <w:rPr>
          <w:b/>
          <w:color w:val="auto"/>
          <w:sz w:val="24"/>
        </w:rPr>
        <w:t>S</w:t>
      </w:r>
      <w:r w:rsidRPr="00933AFE">
        <w:rPr>
          <w:b/>
          <w:color w:val="auto"/>
          <w:sz w:val="24"/>
        </w:rPr>
        <w:fldChar w:fldCharType="begin"/>
      </w:r>
      <w:r w:rsidRPr="00933AFE">
        <w:rPr>
          <w:b/>
          <w:color w:val="auto"/>
          <w:sz w:val="24"/>
        </w:rPr>
        <w:instrText xml:space="preserve"> SEQ Figure \* ARABIC </w:instrText>
      </w:r>
      <w:r w:rsidRPr="00933AFE">
        <w:rPr>
          <w:b/>
          <w:color w:val="auto"/>
          <w:sz w:val="24"/>
        </w:rPr>
        <w:fldChar w:fldCharType="separate"/>
      </w:r>
      <w:r w:rsidRPr="00933AFE">
        <w:rPr>
          <w:b/>
          <w:noProof/>
          <w:color w:val="auto"/>
          <w:sz w:val="24"/>
        </w:rPr>
        <w:t>2</w:t>
      </w:r>
      <w:r w:rsidRPr="00933AFE">
        <w:rPr>
          <w:b/>
          <w:color w:val="auto"/>
          <w:sz w:val="24"/>
        </w:rPr>
        <w:fldChar w:fldCharType="end"/>
      </w:r>
      <w:r w:rsidRPr="00933AFE">
        <w:rPr>
          <w:b/>
          <w:color w:val="auto"/>
          <w:sz w:val="24"/>
        </w:rPr>
        <w:t>: Comparison of the inert isoprene tracer to q, both used to correct for turbulen</w:t>
      </w:r>
      <w:r>
        <w:rPr>
          <w:b/>
          <w:color w:val="auto"/>
          <w:sz w:val="24"/>
        </w:rPr>
        <w:t>t mixing</w:t>
      </w:r>
      <w:r w:rsidRPr="00933AFE">
        <w:rPr>
          <w:color w:val="auto"/>
          <w:sz w:val="24"/>
        </w:rPr>
        <w:t xml:space="preserve"> a) The relative decrease of q measured at ATTO compared to inert isoprene simulated by DALES. b) The emission and dilution velocity for q and inert isoprene both calculated from DALES simulations.</w:t>
      </w:r>
      <w:r>
        <w:t xml:space="preserve"> </w:t>
      </w:r>
    </w:p>
    <w:p w:rsidR="004871CE" w:rsidRDefault="004871CE" w:rsidP="004871CE">
      <w:pPr>
        <w:keepNext/>
      </w:pPr>
      <w:r>
        <w:rPr>
          <w:noProof/>
        </w:rPr>
        <w:drawing>
          <wp:inline distT="0" distB="0" distL="0" distR="0" wp14:anchorId="17165BDF" wp14:editId="4FCF367A">
            <wp:extent cx="6480000" cy="308838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X_heightProfile_the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0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1CE" w:rsidRPr="00420228" w:rsidRDefault="004871CE" w:rsidP="004871CE">
      <w:pPr>
        <w:pStyle w:val="Beschriftung"/>
        <w:rPr>
          <w:color w:val="auto"/>
          <w:sz w:val="24"/>
          <w:szCs w:val="24"/>
        </w:rPr>
      </w:pPr>
      <w:r w:rsidRPr="00420228">
        <w:rPr>
          <w:b/>
          <w:color w:val="auto"/>
          <w:sz w:val="24"/>
          <w:szCs w:val="24"/>
        </w:rPr>
        <w:t>S</w:t>
      </w:r>
      <w:r>
        <w:rPr>
          <w:b/>
          <w:color w:val="auto"/>
          <w:sz w:val="24"/>
          <w:szCs w:val="24"/>
        </w:rPr>
        <w:t>3</w:t>
      </w:r>
      <w:r w:rsidRPr="00420228">
        <w:rPr>
          <w:b/>
          <w:color w:val="auto"/>
          <w:sz w:val="24"/>
          <w:szCs w:val="24"/>
        </w:rPr>
        <w:t>:</w:t>
      </w:r>
      <w:r w:rsidRPr="00420228">
        <w:rPr>
          <w:color w:val="auto"/>
          <w:sz w:val="24"/>
          <w:szCs w:val="24"/>
        </w:rPr>
        <w:t xml:space="preserve"> The vertical profile of the potential temperature </w:t>
      </w:r>
      <w:r>
        <w:rPr>
          <w:rFonts w:cstheme="minorHAnsi"/>
          <w:color w:val="auto"/>
          <w:sz w:val="24"/>
          <w:szCs w:val="24"/>
        </w:rPr>
        <w:t>θ</w:t>
      </w:r>
      <w:r>
        <w:rPr>
          <w:color w:val="auto"/>
          <w:sz w:val="24"/>
          <w:szCs w:val="24"/>
        </w:rPr>
        <w:t xml:space="preserve"> </w:t>
      </w:r>
      <w:r w:rsidRPr="00420228">
        <w:rPr>
          <w:color w:val="auto"/>
          <w:sz w:val="24"/>
          <w:szCs w:val="24"/>
        </w:rPr>
        <w:t xml:space="preserve">for the numerical models DALES, EMAC and WRF-Chem compared </w:t>
      </w:r>
      <w:r>
        <w:rPr>
          <w:color w:val="auto"/>
          <w:sz w:val="24"/>
          <w:szCs w:val="24"/>
        </w:rPr>
        <w:t xml:space="preserve">to </w:t>
      </w:r>
      <w:r w:rsidRPr="00420228">
        <w:rPr>
          <w:color w:val="auto"/>
          <w:sz w:val="24"/>
          <w:szCs w:val="24"/>
        </w:rPr>
        <w:t>median</w:t>
      </w:r>
      <w:r>
        <w:rPr>
          <w:color w:val="auto"/>
          <w:sz w:val="24"/>
          <w:szCs w:val="24"/>
        </w:rPr>
        <w:t xml:space="preserve"> averaged</w:t>
      </w:r>
      <w:r w:rsidRPr="00420228">
        <w:rPr>
          <w:color w:val="auto"/>
          <w:sz w:val="24"/>
          <w:szCs w:val="24"/>
        </w:rPr>
        <w:t xml:space="preserve"> observations at ATTO</w:t>
      </w:r>
      <w:r>
        <w:rPr>
          <w:color w:val="auto"/>
          <w:sz w:val="24"/>
          <w:szCs w:val="24"/>
        </w:rPr>
        <w:t xml:space="preserve"> at two heights</w:t>
      </w:r>
      <w:r w:rsidRPr="00420228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proofErr w:type="spellStart"/>
      <w:r w:rsidRPr="00420228">
        <w:rPr>
          <w:color w:val="auto"/>
          <w:sz w:val="24"/>
          <w:szCs w:val="24"/>
        </w:rPr>
        <w:t>Errorbars</w:t>
      </w:r>
      <w:proofErr w:type="spellEnd"/>
      <w:r w:rsidRPr="00420228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and Shadings</w:t>
      </w:r>
      <w:r w:rsidRPr="00420228">
        <w:rPr>
          <w:color w:val="auto"/>
          <w:sz w:val="24"/>
          <w:szCs w:val="24"/>
        </w:rPr>
        <w:t xml:space="preserve"> indicate 1</w:t>
      </w:r>
      <w:r w:rsidRPr="00420228">
        <w:rPr>
          <w:rFonts w:cstheme="minorHAnsi"/>
          <w:color w:val="auto"/>
          <w:sz w:val="24"/>
          <w:szCs w:val="24"/>
        </w:rPr>
        <w:t>σ</w:t>
      </w:r>
      <w:r w:rsidRPr="00420228">
        <w:rPr>
          <w:color w:val="auto"/>
          <w:sz w:val="24"/>
          <w:szCs w:val="24"/>
        </w:rPr>
        <w:t>.</w:t>
      </w:r>
    </w:p>
    <w:p w:rsidR="004871CE" w:rsidRDefault="004871CE" w:rsidP="004871CE"/>
    <w:p w:rsidR="004871CE" w:rsidRDefault="004871CE" w:rsidP="004871CE">
      <w:pPr>
        <w:keepNext/>
      </w:pPr>
      <w:r>
        <w:rPr>
          <w:noProof/>
        </w:rPr>
        <w:lastRenderedPageBreak/>
        <w:drawing>
          <wp:inline distT="0" distB="0" distL="0" distR="0" wp14:anchorId="5B69D690" wp14:editId="06592FE7">
            <wp:extent cx="6480000" cy="308838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soprene_emissi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08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1CE" w:rsidRPr="00420228" w:rsidRDefault="004871CE" w:rsidP="004871CE">
      <w:pPr>
        <w:pStyle w:val="Beschriftung"/>
        <w:rPr>
          <w:color w:val="auto"/>
          <w:sz w:val="24"/>
          <w:szCs w:val="24"/>
        </w:rPr>
      </w:pPr>
      <w:r w:rsidRPr="00C47724">
        <w:rPr>
          <w:b/>
          <w:color w:val="auto"/>
          <w:sz w:val="24"/>
        </w:rPr>
        <w:t>S</w:t>
      </w:r>
      <w:r>
        <w:rPr>
          <w:b/>
          <w:color w:val="auto"/>
          <w:sz w:val="24"/>
        </w:rPr>
        <w:t>4</w:t>
      </w:r>
      <w:r w:rsidRPr="00C47724">
        <w:rPr>
          <w:b/>
          <w:color w:val="auto"/>
          <w:sz w:val="24"/>
        </w:rPr>
        <w:t>:</w:t>
      </w:r>
      <w:r w:rsidRPr="00C47724">
        <w:rPr>
          <w:color w:val="auto"/>
          <w:sz w:val="24"/>
        </w:rPr>
        <w:t xml:space="preserve"> Isoprene emission in the numerical models DALES, EMAC and WRF-Chem. For EMAC only the case with reduces isoprene emission is shown.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  <w:szCs w:val="24"/>
        </w:rPr>
        <w:t>Shadings</w:t>
      </w:r>
      <w:r w:rsidRPr="00420228">
        <w:rPr>
          <w:color w:val="auto"/>
          <w:sz w:val="24"/>
          <w:szCs w:val="24"/>
        </w:rPr>
        <w:t xml:space="preserve"> indicate 1</w:t>
      </w:r>
      <w:r w:rsidRPr="00420228">
        <w:rPr>
          <w:rFonts w:cstheme="minorHAnsi"/>
          <w:color w:val="auto"/>
          <w:sz w:val="24"/>
          <w:szCs w:val="24"/>
        </w:rPr>
        <w:t>σ</w:t>
      </w:r>
      <w:r w:rsidRPr="00420228">
        <w:rPr>
          <w:color w:val="auto"/>
          <w:sz w:val="24"/>
          <w:szCs w:val="24"/>
        </w:rPr>
        <w:t>.</w:t>
      </w:r>
    </w:p>
    <w:p w:rsidR="004871CE" w:rsidRPr="00420228" w:rsidRDefault="004871CE" w:rsidP="004871CE">
      <w:pPr>
        <w:pStyle w:val="Beschriftung"/>
        <w:rPr>
          <w:color w:val="auto"/>
          <w:sz w:val="24"/>
          <w:szCs w:val="24"/>
        </w:rPr>
      </w:pPr>
    </w:p>
    <w:p w:rsidR="004871CE" w:rsidRDefault="004871CE" w:rsidP="004871CE">
      <w:pPr>
        <w:keepNext/>
      </w:pPr>
      <w:r>
        <w:rPr>
          <w:noProof/>
        </w:rPr>
        <w:lastRenderedPageBreak/>
        <w:drawing>
          <wp:inline distT="0" distB="0" distL="0" distR="0" wp14:anchorId="268F5F60" wp14:editId="654AB107">
            <wp:extent cx="3240000" cy="564679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AC_sources_sinks_80m_sept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790" b="740"/>
                    <a:stretch/>
                  </pic:blipFill>
                  <pic:spPr bwMode="auto">
                    <a:xfrm>
                      <a:off x="0" y="0"/>
                      <a:ext cx="3240000" cy="564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CE" w:rsidRPr="004F229F" w:rsidRDefault="004871CE" w:rsidP="004871CE">
      <w:pPr>
        <w:pStyle w:val="Beschriftung"/>
        <w:rPr>
          <w:color w:val="auto"/>
          <w:sz w:val="24"/>
        </w:rPr>
      </w:pPr>
      <w:r w:rsidRPr="004F229F">
        <w:rPr>
          <w:b/>
          <w:color w:val="auto"/>
          <w:sz w:val="24"/>
        </w:rPr>
        <w:t>S</w:t>
      </w:r>
      <w:r>
        <w:rPr>
          <w:b/>
          <w:color w:val="auto"/>
          <w:sz w:val="24"/>
        </w:rPr>
        <w:t>5</w:t>
      </w:r>
      <w:r w:rsidRPr="004F229F">
        <w:rPr>
          <w:b/>
          <w:color w:val="auto"/>
          <w:sz w:val="24"/>
        </w:rPr>
        <w:t>:</w:t>
      </w:r>
      <w:r w:rsidRPr="004F229F">
        <w:rPr>
          <w:color w:val="auto"/>
          <w:sz w:val="24"/>
        </w:rPr>
        <w:t xml:space="preserve"> Sources and sinks of OH from the global model EMAC at 80 m height extracted for September, 1</w:t>
      </w:r>
      <w:r w:rsidRPr="004F229F">
        <w:rPr>
          <w:color w:val="auto"/>
          <w:sz w:val="24"/>
          <w:vertAlign w:val="superscript"/>
        </w:rPr>
        <w:t>st</w:t>
      </w:r>
      <w:r w:rsidRPr="004F229F">
        <w:rPr>
          <w:color w:val="auto"/>
          <w:sz w:val="24"/>
        </w:rPr>
        <w:t xml:space="preserve">. </w:t>
      </w:r>
    </w:p>
    <w:p w:rsidR="004871CE" w:rsidRDefault="004871CE" w:rsidP="004871CE"/>
    <w:p w:rsidR="004871CE" w:rsidRDefault="004871CE" w:rsidP="004871CE"/>
    <w:p w:rsidR="004871CE" w:rsidRDefault="004871CE" w:rsidP="004871CE"/>
    <w:p w:rsidR="004871CE" w:rsidRDefault="004871CE" w:rsidP="004871CE">
      <w:pPr>
        <w:keepNext/>
      </w:pPr>
      <w:r>
        <w:rPr>
          <w:noProof/>
        </w:rPr>
        <w:lastRenderedPageBreak/>
        <w:drawing>
          <wp:inline distT="0" distB="0" distL="0" distR="0" wp14:anchorId="7D763A7F" wp14:editId="3BAF1BFD">
            <wp:extent cx="2346323" cy="3959525"/>
            <wp:effectExtent l="0" t="0" r="0" b="317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ources_sinks_DALES_R503_90m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0" r="60522" b="20242"/>
                    <a:stretch/>
                  </pic:blipFill>
                  <pic:spPr bwMode="auto">
                    <a:xfrm>
                      <a:off x="0" y="0"/>
                      <a:ext cx="2346385" cy="3959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CE" w:rsidRPr="00E54145" w:rsidRDefault="004871CE" w:rsidP="004871CE">
      <w:pPr>
        <w:pStyle w:val="Beschriftung"/>
        <w:rPr>
          <w:color w:val="auto"/>
          <w:sz w:val="24"/>
        </w:rPr>
      </w:pPr>
      <w:r w:rsidRPr="00E54145">
        <w:rPr>
          <w:b/>
          <w:color w:val="auto"/>
          <w:sz w:val="24"/>
        </w:rPr>
        <w:t>S</w:t>
      </w:r>
      <w:r>
        <w:rPr>
          <w:b/>
          <w:color w:val="auto"/>
          <w:sz w:val="24"/>
        </w:rPr>
        <w:t>6</w:t>
      </w:r>
      <w:r w:rsidRPr="00E54145">
        <w:rPr>
          <w:b/>
          <w:color w:val="auto"/>
          <w:sz w:val="24"/>
        </w:rPr>
        <w:t>:</w:t>
      </w:r>
      <w:r w:rsidRPr="00E54145">
        <w:rPr>
          <w:color w:val="auto"/>
          <w:sz w:val="24"/>
        </w:rPr>
        <w:t xml:space="preserve"> </w:t>
      </w:r>
      <w:r w:rsidRPr="00E17838">
        <w:rPr>
          <w:b/>
          <w:color w:val="auto"/>
          <w:sz w:val="24"/>
        </w:rPr>
        <w:t xml:space="preserve">Sources and sinks of OH from DALES </w:t>
      </w:r>
      <w:r>
        <w:rPr>
          <w:b/>
          <w:color w:val="auto"/>
          <w:sz w:val="24"/>
        </w:rPr>
        <w:t>over</w:t>
      </w:r>
      <w:r w:rsidRPr="00E17838">
        <w:rPr>
          <w:b/>
          <w:color w:val="auto"/>
          <w:sz w:val="24"/>
        </w:rPr>
        <w:t xml:space="preserve"> one typical day</w:t>
      </w:r>
      <w:r>
        <w:rPr>
          <w:b/>
          <w:color w:val="auto"/>
          <w:sz w:val="24"/>
        </w:rPr>
        <w:t xml:space="preserve"> (local time)</w:t>
      </w:r>
      <w:r w:rsidRPr="00E17838">
        <w:rPr>
          <w:b/>
          <w:color w:val="auto"/>
          <w:sz w:val="24"/>
        </w:rPr>
        <w:t xml:space="preserve"> of the Amazon dry season at 90 m height.</w:t>
      </w:r>
      <w:r>
        <w:rPr>
          <w:color w:val="auto"/>
          <w:sz w:val="24"/>
        </w:rPr>
        <w:t xml:space="preserve"> </w:t>
      </w:r>
      <w:r w:rsidRPr="00E17838">
        <w:rPr>
          <w:b/>
          <w:color w:val="auto"/>
          <w:sz w:val="24"/>
        </w:rPr>
        <w:t>a)</w:t>
      </w:r>
      <w:r>
        <w:rPr>
          <w:color w:val="auto"/>
          <w:sz w:val="24"/>
        </w:rPr>
        <w:t xml:space="preserve"> sources of OH </w:t>
      </w:r>
      <w:r w:rsidRPr="00E17838">
        <w:rPr>
          <w:b/>
          <w:color w:val="auto"/>
          <w:sz w:val="24"/>
        </w:rPr>
        <w:t>b)</w:t>
      </w:r>
      <w:r>
        <w:rPr>
          <w:color w:val="auto"/>
          <w:sz w:val="24"/>
        </w:rPr>
        <w:t xml:space="preserve"> sinks of OH</w:t>
      </w:r>
    </w:p>
    <w:p w:rsidR="004871CE" w:rsidRDefault="004871CE" w:rsidP="004871CE">
      <w:pPr>
        <w:keepNext/>
      </w:pPr>
      <w:r>
        <w:rPr>
          <w:noProof/>
        </w:rPr>
        <w:lastRenderedPageBreak/>
        <w:drawing>
          <wp:inline distT="0" distB="0" distL="0" distR="0" wp14:anchorId="47D18A82" wp14:editId="4CBB6FA6">
            <wp:extent cx="6480000" cy="6225919"/>
            <wp:effectExtent l="0" t="0" r="0" b="381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f_S2_NO_complete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" r="47025" b="45187"/>
                    <a:stretch/>
                  </pic:blipFill>
                  <pic:spPr bwMode="auto">
                    <a:xfrm>
                      <a:off x="0" y="0"/>
                      <a:ext cx="6480000" cy="6225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CE" w:rsidRPr="004A16BC" w:rsidRDefault="004871CE" w:rsidP="004871CE">
      <w:pPr>
        <w:pStyle w:val="Beschriftung"/>
        <w:rPr>
          <w:noProof/>
          <w:color w:val="auto"/>
          <w:sz w:val="24"/>
          <w:szCs w:val="24"/>
        </w:rPr>
      </w:pPr>
      <w:r w:rsidRPr="004A16BC">
        <w:rPr>
          <w:b/>
          <w:color w:val="auto"/>
          <w:sz w:val="24"/>
          <w:szCs w:val="24"/>
        </w:rPr>
        <w:t>S</w:t>
      </w:r>
      <w:r>
        <w:rPr>
          <w:b/>
          <w:color w:val="auto"/>
          <w:sz w:val="24"/>
          <w:szCs w:val="24"/>
        </w:rPr>
        <w:t>7</w:t>
      </w:r>
      <w:r w:rsidRPr="004A16BC">
        <w:rPr>
          <w:b/>
          <w:color w:val="auto"/>
          <w:sz w:val="24"/>
          <w:szCs w:val="24"/>
        </w:rPr>
        <w:t>:</w:t>
      </w:r>
      <w:r w:rsidRPr="004A16BC">
        <w:rPr>
          <w:color w:val="auto"/>
          <w:sz w:val="24"/>
          <w:szCs w:val="24"/>
        </w:rPr>
        <w:t xml:space="preserve"> </w:t>
      </w:r>
      <w:r w:rsidRPr="004A16BC">
        <w:rPr>
          <w:b/>
          <w:color w:val="auto"/>
          <w:sz w:val="24"/>
          <w:szCs w:val="24"/>
        </w:rPr>
        <w:t>Daily cycles of NO detected at ATTO</w:t>
      </w:r>
      <w:r w:rsidRPr="004A16BC">
        <w:rPr>
          <w:color w:val="auto"/>
          <w:sz w:val="24"/>
          <w:szCs w:val="24"/>
        </w:rPr>
        <w:t xml:space="preserve"> </w:t>
      </w:r>
      <w:r w:rsidRPr="004A16BC">
        <w:rPr>
          <w:b/>
          <w:color w:val="auto"/>
          <w:sz w:val="24"/>
          <w:szCs w:val="24"/>
        </w:rPr>
        <w:t>a)</w:t>
      </w:r>
      <w:r w:rsidRPr="004A16BC">
        <w:rPr>
          <w:color w:val="auto"/>
          <w:sz w:val="24"/>
          <w:szCs w:val="24"/>
        </w:rPr>
        <w:t xml:space="preserve"> Median averaged mixing ratio of NO measured in the dry season of 2018 (September, October) </w:t>
      </w:r>
      <w:r w:rsidRPr="004A16BC">
        <w:rPr>
          <w:b/>
          <w:color w:val="auto"/>
          <w:sz w:val="24"/>
          <w:szCs w:val="24"/>
        </w:rPr>
        <w:t>b)</w:t>
      </w:r>
      <w:r w:rsidRPr="004A16BC">
        <w:rPr>
          <w:color w:val="auto"/>
          <w:sz w:val="24"/>
          <w:szCs w:val="24"/>
        </w:rPr>
        <w:t xml:space="preserve"> The NO mixing ratio measured at ATTO on four days that are considered for the OH estimation as well. All other days have no overlapping data.</w:t>
      </w:r>
    </w:p>
    <w:p w:rsidR="004871CE" w:rsidRDefault="004871CE" w:rsidP="004871CE">
      <w:pPr>
        <w:pStyle w:val="Beschriftung"/>
      </w:pPr>
    </w:p>
    <w:p w:rsidR="004871CE" w:rsidRDefault="004871CE" w:rsidP="004871CE"/>
    <w:p w:rsidR="004871CE" w:rsidRDefault="004871CE" w:rsidP="004871CE">
      <w:pPr>
        <w:keepNext/>
      </w:pPr>
      <w:r>
        <w:rPr>
          <w:noProof/>
        </w:rPr>
        <w:lastRenderedPageBreak/>
        <w:drawing>
          <wp:inline distT="0" distB="0" distL="0" distR="0" wp14:anchorId="4DB705A6" wp14:editId="0160A30D">
            <wp:extent cx="6480000" cy="3414677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g_S3_morning_peaks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6"/>
                    <a:stretch/>
                  </pic:blipFill>
                  <pic:spPr bwMode="auto">
                    <a:xfrm>
                      <a:off x="0" y="0"/>
                      <a:ext cx="6480000" cy="341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CE" w:rsidRDefault="004871CE" w:rsidP="004871CE">
      <w:pPr>
        <w:pStyle w:val="Beschriftung"/>
        <w:rPr>
          <w:color w:val="auto"/>
          <w:sz w:val="24"/>
          <w:szCs w:val="24"/>
        </w:rPr>
      </w:pPr>
      <w:r w:rsidRPr="001D1203">
        <w:rPr>
          <w:b/>
          <w:color w:val="auto"/>
          <w:sz w:val="24"/>
          <w:szCs w:val="24"/>
        </w:rPr>
        <w:t>S</w:t>
      </w:r>
      <w:r>
        <w:rPr>
          <w:b/>
          <w:color w:val="auto"/>
          <w:sz w:val="24"/>
          <w:szCs w:val="24"/>
        </w:rPr>
        <w:t>8</w:t>
      </w:r>
      <w:r w:rsidRPr="001D1203">
        <w:rPr>
          <w:b/>
          <w:color w:val="auto"/>
          <w:sz w:val="24"/>
          <w:szCs w:val="24"/>
        </w:rPr>
        <w:t>:</w:t>
      </w:r>
      <w:r w:rsidRPr="001D1203">
        <w:rPr>
          <w:color w:val="auto"/>
          <w:sz w:val="24"/>
          <w:szCs w:val="24"/>
        </w:rPr>
        <w:t xml:space="preserve"> Time series of</w:t>
      </w:r>
      <w:r>
        <w:rPr>
          <w:color w:val="auto"/>
          <w:sz w:val="24"/>
          <w:szCs w:val="24"/>
        </w:rPr>
        <w:t xml:space="preserve"> potential temperature</w:t>
      </w:r>
      <w:r w:rsidRPr="001D1203">
        <w:rPr>
          <w:color w:val="auto"/>
          <w:sz w:val="24"/>
          <w:szCs w:val="24"/>
        </w:rPr>
        <w:t xml:space="preserve"> θ and </w:t>
      </w:r>
      <w:r>
        <w:rPr>
          <w:color w:val="auto"/>
          <w:sz w:val="24"/>
          <w:szCs w:val="24"/>
        </w:rPr>
        <w:t>i</w:t>
      </w:r>
      <w:r w:rsidRPr="001D1203">
        <w:rPr>
          <w:color w:val="auto"/>
          <w:sz w:val="24"/>
          <w:szCs w:val="24"/>
        </w:rPr>
        <w:t>soprene on the three days that result in an enhanced OH before 8:00 LT. The OH concentration is estimated in the parts of the day when θ at 80 m exceeds θ measured at 325 m, which indicates instable stratification of the boundary layer. The relative reduction of the specific humidity q between 80 m and 325 m is shown as well with values on the right axis.</w:t>
      </w:r>
    </w:p>
    <w:p w:rsidR="004871CE" w:rsidRDefault="004871CE" w:rsidP="004871CE"/>
    <w:p w:rsidR="004871CE" w:rsidRDefault="004871CE" w:rsidP="004871CE"/>
    <w:p w:rsidR="004871CE" w:rsidRPr="00C9208E" w:rsidRDefault="004871CE" w:rsidP="004871CE"/>
    <w:p w:rsidR="004871CE" w:rsidRDefault="004871CE" w:rsidP="004871CE">
      <w:pPr>
        <w:pStyle w:val="Beschriftung"/>
      </w:pPr>
      <w:r>
        <w:rPr>
          <w:noProof/>
          <w:sz w:val="24"/>
          <w:szCs w:val="24"/>
        </w:rPr>
        <w:lastRenderedPageBreak/>
        <w:drawing>
          <wp:inline distT="0" distB="0" distL="0" distR="0" wp14:anchorId="735BD2DB" wp14:editId="24B5110D">
            <wp:extent cx="3240000" cy="3041139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nsity_plot_example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5" r="4738"/>
                    <a:stretch/>
                  </pic:blipFill>
                  <pic:spPr bwMode="auto">
                    <a:xfrm>
                      <a:off x="0" y="0"/>
                      <a:ext cx="3240000" cy="3041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1CE" w:rsidRPr="001D1203" w:rsidRDefault="004871CE" w:rsidP="004871CE">
      <w:pPr>
        <w:pStyle w:val="Beschriftung"/>
        <w:rPr>
          <w:rFonts w:cstheme="minorHAnsi"/>
          <w:noProof/>
          <w:color w:val="auto"/>
          <w:sz w:val="36"/>
        </w:rPr>
      </w:pPr>
      <w:r w:rsidRPr="001D1203">
        <w:rPr>
          <w:b/>
          <w:color w:val="auto"/>
          <w:sz w:val="24"/>
        </w:rPr>
        <w:t>S</w:t>
      </w:r>
      <w:r>
        <w:rPr>
          <w:b/>
          <w:color w:val="auto"/>
          <w:sz w:val="24"/>
        </w:rPr>
        <w:t>9</w:t>
      </w:r>
      <w:r w:rsidRPr="001D1203">
        <w:rPr>
          <w:b/>
          <w:color w:val="auto"/>
          <w:sz w:val="24"/>
        </w:rPr>
        <w:t>:</w:t>
      </w:r>
      <w:r w:rsidRPr="001D1203">
        <w:rPr>
          <w:color w:val="auto"/>
          <w:sz w:val="24"/>
        </w:rPr>
        <w:t xml:space="preserve"> Example of a warping path of the D</w:t>
      </w:r>
      <w:r>
        <w:rPr>
          <w:color w:val="auto"/>
          <w:sz w:val="24"/>
        </w:rPr>
        <w:t xml:space="preserve">ynamical </w:t>
      </w:r>
      <w:r w:rsidRPr="001D1203">
        <w:rPr>
          <w:color w:val="auto"/>
          <w:sz w:val="24"/>
        </w:rPr>
        <w:t>T</w:t>
      </w:r>
      <w:r>
        <w:rPr>
          <w:color w:val="auto"/>
          <w:sz w:val="24"/>
        </w:rPr>
        <w:t xml:space="preserve">ime </w:t>
      </w:r>
      <w:r w:rsidRPr="001D1203">
        <w:rPr>
          <w:color w:val="auto"/>
          <w:sz w:val="24"/>
        </w:rPr>
        <w:t>W</w:t>
      </w:r>
      <w:r>
        <w:rPr>
          <w:color w:val="auto"/>
          <w:sz w:val="24"/>
        </w:rPr>
        <w:t>arping</w:t>
      </w:r>
      <w:r w:rsidRPr="001D1203">
        <w:rPr>
          <w:color w:val="auto"/>
          <w:sz w:val="24"/>
        </w:rPr>
        <w:t xml:space="preserve"> analysis with the positive window cut off.</w:t>
      </w:r>
      <w:r>
        <w:rPr>
          <w:color w:val="auto"/>
          <w:sz w:val="24"/>
        </w:rPr>
        <w:t xml:space="preserve"> Reference and Query Indexes are the time steps of potential temperature at 80 m and 325 m. </w:t>
      </w:r>
    </w:p>
    <w:p w:rsidR="004871CE" w:rsidRDefault="004871CE" w:rsidP="00487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1CE" w:rsidRDefault="004871CE" w:rsidP="00487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2B3" w:rsidRDefault="004871CE"/>
    <w:sectPr w:rsidR="00B242B3" w:rsidSect="004871CE">
      <w:pgSz w:w="12240" w:h="15840"/>
      <w:pgMar w:top="1440" w:right="1440" w:bottom="1440" w:left="1440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CE"/>
    <w:rsid w:val="004871CE"/>
    <w:rsid w:val="004E766A"/>
    <w:rsid w:val="00646E78"/>
    <w:rsid w:val="00735FE1"/>
    <w:rsid w:val="007F26C5"/>
    <w:rsid w:val="00A8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03BE"/>
  <w15:chartTrackingRefBased/>
  <w15:docId w15:val="{248427FA-6370-4A42-B713-9EEFCF04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1CE"/>
    <w:pPr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871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EinfacheTabelle2">
    <w:name w:val="Plain Table 2"/>
    <w:basedOn w:val="NormaleTabelle"/>
    <w:uiPriority w:val="42"/>
    <w:rsid w:val="004871CE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4871CE"/>
  </w:style>
  <w:style w:type="paragraph" w:styleId="Listenabsatz">
    <w:name w:val="List Paragraph"/>
    <w:basedOn w:val="Standard"/>
    <w:uiPriority w:val="34"/>
    <w:qFormat/>
    <w:rsid w:val="00487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716</Words>
  <Characters>4511</Characters>
  <Application>Microsoft Office Word</Application>
  <DocSecurity>0</DocSecurity>
  <Lines>37</Lines>
  <Paragraphs>10</Paragraphs>
  <ScaleCrop>false</ScaleCrop>
  <Company>MPIC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Ringsdorf, Akima</dc:creator>
  <cp:keywords/>
  <dc:description/>
  <cp:lastModifiedBy>Ringsdorf, Akima</cp:lastModifiedBy>
  <cp:revision>1</cp:revision>
  <dcterms:created xsi:type="dcterms:W3CDTF">2022-05-23T08:16:00Z</dcterms:created>
  <dcterms:modified xsi:type="dcterms:W3CDTF">2022-05-23T08:18:00Z</dcterms:modified>
</cp:coreProperties>
</file>