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spacing w:line="480" w:lineRule="auto"/>
        <w:jc w:val="both"/>
        <w:rPr>
          <w:rFonts w:ascii="Helvetica" w:cs="Helvetica" w:hAnsi="Helvetica" w:eastAsia="Helvetica"/>
          <w:b w:val="1"/>
          <w:bCs w:val="1"/>
          <w:sz w:val="28"/>
          <w:szCs w:val="28"/>
        </w:rPr>
      </w:pPr>
      <w:r>
        <w:rPr>
          <w:rFonts w:ascii="Helvetica" w:hAnsi="Helvetica"/>
          <w:b w:val="1"/>
          <w:bCs w:val="1"/>
          <w:sz w:val="28"/>
          <w:szCs w:val="28"/>
          <w:rtl w:val="0"/>
          <w:lang w:val="en-US"/>
        </w:rPr>
        <w:t>Online Data Supplement</w:t>
      </w:r>
      <w:r>
        <w:rPr>
          <w:rFonts w:ascii="Helvetica" w:cs="Helvetica" w:hAnsi="Helvetica" w:eastAsia="Helvetica"/>
          <w:b w:val="1"/>
          <w:bCs w:val="1"/>
          <w:sz w:val="28"/>
          <w:szCs w:val="28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2664549</wp:posOffset>
            </wp:positionH>
            <wp:positionV relativeFrom="line">
              <wp:posOffset>431800</wp:posOffset>
            </wp:positionV>
            <wp:extent cx="3911600" cy="29210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Изображение" descr="Изображение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2921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Основной текст"/>
        <w:spacing w:line="480" w:lineRule="auto"/>
        <w:jc w:val="both"/>
        <w:rPr>
          <w:rFonts w:ascii="Helvetica" w:cs="Helvetica" w:hAnsi="Helvetica" w:eastAsia="Helvetica"/>
          <w:b w:val="1"/>
          <w:bCs w:val="1"/>
          <w:sz w:val="24"/>
          <w:szCs w:val="24"/>
        </w:rPr>
      </w:pPr>
    </w:p>
    <w:p>
      <w:pPr>
        <w:pStyle w:val="Основной текст"/>
        <w:spacing w:line="480" w:lineRule="auto"/>
        <w:jc w:val="both"/>
        <w:rPr>
          <w:rFonts w:ascii="Helvetica" w:cs="Helvetica" w:hAnsi="Helvetica" w:eastAsia="Helvetica"/>
          <w:b w:val="1"/>
          <w:bCs w:val="1"/>
          <w:sz w:val="24"/>
          <w:szCs w:val="24"/>
        </w:rPr>
      </w:pPr>
    </w:p>
    <w:p>
      <w:pPr>
        <w:pStyle w:val="Основной текст"/>
        <w:spacing w:line="480" w:lineRule="auto"/>
        <w:jc w:val="both"/>
        <w:rPr>
          <w:rFonts w:ascii="Helvetica" w:cs="Helvetica" w:hAnsi="Helvetica" w:eastAsia="Helvetica"/>
          <w:b w:val="1"/>
          <w:bCs w:val="1"/>
          <w:sz w:val="24"/>
          <w:szCs w:val="24"/>
        </w:rPr>
      </w:pPr>
    </w:p>
    <w:p>
      <w:pPr>
        <w:pStyle w:val="Основной текст"/>
        <w:spacing w:line="480" w:lineRule="auto"/>
        <w:jc w:val="both"/>
        <w:rPr>
          <w:rFonts w:ascii="Helvetica" w:cs="Helvetica" w:hAnsi="Helvetica" w:eastAsia="Helvetica"/>
          <w:b w:val="1"/>
          <w:bCs w:val="1"/>
          <w:sz w:val="24"/>
          <w:szCs w:val="24"/>
        </w:rPr>
      </w:pPr>
    </w:p>
    <w:p>
      <w:pPr>
        <w:pStyle w:val="Основной текст"/>
        <w:spacing w:line="480" w:lineRule="auto"/>
        <w:jc w:val="both"/>
        <w:rPr>
          <w:rFonts w:ascii="Helvetica" w:cs="Helvetica" w:hAnsi="Helvetica" w:eastAsia="Helvetica"/>
          <w:b w:val="1"/>
          <w:bCs w:val="1"/>
          <w:sz w:val="24"/>
          <w:szCs w:val="24"/>
        </w:rPr>
      </w:pPr>
    </w:p>
    <w:p>
      <w:pPr>
        <w:pStyle w:val="Основной текст"/>
        <w:spacing w:line="480" w:lineRule="auto"/>
        <w:jc w:val="both"/>
        <w:rPr>
          <w:rFonts w:ascii="Helvetica" w:cs="Helvetica" w:hAnsi="Helvetica" w:eastAsia="Helvetica"/>
          <w:b w:val="1"/>
          <w:bCs w:val="1"/>
          <w:sz w:val="24"/>
          <w:szCs w:val="24"/>
        </w:rPr>
      </w:pPr>
    </w:p>
    <w:p>
      <w:pPr>
        <w:pStyle w:val="Основной текст"/>
        <w:spacing w:line="480" w:lineRule="auto"/>
        <w:jc w:val="both"/>
        <w:rPr>
          <w:rFonts w:ascii="Helvetica" w:cs="Helvetica" w:hAnsi="Helvetica" w:eastAsia="Helvetica"/>
          <w:b w:val="1"/>
          <w:bCs w:val="1"/>
          <w:sz w:val="24"/>
          <w:szCs w:val="24"/>
        </w:rPr>
      </w:pPr>
    </w:p>
    <w:p>
      <w:pPr>
        <w:pStyle w:val="Основной текст"/>
        <w:spacing w:line="480" w:lineRule="auto"/>
        <w:jc w:val="both"/>
        <w:rPr>
          <w:rFonts w:ascii="Helvetica" w:cs="Helvetica" w:hAnsi="Helvetica" w:eastAsia="Helvetica"/>
          <w:b w:val="1"/>
          <w:bCs w:val="1"/>
          <w:sz w:val="24"/>
          <w:szCs w:val="24"/>
        </w:rPr>
      </w:pPr>
    </w:p>
    <w:p>
      <w:pPr>
        <w:pStyle w:val="Основной текст"/>
        <w:spacing w:line="480" w:lineRule="auto"/>
        <w:jc w:val="both"/>
        <w:rPr>
          <w:rFonts w:ascii="Helvetica" w:cs="Helvetica" w:hAnsi="Helvetica" w:eastAsia="Helvetica"/>
          <w:b w:val="1"/>
          <w:bCs w:val="1"/>
          <w:sz w:val="24"/>
          <w:szCs w:val="24"/>
        </w:rPr>
      </w:pPr>
    </w:p>
    <w:p>
      <w:pPr>
        <w:pStyle w:val="Основной текст"/>
        <w:spacing w:line="480" w:lineRule="auto"/>
        <w:jc w:val="both"/>
        <w:rPr>
          <w:rFonts w:ascii="Helvetica" w:cs="Helvetica" w:hAnsi="Helvetica" w:eastAsia="Helvetica"/>
          <w:b w:val="1"/>
          <w:bCs w:val="1"/>
          <w:sz w:val="24"/>
          <w:szCs w:val="24"/>
        </w:rPr>
      </w:pPr>
    </w:p>
    <w:p>
      <w:pPr>
        <w:pStyle w:val="Основной текст"/>
        <w:spacing w:line="480" w:lineRule="auto"/>
        <w:jc w:val="both"/>
        <w:rPr>
          <w:rFonts w:ascii="Helvetica" w:cs="Helvetica" w:hAnsi="Helvetica" w:eastAsia="Helvetica"/>
          <w:b w:val="1"/>
          <w:bCs w:val="1"/>
          <w:sz w:val="24"/>
          <w:szCs w:val="24"/>
        </w:rPr>
      </w:pPr>
      <w:r>
        <w:rPr>
          <w:rFonts w:ascii="Helvetica" w:hAnsi="Helvetica"/>
          <w:b w:val="1"/>
          <w:bCs w:val="1"/>
          <w:sz w:val="24"/>
          <w:szCs w:val="24"/>
          <w:rtl w:val="0"/>
          <w:lang w:val="en-US"/>
        </w:rPr>
        <w:t xml:space="preserve">Figure S1. Change in the peak inspiratory flow between the first and the 3rd, and between the first and the last NIV day in NIV success and NIV failure groups. </w:t>
      </w:r>
    </w:p>
    <w:p>
      <w:pPr>
        <w:pStyle w:val="Основной текст"/>
        <w:spacing w:line="480" w:lineRule="auto"/>
        <w:jc w:val="both"/>
        <w:rPr>
          <w:rFonts w:ascii="Helvetica" w:cs="Helvetica" w:hAnsi="Helvetica" w:eastAsia="Helvetica"/>
          <w:sz w:val="20"/>
          <w:szCs w:val="20"/>
        </w:rPr>
      </w:pPr>
      <w:r>
        <w:rPr>
          <w:rFonts w:ascii="Helvetica" w:hAnsi="Helvetica"/>
          <w:sz w:val="20"/>
          <w:szCs w:val="20"/>
          <w:rtl w:val="0"/>
          <w:lang w:val="nl-NL"/>
        </w:rPr>
        <w:t xml:space="preserve">Data </w:t>
      </w:r>
      <w:r>
        <w:rPr>
          <w:rFonts w:ascii="Helvetica" w:hAnsi="Helvetica"/>
          <w:sz w:val="20"/>
          <w:szCs w:val="20"/>
          <w:rtl w:val="0"/>
          <w:lang w:val="en-US"/>
        </w:rPr>
        <w:t>are</w:t>
      </w:r>
      <w:r>
        <w:rPr>
          <w:rFonts w:ascii="Helvetica" w:hAnsi="Helvetica"/>
          <w:sz w:val="20"/>
          <w:szCs w:val="20"/>
          <w:rtl w:val="0"/>
          <w:lang w:val="en-US"/>
        </w:rPr>
        <w:t xml:space="preserve"> presented as medians and 95% confidence intervals.</w:t>
      </w:r>
      <w:r>
        <w:rPr>
          <w:rFonts w:ascii="Helvetica" w:hAnsi="Helvetica"/>
          <w:sz w:val="20"/>
          <w:szCs w:val="20"/>
          <w:rtl w:val="0"/>
          <w:lang w:val="en-US"/>
        </w:rPr>
        <w:t xml:space="preserve"> Grey colour depicts difference in the peak inspiratory flow during the first 48 hours of NIV, black colour - between the first and the last day of NIV.</w:t>
      </w:r>
    </w:p>
    <w:p>
      <w:pPr>
        <w:pStyle w:val="Основной текст"/>
        <w:spacing w:line="480" w:lineRule="auto"/>
        <w:rPr>
          <w:sz w:val="18"/>
          <w:szCs w:val="18"/>
        </w:rPr>
      </w:pPr>
      <w:r>
        <w:rPr>
          <w:sz w:val="18"/>
          <w:szCs w:val="18"/>
          <w:rtl w:val="0"/>
          <w:lang w:val="en-US"/>
        </w:rPr>
        <w:t>*   p-value &lt; 0.05, comparison within subgroup of survivors and non-survivors (Friedman test);</w:t>
      </w:r>
    </w:p>
    <w:p>
      <w:pPr>
        <w:pStyle w:val="Основной текст"/>
        <w:spacing w:line="480" w:lineRule="auto"/>
        <w:rPr>
          <w:sz w:val="18"/>
          <w:szCs w:val="18"/>
        </w:rPr>
      </w:pPr>
      <w:r>
        <w:rPr>
          <w:sz w:val="18"/>
          <w:szCs w:val="18"/>
          <w:rtl w:val="0"/>
          <w:lang w:val="en-US"/>
        </w:rPr>
        <w:t>** p</w:t>
      </w:r>
      <w:r>
        <w:rPr>
          <w:sz w:val="18"/>
          <w:szCs w:val="18"/>
          <w:rtl w:val="0"/>
          <w:lang w:val="en-US"/>
        </w:rPr>
        <w:t>-value</w:t>
      </w:r>
      <w:r>
        <w:rPr>
          <w:sz w:val="18"/>
          <w:szCs w:val="18"/>
          <w:rtl w:val="0"/>
          <w:lang w:val="en-US"/>
        </w:rPr>
        <w:t xml:space="preserve"> &lt; 0.01, </w:t>
      </w:r>
      <w:r>
        <w:rPr>
          <w:sz w:val="18"/>
          <w:szCs w:val="18"/>
          <w:rtl w:val="0"/>
          <w:lang w:val="en-US"/>
        </w:rPr>
        <w:t>comparison within subgroup of survivors and non-survivors</w:t>
      </w:r>
      <w:r>
        <w:rPr>
          <w:sz w:val="18"/>
          <w:szCs w:val="18"/>
          <w:rtl w:val="0"/>
          <w:lang w:val="en-US"/>
        </w:rPr>
        <w:t xml:space="preserve"> </w:t>
      </w:r>
      <w:r>
        <w:rPr>
          <w:sz w:val="18"/>
          <w:szCs w:val="18"/>
          <w:rtl w:val="0"/>
          <w:lang w:val="de-DE"/>
        </w:rPr>
        <w:t>(Friedman test);</w:t>
      </w:r>
    </w:p>
    <w:p>
      <w:pPr>
        <w:pStyle w:val="Основной текст"/>
        <w:spacing w:line="480" w:lineRule="auto"/>
        <w:rPr>
          <w:sz w:val="18"/>
          <w:szCs w:val="18"/>
        </w:rPr>
      </w:pPr>
      <w:r>
        <w:rPr>
          <w:sz w:val="18"/>
          <w:szCs w:val="18"/>
          <w:rtl w:val="0"/>
          <w:lang w:val="en-US"/>
        </w:rPr>
        <w:t xml:space="preserve">§  </w:t>
      </w:r>
      <w:r>
        <w:rPr>
          <w:sz w:val="18"/>
          <w:szCs w:val="18"/>
          <w:rtl w:val="0"/>
          <w:lang w:val="en-US"/>
        </w:rPr>
        <w:t xml:space="preserve">p-value </w:t>
      </w:r>
      <w:r>
        <w:rPr>
          <w:sz w:val="18"/>
          <w:szCs w:val="18"/>
          <w:rtl w:val="0"/>
          <w:lang w:val="en-US"/>
        </w:rPr>
        <w:t xml:space="preserve">&lt; 0.001, </w:t>
      </w:r>
      <w:r>
        <w:rPr>
          <w:sz w:val="18"/>
          <w:szCs w:val="18"/>
          <w:rtl w:val="0"/>
          <w:lang w:val="en-US"/>
        </w:rPr>
        <w:t>comparison within subgroup of survivors and non-survivors</w:t>
      </w:r>
      <w:r>
        <w:rPr>
          <w:sz w:val="18"/>
          <w:szCs w:val="18"/>
          <w:rtl w:val="0"/>
          <w:lang w:val="en-US"/>
        </w:rPr>
        <w:t xml:space="preserve"> </w:t>
      </w:r>
      <w:r>
        <w:rPr>
          <w:sz w:val="18"/>
          <w:szCs w:val="18"/>
          <w:rtl w:val="0"/>
          <w:lang w:val="de-DE"/>
        </w:rPr>
        <w:t>(Friedman test)</w:t>
      </w:r>
      <w:r>
        <w:rPr>
          <w:sz w:val="18"/>
          <w:szCs w:val="18"/>
          <w:rtl w:val="0"/>
          <w:lang w:val="en-US"/>
        </w:rPr>
        <w:t>.</w:t>
      </w:r>
    </w:p>
    <w:p>
      <w:pPr>
        <w:pStyle w:val="Основной текст"/>
        <w:spacing w:line="480" w:lineRule="auto"/>
        <w:jc w:val="both"/>
        <w:rPr>
          <w:rFonts w:ascii="Helvetica" w:cs="Helvetica" w:hAnsi="Helvetica" w:eastAsia="Helvetica"/>
          <w:sz w:val="24"/>
          <w:szCs w:val="24"/>
          <w:lang w:val="en-US"/>
        </w:rPr>
      </w:pPr>
      <w:r>
        <w:rPr>
          <w:rFonts w:ascii="Helvetica" w:hAnsi="Helvetica"/>
          <w:b w:val="1"/>
          <w:bCs w:val="1"/>
          <w:sz w:val="24"/>
          <w:szCs w:val="24"/>
          <w:rtl w:val="0"/>
          <w:lang w:val="en-US"/>
        </w:rPr>
        <w:t>R</w:t>
      </w:r>
      <w:r>
        <w:rPr>
          <w:rFonts w:ascii="Helvetica" w:hAnsi="Helvetica"/>
          <w:b w:val="1"/>
          <w:bCs w:val="1"/>
          <w:sz w:val="24"/>
          <w:szCs w:val="24"/>
          <w:rtl w:val="0"/>
          <w:lang w:val="en-US"/>
        </w:rPr>
        <w:t>espiratory pattern after pressure support level</w:t>
      </w:r>
      <w:r>
        <w:rPr>
          <w:rFonts w:ascii="Helvetica" w:hAnsi="Helvetica"/>
          <w:b w:val="1"/>
          <w:bCs w:val="1"/>
          <w:sz w:val="24"/>
          <w:szCs w:val="24"/>
          <w:rtl w:val="0"/>
          <w:lang w:val="en-US"/>
        </w:rPr>
        <w:t xml:space="preserve"> change</w:t>
      </w:r>
    </w:p>
    <w:p>
      <w:pPr>
        <w:pStyle w:val="Основной текст"/>
        <w:spacing w:line="480" w:lineRule="auto"/>
        <w:jc w:val="both"/>
        <w:rPr>
          <w:rFonts w:ascii="Helvetica" w:cs="Helvetica" w:hAnsi="Helvetica" w:eastAsia="Helvetica"/>
          <w:sz w:val="24"/>
          <w:szCs w:val="24"/>
          <w:lang w:val="en-US"/>
        </w:rPr>
      </w:pPr>
      <w:r>
        <w:rPr>
          <w:rFonts w:ascii="Helvetica" w:cs="Helvetica" w:hAnsi="Helvetica" w:eastAsia="Helvetica"/>
          <w:sz w:val="24"/>
          <w:szCs w:val="24"/>
          <w:rtl w:val="0"/>
          <w:lang w:val="en-US"/>
        </w:rPr>
        <w:tab/>
        <w:t>The respiratory pattern response to increased pressure support level in the NIV success group revealed the following significant changes: increase in maximal exhaled tidal volume on day 3 and 5; increase in mean exhaled tidal volume on day 1, 3, and 5; increase in peak inspiratory flow on day 1 and 3 (</w:t>
      </w:r>
      <w:r>
        <w:rPr>
          <w:rFonts w:ascii="Helvetica" w:hAnsi="Helvetica"/>
          <w:b w:val="1"/>
          <w:bCs w:val="1"/>
          <w:sz w:val="24"/>
          <w:szCs w:val="24"/>
          <w:rtl w:val="0"/>
          <w:lang w:val="en-US"/>
        </w:rPr>
        <w:t>Table S1</w:t>
      </w:r>
      <w:r>
        <w:rPr>
          <w:rFonts w:ascii="Helvetica" w:hAnsi="Helvetica"/>
          <w:sz w:val="24"/>
          <w:szCs w:val="24"/>
          <w:rtl w:val="0"/>
          <w:lang w:val="en-US"/>
        </w:rPr>
        <w:t>). Decreased pressure support level in these patients showed decrease in maximum exhaled tidal volume on day 1 and 3, decrease in mean exhaled tidal volume on day 1 and 3, and decrease in peak inspiratory flow on day 1 (</w:t>
      </w:r>
      <w:r>
        <w:rPr>
          <w:rFonts w:ascii="Helvetica" w:hAnsi="Helvetica"/>
          <w:b w:val="1"/>
          <w:bCs w:val="1"/>
          <w:sz w:val="24"/>
          <w:szCs w:val="24"/>
          <w:rtl w:val="0"/>
          <w:lang w:val="en-US"/>
        </w:rPr>
        <w:t>Table S1</w:t>
      </w:r>
      <w:r>
        <w:rPr>
          <w:rFonts w:ascii="Helvetica" w:hAnsi="Helvetica"/>
          <w:sz w:val="24"/>
          <w:szCs w:val="24"/>
          <w:rtl w:val="0"/>
          <w:lang w:val="en-US"/>
        </w:rPr>
        <w:t>). Similar changes were noted in the NIV failure group (</w:t>
      </w:r>
      <w:r>
        <w:rPr>
          <w:rFonts w:ascii="Helvetica" w:hAnsi="Helvetica"/>
          <w:b w:val="1"/>
          <w:bCs w:val="1"/>
          <w:sz w:val="24"/>
          <w:szCs w:val="24"/>
          <w:rtl w:val="0"/>
          <w:lang w:val="en-US"/>
        </w:rPr>
        <w:t>Table S1</w:t>
      </w:r>
      <w:r>
        <w:rPr>
          <w:rFonts w:ascii="Helvetica" w:hAnsi="Helvetica"/>
          <w:sz w:val="24"/>
          <w:szCs w:val="24"/>
          <w:rtl w:val="0"/>
          <w:lang w:val="en-US"/>
        </w:rPr>
        <w:t>). There were no statistically significant changes in respiratory rate and inspiratory time in either group during pressure support level change.</w:t>
      </w:r>
    </w:p>
    <w:p>
      <w:pPr>
        <w:pStyle w:val="Основной текст"/>
        <w:rPr>
          <w:rFonts w:ascii="Helvetica" w:cs="Helvetica" w:hAnsi="Helvetica" w:eastAsia="Helvetica"/>
          <w:b w:val="1"/>
          <w:bCs w:val="1"/>
          <w:sz w:val="24"/>
          <w:szCs w:val="24"/>
        </w:rPr>
      </w:pPr>
      <w:r>
        <w:rPr>
          <w:rFonts w:ascii="Helvetica" w:hAnsi="Helvetica"/>
          <w:b w:val="1"/>
          <w:bCs w:val="1"/>
          <w:sz w:val="24"/>
          <w:szCs w:val="24"/>
          <w:rtl w:val="0"/>
          <w:lang w:val="en-US"/>
        </w:rPr>
        <w:t>Table S1. Changes in respiratory pattern after pressure support level increase and decrease</w:t>
      </w:r>
    </w:p>
    <w:p>
      <w:pPr>
        <w:pStyle w:val="Основной текст"/>
        <w:bidi w:val="0"/>
      </w:pPr>
    </w:p>
    <w:tbl>
      <w:tblPr>
        <w:tblW w:w="14173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665"/>
        <w:gridCol w:w="590"/>
        <w:gridCol w:w="591"/>
        <w:gridCol w:w="1594"/>
        <w:gridCol w:w="1560"/>
        <w:gridCol w:w="1560"/>
        <w:gridCol w:w="1584"/>
        <w:gridCol w:w="1669"/>
        <w:gridCol w:w="1680"/>
        <w:gridCol w:w="1680"/>
      </w:tblGrid>
      <w:tr>
        <w:tblPrEx>
          <w:shd w:val="clear" w:color="auto" w:fill="auto"/>
        </w:tblPrEx>
        <w:trPr>
          <w:trHeight w:val="567" w:hRule="atLeast"/>
        </w:trPr>
        <w:tc>
          <w:tcPr>
            <w:tcW w:type="dxa" w:w="16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  <w:lang w:val="en-US"/>
              </w:rPr>
              <w:t>Day 1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  <w:lang w:val="en-US"/>
              </w:rPr>
              <w:t xml:space="preserve">Day </w:t>
            </w: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  <w:lang w:val="en-US"/>
              </w:rPr>
              <w:t>3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Day 5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Day 7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Day 10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Day 14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The last NIV day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12493"/>
            <w:gridSpan w:val="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Noninvasive ventilation monitoring parameters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573" w:hRule="atLeast"/>
        </w:trPr>
        <w:tc>
          <w:tcPr>
            <w:tcW w:type="dxa" w:w="166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</w:pPr>
            <w:r>
              <w:rPr>
                <w:rFonts w:ascii="Helvetica" w:hAnsi="Helvetica"/>
                <w:sz w:val="24"/>
                <w:szCs w:val="24"/>
                <w:rtl w:val="0"/>
                <w:lang w:val="en-US"/>
              </w:rPr>
              <w:t>PS,</w:t>
            </w:r>
            <w:r>
              <w:rPr>
                <w:rFonts w:ascii="Helvetica" w:hAnsi="Helvetica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rFonts w:ascii="Helvetica" w:hAnsi="Helvetica"/>
                <w:sz w:val="24"/>
                <w:szCs w:val="24"/>
                <w:rtl w:val="0"/>
                <w:lang w:val="en-US"/>
              </w:rPr>
              <w:t>cmH</w:t>
            </w:r>
            <w:r>
              <w:rPr>
                <w:rFonts w:ascii="Helvetica" w:hAnsi="Helvetica"/>
                <w:sz w:val="24"/>
                <w:szCs w:val="24"/>
                <w:vertAlign w:val="subscript"/>
                <w:rtl w:val="0"/>
                <w:lang w:val="en-US"/>
              </w:rPr>
              <w:t>2</w:t>
            </w:r>
            <w:r>
              <w:rPr>
                <w:rFonts w:ascii="Helvetica" w:hAnsi="Helvetica"/>
                <w:sz w:val="24"/>
                <w:szCs w:val="24"/>
                <w:rtl w:val="0"/>
                <w:lang w:val="en-US"/>
              </w:rPr>
              <w:t>O</w:t>
            </w:r>
          </w:p>
        </w:tc>
        <w:tc>
          <w:tcPr>
            <w:tcW w:type="dxa" w:w="590"/>
            <w:vMerge w:val="restart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PS</w:t>
            </w:r>
          </w:p>
        </w:tc>
        <w:tc>
          <w:tcPr>
            <w:tcW w:type="dxa" w:w="59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594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10.0 [7.0-10.0]</w:t>
            </w:r>
          </w:p>
        </w:tc>
        <w:tc>
          <w:tcPr>
            <w:tcW w:type="dxa" w:w="155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8.0 [6.0-10.0]</w:t>
            </w:r>
          </w:p>
        </w:tc>
        <w:tc>
          <w:tcPr>
            <w:tcW w:type="dxa" w:w="155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9.5 [7.5-11.3]</w:t>
            </w:r>
          </w:p>
        </w:tc>
        <w:tc>
          <w:tcPr>
            <w:tcW w:type="dxa" w:w="1583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9.0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[6.0-11.0]</w:t>
            </w:r>
          </w:p>
        </w:tc>
        <w:tc>
          <w:tcPr>
            <w:tcW w:type="dxa" w:w="166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9.0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[4.0-12.0]</w:t>
            </w:r>
          </w:p>
        </w:tc>
        <w:tc>
          <w:tcPr>
            <w:tcW w:type="dxa" w:w="167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6.5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[6.0-7.5]</w:t>
            </w:r>
          </w:p>
        </w:tc>
        <w:tc>
          <w:tcPr>
            <w:tcW w:type="dxa" w:w="167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7.0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[5.0-9.0]</w:t>
            </w:r>
          </w:p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continue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F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10.0 [9.0-12.0]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10.0 [8.0-12.0]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9.0 [8.0-10.3]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10.0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[8.0-12.0]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11.0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[8.0-14.0]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10.0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[7.5-10.5]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11.0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[8.0-12.0]</w:t>
            </w:r>
          </w:p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PS+4</w:t>
            </w:r>
          </w:p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13.0</w:t>
            </w:r>
            <w:r>
              <w:rPr>
                <w:rFonts w:ascii="Helvetica" w:hAnsi="Helvetica" w:hint="default"/>
                <w:sz w:val="24"/>
                <w:szCs w:val="24"/>
                <w:vertAlign w:val="superscript"/>
                <w:rtl w:val="0"/>
              </w:rPr>
              <w:t>§</w:t>
            </w: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 [10.0-14.0]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13.0</w:t>
            </w:r>
            <w:r>
              <w:rPr>
                <w:rFonts w:ascii="Helvetica" w:hAnsi="Helvetica" w:hint="default"/>
                <w:sz w:val="24"/>
                <w:szCs w:val="24"/>
                <w:vertAlign w:val="superscript"/>
                <w:rtl w:val="0"/>
              </w:rPr>
              <w:t>§</w:t>
            </w: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 [10.0-14.0]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13.5** [11.5-15.3]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13.0* [10.0-15.0]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14.5 [12.3-16.0]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10.5*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[10.0-11.8]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11.0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[9.8-13.3]</w:t>
            </w:r>
          </w:p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F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14.0</w:t>
            </w:r>
            <w:r>
              <w:rPr>
                <w:rFonts w:ascii="Helvetica" w:hAnsi="Helvetica" w:hint="default"/>
                <w:sz w:val="24"/>
                <w:szCs w:val="24"/>
                <w:vertAlign w:val="superscript"/>
                <w:rtl w:val="0"/>
              </w:rPr>
              <w:t>§</w:t>
            </w:r>
            <w:r>
              <w:rPr>
                <w:rFonts w:ascii="Helvetica" w:hAnsi="Helvetica"/>
                <w:sz w:val="24"/>
                <w:szCs w:val="24"/>
                <w:rtl w:val="0"/>
                <w:lang w:val="pt-PT"/>
              </w:rPr>
              <w:t xml:space="preserve"> [13.0-16.0]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14.0</w:t>
            </w:r>
            <w:r>
              <w:rPr>
                <w:rFonts w:ascii="Helvetica" w:hAnsi="Helvetica" w:hint="default"/>
                <w:sz w:val="24"/>
                <w:szCs w:val="24"/>
                <w:vertAlign w:val="superscript"/>
                <w:rtl w:val="0"/>
              </w:rPr>
              <w:t>§</w:t>
            </w:r>
            <w:r>
              <w:rPr>
                <w:rFonts w:ascii="Helvetica" w:hAnsi="Helvetica"/>
                <w:sz w:val="24"/>
                <w:szCs w:val="24"/>
                <w:rtl w:val="0"/>
                <w:lang w:val="pt-PT"/>
              </w:rPr>
              <w:t xml:space="preserve"> [12.0-16.0]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13.0</w:t>
            </w:r>
            <w:r>
              <w:rPr>
                <w:rFonts w:ascii="Helvetica" w:hAnsi="Helvetica" w:hint="default"/>
                <w:sz w:val="24"/>
                <w:szCs w:val="24"/>
                <w:vertAlign w:val="superscript"/>
                <w:rtl w:val="0"/>
              </w:rPr>
              <w:t>§</w:t>
            </w: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 [12.0-14.5]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14.0** [12.0-16.0]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15.0* [12.0-19.0]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14.0 [11.5-14.5]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15.0</w:t>
            </w:r>
            <w:r>
              <w:rPr>
                <w:rFonts w:ascii="Helvetica" w:hAnsi="Helvetica" w:hint="default"/>
                <w:sz w:val="24"/>
                <w:szCs w:val="24"/>
                <w:vertAlign w:val="superscript"/>
                <w:rtl w:val="0"/>
              </w:rPr>
              <w:t>§</w:t>
            </w:r>
            <w:r>
              <w:rPr>
                <w:rFonts w:ascii="Helvetica" w:hAnsi="Helvetica"/>
                <w:sz w:val="24"/>
                <w:szCs w:val="24"/>
                <w:rtl w:val="0"/>
                <w:lang w:val="pt-PT"/>
              </w:rPr>
              <w:t xml:space="preserve"> [12.0-16.0]</w:t>
            </w:r>
          </w:p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PS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-4</w:t>
            </w:r>
          </w:p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6.0**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[4.0-7.0]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  <w:rPr>
                <w:rFonts w:ascii="Helvetica" w:cs="Helvetica" w:hAnsi="Helvetica" w:eastAsia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4.5</w:t>
            </w:r>
            <w:r>
              <w:rPr>
                <w:rFonts w:ascii="Helvetica" w:hAnsi="Helvetica" w:hint="default"/>
                <w:sz w:val="24"/>
                <w:szCs w:val="24"/>
                <w:vertAlign w:val="superscript"/>
                <w:rtl w:val="0"/>
              </w:rPr>
              <w:t>§</w:t>
            </w: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  <w:lang w:val="pt-PT"/>
              </w:rPr>
              <w:t>[2.0-6.0]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6.0**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[4.0-7.5]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5.0*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[2.0-7.0]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6.5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[4.3-8.0]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3.5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[2.3-4.0]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4.0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[2.0-5.8]</w:t>
            </w:r>
          </w:p>
        </w:tc>
      </w:tr>
      <w:tr>
        <w:tblPrEx>
          <w:shd w:val="clear" w:color="auto" w:fill="auto"/>
        </w:tblPrEx>
        <w:trPr>
          <w:trHeight w:val="573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F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  <w:rPr>
                <w:rFonts w:ascii="Helvetica" w:cs="Helvetica" w:hAnsi="Helvetica" w:eastAsia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6.0</w:t>
            </w:r>
            <w:r>
              <w:rPr>
                <w:rFonts w:ascii="Helvetica" w:hAnsi="Helvetica" w:hint="default"/>
                <w:sz w:val="24"/>
                <w:szCs w:val="24"/>
                <w:vertAlign w:val="superscript"/>
                <w:rtl w:val="0"/>
              </w:rPr>
              <w:t>§</w:t>
            </w: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  <w:lang w:val="pt-PT"/>
              </w:rPr>
              <w:t>[5.0-8.0]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  <w:rPr>
                <w:rFonts w:ascii="Helvetica" w:cs="Helvetica" w:hAnsi="Helvetica" w:eastAsia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6.0</w:t>
            </w:r>
            <w:r>
              <w:rPr>
                <w:rFonts w:ascii="Helvetica" w:hAnsi="Helvetica" w:hint="default"/>
                <w:sz w:val="24"/>
                <w:szCs w:val="24"/>
                <w:vertAlign w:val="superscript"/>
                <w:rtl w:val="0"/>
              </w:rPr>
              <w:t>§</w:t>
            </w: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  <w:lang w:val="pt-PT"/>
              </w:rPr>
              <w:t>[4.0-8.0]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  <w:rPr>
                <w:rFonts w:ascii="Helvetica" w:cs="Helvetica" w:hAnsi="Helvetica" w:eastAsia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5.0</w:t>
            </w:r>
            <w:r>
              <w:rPr>
                <w:rFonts w:ascii="Helvetica" w:hAnsi="Helvetica" w:hint="default"/>
                <w:sz w:val="24"/>
                <w:szCs w:val="24"/>
                <w:vertAlign w:val="superscript"/>
                <w:rtl w:val="0"/>
              </w:rPr>
              <w:t>§</w:t>
            </w: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  <w:lang w:val="pt-PT"/>
              </w:rPr>
              <w:t>[4.0-6.5]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6.0**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[4.0-8.0]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7.0*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[4.0-11.0]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6.0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[3.5-6.5]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  <w:rPr>
                <w:rFonts w:ascii="Helvetica" w:cs="Helvetica" w:hAnsi="Helvetica" w:eastAsia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7.0</w:t>
            </w:r>
            <w:r>
              <w:rPr>
                <w:rFonts w:ascii="Helvetica" w:hAnsi="Helvetica" w:hint="default"/>
                <w:sz w:val="24"/>
                <w:szCs w:val="24"/>
                <w:vertAlign w:val="superscript"/>
                <w:rtl w:val="0"/>
              </w:rPr>
              <w:t>§</w:t>
            </w: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  <w:lang w:val="pt-PT"/>
              </w:rPr>
              <w:t>[5.0-8.0]</w:t>
            </w:r>
          </w:p>
        </w:tc>
      </w:tr>
      <w:tr>
        <w:tblPrEx>
          <w:shd w:val="clear" w:color="auto" w:fill="auto"/>
        </w:tblPrEx>
        <w:trPr>
          <w:trHeight w:val="573" w:hRule="atLeast"/>
        </w:trPr>
        <w:tc>
          <w:tcPr>
            <w:tcW w:type="dxa" w:w="166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VTe max, ml/kg IBW</w:t>
            </w:r>
          </w:p>
        </w:tc>
        <w:tc>
          <w:tcPr>
            <w:tcW w:type="dxa" w:w="590"/>
            <w:vMerge w:val="restart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PS</w:t>
            </w:r>
          </w:p>
        </w:tc>
        <w:tc>
          <w:tcPr>
            <w:tcW w:type="dxa" w:w="59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594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9.7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[8.2-13.5]</w:t>
            </w:r>
          </w:p>
        </w:tc>
        <w:tc>
          <w:tcPr>
            <w:tcW w:type="dxa" w:w="155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9.8 [8.7-11.1]</w:t>
            </w:r>
          </w:p>
        </w:tc>
        <w:tc>
          <w:tcPr>
            <w:tcW w:type="dxa" w:w="155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11.3 [8.6-12.9]</w:t>
            </w:r>
          </w:p>
        </w:tc>
        <w:tc>
          <w:tcPr>
            <w:tcW w:type="dxa" w:w="1583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9.4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[7.7-11.2]</w:t>
            </w:r>
          </w:p>
        </w:tc>
        <w:tc>
          <w:tcPr>
            <w:tcW w:type="dxa" w:w="166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10.6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[8.8-12.7]</w:t>
            </w:r>
          </w:p>
        </w:tc>
        <w:tc>
          <w:tcPr>
            <w:tcW w:type="dxa" w:w="167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11.4 [9.3-13.1]</w:t>
            </w:r>
          </w:p>
        </w:tc>
        <w:tc>
          <w:tcPr>
            <w:tcW w:type="dxa" w:w="167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9.7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[8.7-11.5]</w:t>
            </w:r>
          </w:p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continue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F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10.1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[8.3-12.4]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10.9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[8.9-13.2]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10.4 [8.1-13.0]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9.8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[8.2-11.3]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10.8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[8.2-14.6]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9.6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[8.5-12.6]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10.7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[8.2-13.5]</w:t>
            </w:r>
          </w:p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PS+4</w:t>
            </w:r>
          </w:p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10.1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[8.9-13.4]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10.9** [10.1-13.3]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11.9* [10.4-14.2]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11.0 [9.3-12.1]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11.0 [10.9-11.8]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12.4 [10.0-14.0]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10.5*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[10.0-13.0]</w:t>
            </w:r>
          </w:p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F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11.6</w:t>
            </w:r>
            <w:r>
              <w:rPr>
                <w:rFonts w:ascii="Helvetica" w:hAnsi="Helvetica" w:hint="default"/>
                <w:sz w:val="24"/>
                <w:szCs w:val="24"/>
                <w:vertAlign w:val="superscript"/>
                <w:rtl w:val="0"/>
              </w:rPr>
              <w:t>§</w:t>
            </w:r>
            <w:r>
              <w:rPr>
                <w:rFonts w:ascii="Helvetica" w:hAnsi="Helvetica"/>
                <w:sz w:val="24"/>
                <w:szCs w:val="24"/>
                <w:rtl w:val="0"/>
                <w:lang w:val="pt-PT"/>
              </w:rPr>
              <w:t xml:space="preserve"> [9.5-13.7]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  <w:rPr>
                <w:rFonts w:ascii="Helvetica" w:cs="Helvetica" w:hAnsi="Helvetica" w:eastAsia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10.8</w:t>
            </w:r>
            <w:r>
              <w:rPr>
                <w:rFonts w:ascii="Helvetica" w:hAnsi="Helvetica" w:hint="default"/>
                <w:sz w:val="24"/>
                <w:szCs w:val="24"/>
                <w:vertAlign w:val="superscript"/>
                <w:rtl w:val="0"/>
              </w:rPr>
              <w:t>§</w:t>
            </w: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  <w:lang w:val="pt-PT"/>
              </w:rPr>
              <w:t>[8.9-14.1]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11.5** [9.6-14.0]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10.4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[9.8-12.2]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12.6 [9.6-16.7]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11.9 [9.1-15.3]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11.9</w:t>
            </w:r>
            <w:r>
              <w:rPr>
                <w:rFonts w:ascii="Helvetica" w:hAnsi="Helvetica" w:hint="default"/>
                <w:sz w:val="24"/>
                <w:szCs w:val="24"/>
                <w:vertAlign w:val="superscript"/>
                <w:rtl w:val="0"/>
              </w:rPr>
              <w:t>§</w:t>
            </w: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 [9.0-14.5]</w:t>
            </w:r>
          </w:p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PS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-4</w:t>
            </w:r>
          </w:p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8.2**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[6.3-11.0]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9.1* [7.5-10.4]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9.5 [7.9-11.1]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8.8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[8.1-10.8]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8.9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[8.0-11.0]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9.3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[6.6-11.7]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8.2*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[6.8-9.5]</w:t>
            </w:r>
          </w:p>
        </w:tc>
      </w:tr>
      <w:tr>
        <w:tblPrEx>
          <w:shd w:val="clear" w:color="auto" w:fill="auto"/>
        </w:tblPrEx>
        <w:trPr>
          <w:trHeight w:val="573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F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9.4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[7.6-11.0]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9.3*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[7.7-10.7]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10.2 [8.4-11.3]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9.0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[7.7-11.5]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11.8 [8.3-14.7]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8.7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[7.6-12.1]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9.6**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[7.4-12.0]</w:t>
            </w:r>
          </w:p>
        </w:tc>
      </w:tr>
      <w:tr>
        <w:tblPrEx>
          <w:shd w:val="clear" w:color="auto" w:fill="auto"/>
        </w:tblPrEx>
        <w:trPr>
          <w:trHeight w:val="573" w:hRule="atLeast"/>
        </w:trPr>
        <w:tc>
          <w:tcPr>
            <w:tcW w:type="dxa" w:w="166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VTe mean, ml/kg IBW</w:t>
            </w:r>
          </w:p>
        </w:tc>
        <w:tc>
          <w:tcPr>
            <w:tcW w:type="dxa" w:w="590"/>
            <w:vMerge w:val="restart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PS</w:t>
            </w:r>
          </w:p>
        </w:tc>
        <w:tc>
          <w:tcPr>
            <w:tcW w:type="dxa" w:w="59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594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7.2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[5.8-9.4]</w:t>
            </w:r>
          </w:p>
        </w:tc>
        <w:tc>
          <w:tcPr>
            <w:tcW w:type="dxa" w:w="155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7.6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[6.4-9.0]</w:t>
            </w:r>
          </w:p>
        </w:tc>
        <w:tc>
          <w:tcPr>
            <w:tcW w:type="dxa" w:w="155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7.0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[5.7-8.4]</w:t>
            </w:r>
          </w:p>
        </w:tc>
        <w:tc>
          <w:tcPr>
            <w:tcW w:type="dxa" w:w="1583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8.1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[6.2-9.5]</w:t>
            </w:r>
          </w:p>
        </w:tc>
        <w:tc>
          <w:tcPr>
            <w:tcW w:type="dxa" w:w="166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8.6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[7.0-10.1]</w:t>
            </w:r>
          </w:p>
        </w:tc>
        <w:tc>
          <w:tcPr>
            <w:tcW w:type="dxa" w:w="167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8.4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[6.6-10.3]</w:t>
            </w:r>
          </w:p>
        </w:tc>
        <w:tc>
          <w:tcPr>
            <w:tcW w:type="dxa" w:w="167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7.5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[6.1-9.0]</w:t>
            </w:r>
          </w:p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continue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F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8.2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[6.7-10.0]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7.5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[6.6-10.2]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7.8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[7.0-11.5]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8.1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[6.3-9.0]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10.3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[7.4-13.0]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7.3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[6.9-11.7]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7.8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[6.6-11.3]</w:t>
            </w:r>
          </w:p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PS+4</w:t>
            </w:r>
          </w:p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8.3*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[6.2-9.8]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8.5**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[8.0-10.5]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9.3*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[7.8-10.8]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9.0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[7.8-10.1]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9.9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[6.9-10.5]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9.7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[7.5-10.4]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8.2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[7.2-9.4]</w:t>
            </w:r>
          </w:p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F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  <w:rPr>
                <w:rFonts w:ascii="Helvetica" w:cs="Helvetica" w:hAnsi="Helvetica" w:eastAsia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9.4</w:t>
            </w:r>
            <w:r>
              <w:rPr>
                <w:rFonts w:ascii="Helvetica" w:hAnsi="Helvetica" w:hint="default"/>
                <w:sz w:val="24"/>
                <w:szCs w:val="24"/>
                <w:vertAlign w:val="superscript"/>
                <w:rtl w:val="0"/>
              </w:rPr>
              <w:t>§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  <w:lang w:val="pt-PT"/>
              </w:rPr>
              <w:t>[6.9-11.3]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8.1*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[6.9-12.5]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9.0*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[7.8-11.7]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8.7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[7.2-10.0]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10.8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[7.6-13.2]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8.7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[7.5-11.9]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8.6**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[7.0-11.9]</w:t>
            </w:r>
          </w:p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PS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-4</w:t>
            </w:r>
          </w:p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6.2*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[5.0-8.3]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  <w:rPr>
                <w:rFonts w:ascii="Helvetica" w:cs="Helvetica" w:hAnsi="Helvetica" w:eastAsia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6.8</w:t>
            </w:r>
            <w:r>
              <w:rPr>
                <w:rFonts w:ascii="Helvetica" w:hAnsi="Helvetica" w:hint="default"/>
                <w:sz w:val="24"/>
                <w:szCs w:val="24"/>
                <w:vertAlign w:val="superscript"/>
                <w:rtl w:val="0"/>
              </w:rPr>
              <w:t>§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  <w:lang w:val="pt-PT"/>
              </w:rPr>
              <w:t>[5.2-7.9]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7.4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[6.6-9.3]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6.8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[5.7-7.4]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7.4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[6.2-8.6]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7.3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[5.2-9.6]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6.3*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[5.2-7.9]</w:t>
            </w:r>
          </w:p>
        </w:tc>
      </w:tr>
      <w:tr>
        <w:tblPrEx>
          <w:shd w:val="clear" w:color="auto" w:fill="auto"/>
        </w:tblPrEx>
        <w:trPr>
          <w:trHeight w:val="573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F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7.5**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[6.2-9.6]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7.0*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[6.0-9.1]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7.4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[6.2-9.9]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8.1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[6.8-9.3]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8.8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[6.5-11.2]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7.1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[6.5-11.6]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7.7*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[6.1-10.4]</w:t>
            </w:r>
          </w:p>
        </w:tc>
      </w:tr>
      <w:tr>
        <w:tblPrEx>
          <w:shd w:val="clear" w:color="auto" w:fill="auto"/>
        </w:tblPrEx>
        <w:trPr>
          <w:trHeight w:val="573" w:hRule="atLeast"/>
        </w:trPr>
        <w:tc>
          <w:tcPr>
            <w:tcW w:type="dxa" w:w="166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PIF mean, l/min</w:t>
            </w:r>
          </w:p>
        </w:tc>
        <w:tc>
          <w:tcPr>
            <w:tcW w:type="dxa" w:w="590"/>
            <w:vMerge w:val="restart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PS</w:t>
            </w:r>
          </w:p>
        </w:tc>
        <w:tc>
          <w:tcPr>
            <w:tcW w:type="dxa" w:w="59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594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57.9 [39.0-82.0]</w:t>
            </w:r>
          </w:p>
        </w:tc>
        <w:tc>
          <w:tcPr>
            <w:tcW w:type="dxa" w:w="155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43.0 [36.0-63.0]</w:t>
            </w:r>
          </w:p>
        </w:tc>
        <w:tc>
          <w:tcPr>
            <w:tcW w:type="dxa" w:w="155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43.5 [36.8-56.0]</w:t>
            </w:r>
          </w:p>
        </w:tc>
        <w:tc>
          <w:tcPr>
            <w:tcW w:type="dxa" w:w="1583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38.7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[35.5-48.9]</w:t>
            </w:r>
          </w:p>
        </w:tc>
        <w:tc>
          <w:tcPr>
            <w:tcW w:type="dxa" w:w="166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49.5 [41.3-56.3]</w:t>
            </w:r>
          </w:p>
        </w:tc>
        <w:tc>
          <w:tcPr>
            <w:tcW w:type="dxa" w:w="167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50.5 [38.2-71.3]</w:t>
            </w:r>
          </w:p>
        </w:tc>
        <w:tc>
          <w:tcPr>
            <w:tcW w:type="dxa" w:w="167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44.8 [34.5-55.5]</w:t>
            </w:r>
          </w:p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continue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F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60.0 [47.1-85.5]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63.0 [49.0-84.5]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56.5 [46.5-84.5]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54.0 [40.0-69.0]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59.8 [47.0-79.0]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59.0 [33.5-62.5]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62.5 [51.3-91.5]</w:t>
            </w:r>
          </w:p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PS+4</w:t>
            </w:r>
          </w:p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60.6* [45.0-90.0]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53.0** [44.0-68.5]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51.0 [39.8-63.3]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49.0 [40.4-55.0]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50.7 [20.5-70.7]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59.0 [42.6-76.8]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48.0</w:t>
            </w:r>
            <w:r>
              <w:rPr>
                <w:rFonts w:ascii="Helvetica" w:hAnsi="Helvetica"/>
                <w:sz w:val="24"/>
                <w:szCs w:val="24"/>
                <w:vertAlign w:val="superscript"/>
                <w:rtl w:val="0"/>
                <w:lang w:val="en-US"/>
              </w:rPr>
              <w:t>**</w:t>
            </w:r>
            <w:r>
              <w:rPr>
                <w:rFonts w:ascii="Helvetica" w:hAnsi="Helvetica"/>
                <w:sz w:val="24"/>
                <w:szCs w:val="24"/>
                <w:rtl w:val="0"/>
                <w:lang w:val="pt-PT"/>
              </w:rPr>
              <w:t xml:space="preserve"> [39.6-60.3]</w:t>
            </w:r>
          </w:p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F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71.2* [53.3-92.3]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71.5</w:t>
            </w:r>
            <w:r>
              <w:rPr>
                <w:rFonts w:ascii="Helvetica" w:hAnsi="Helvetica" w:hint="default"/>
                <w:sz w:val="24"/>
                <w:szCs w:val="24"/>
                <w:vertAlign w:val="superscript"/>
                <w:rtl w:val="0"/>
              </w:rPr>
              <w:t>§</w:t>
            </w:r>
            <w:r>
              <w:rPr>
                <w:rFonts w:ascii="Helvetica" w:hAnsi="Helvetica"/>
                <w:sz w:val="24"/>
                <w:szCs w:val="24"/>
                <w:rtl w:val="0"/>
                <w:lang w:val="pt-PT"/>
              </w:rPr>
              <w:t xml:space="preserve"> [53.5-96.5]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73.0</w:t>
            </w:r>
            <w:r>
              <w:rPr>
                <w:rFonts w:ascii="Helvetica" w:hAnsi="Helvetica" w:hint="default"/>
                <w:sz w:val="24"/>
                <w:szCs w:val="24"/>
                <w:vertAlign w:val="superscript"/>
                <w:rtl w:val="0"/>
              </w:rPr>
              <w:t>§</w:t>
            </w:r>
            <w:r>
              <w:rPr>
                <w:rFonts w:ascii="Helvetica" w:hAnsi="Helvetica"/>
                <w:sz w:val="24"/>
                <w:szCs w:val="24"/>
                <w:rtl w:val="0"/>
                <w:lang w:val="pt-PT"/>
              </w:rPr>
              <w:t xml:space="preserve"> [53.0-100.0]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57.5 [42.5-83.3]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81.0 [56.0-98.0]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63.0 [41.0-67.5]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75.0</w:t>
            </w:r>
            <w:r>
              <w:rPr>
                <w:rFonts w:ascii="Helvetica" w:hAnsi="Helvetica" w:hint="default"/>
                <w:sz w:val="24"/>
                <w:szCs w:val="24"/>
                <w:vertAlign w:val="superscript"/>
                <w:rtl w:val="0"/>
              </w:rPr>
              <w:t>§</w:t>
            </w:r>
            <w:r>
              <w:rPr>
                <w:rFonts w:ascii="Helvetica" w:hAnsi="Helvetica"/>
                <w:sz w:val="24"/>
                <w:szCs w:val="24"/>
                <w:rtl w:val="0"/>
                <w:lang w:val="pt-PT"/>
              </w:rPr>
              <w:t xml:space="preserve"> [63.0-105.0]</w:t>
            </w:r>
          </w:p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PS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-4</w:t>
            </w:r>
          </w:p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44.0** [32.0-62.0]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41.5 [33.5-56.3]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48.0 [32.5-66.9]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42.0 [36.0-45.5]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57.5 [36.4-66.3]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42.0 [30.6-53.8]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42.0</w:t>
            </w:r>
            <w:r>
              <w:rPr>
                <w:rFonts w:ascii="Helvetica" w:hAnsi="Helvetica"/>
                <w:sz w:val="24"/>
                <w:szCs w:val="24"/>
                <w:vertAlign w:val="superscript"/>
                <w:rtl w:val="0"/>
                <w:lang w:val="en-US"/>
              </w:rPr>
              <w:t>*</w:t>
            </w:r>
            <w:r>
              <w:rPr>
                <w:rFonts w:ascii="Helvetica" w:hAnsi="Helvetica"/>
                <w:sz w:val="24"/>
                <w:szCs w:val="24"/>
                <w:rtl w:val="0"/>
                <w:lang w:val="pt-PT"/>
              </w:rPr>
              <w:t xml:space="preserve"> [29.0-53.8]</w:t>
            </w:r>
          </w:p>
        </w:tc>
      </w:tr>
      <w:tr>
        <w:tblPrEx>
          <w:shd w:val="clear" w:color="auto" w:fill="auto"/>
        </w:tblPrEx>
        <w:trPr>
          <w:trHeight w:val="573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F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55.0</w:t>
            </w:r>
            <w:r>
              <w:rPr>
                <w:rFonts w:ascii="Helvetica" w:hAnsi="Helvetica" w:hint="default"/>
                <w:sz w:val="24"/>
                <w:szCs w:val="24"/>
                <w:vertAlign w:val="superscript"/>
                <w:rtl w:val="0"/>
              </w:rPr>
              <w:t>§</w:t>
            </w:r>
            <w:r>
              <w:rPr>
                <w:rFonts w:ascii="Helvetica" w:hAnsi="Helvetica"/>
                <w:sz w:val="24"/>
                <w:szCs w:val="24"/>
                <w:rtl w:val="0"/>
                <w:lang w:val="pt-PT"/>
              </w:rPr>
              <w:t xml:space="preserve"> [43.3-68.0]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63.0 [47.5-77.0]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64.0 [42.0-72.0]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44.0 [37.8-64.8]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53.3 [44.0-81.0]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50.0 [34.0-62.0]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62.2* [45.8-85.0]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166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</w:pPr>
            <w:r>
              <w:rPr>
                <w:rFonts w:ascii="Helvetica" w:hAnsi="Helvetica"/>
                <w:sz w:val="24"/>
                <w:szCs w:val="24"/>
                <w:rtl w:val="0"/>
                <w:lang w:val="en-US"/>
              </w:rPr>
              <w:t>RR, min</w:t>
            </w:r>
            <w:r>
              <w:rPr>
                <w:rFonts w:ascii="Helvetica" w:hAnsi="Helvetica"/>
                <w:sz w:val="24"/>
                <w:szCs w:val="24"/>
                <w:vertAlign w:val="superscript"/>
                <w:rtl w:val="0"/>
                <w:lang w:val="en-US"/>
              </w:rPr>
              <w:t>-1</w:t>
            </w:r>
          </w:p>
        </w:tc>
        <w:tc>
          <w:tcPr>
            <w:tcW w:type="dxa" w:w="590"/>
            <w:vMerge w:val="restart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PS</w:t>
            </w:r>
          </w:p>
        </w:tc>
        <w:tc>
          <w:tcPr>
            <w:tcW w:type="dxa" w:w="59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594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27 [24-33]</w:t>
            </w:r>
          </w:p>
        </w:tc>
        <w:tc>
          <w:tcPr>
            <w:tcW w:type="dxa" w:w="155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  <w:lang w:val="pt-PT"/>
              </w:rPr>
              <w:t>25 [19-27]</w:t>
            </w:r>
            <w:r>
              <w:rPr>
                <w:rFonts w:ascii="Helvetica" w:hAnsi="Helvetica"/>
                <w:sz w:val="24"/>
                <w:szCs w:val="24"/>
                <w:vertAlign w:val="superscript"/>
                <w:rtl w:val="0"/>
                <w:lang w:val="en-US"/>
              </w:rPr>
              <w:t xml:space="preserve"> </w:t>
            </w:r>
          </w:p>
        </w:tc>
        <w:tc>
          <w:tcPr>
            <w:tcW w:type="dxa" w:w="155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25 [19-28]</w:t>
            </w:r>
          </w:p>
        </w:tc>
        <w:tc>
          <w:tcPr>
            <w:tcW w:type="dxa" w:w="1583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21 [19-26]</w:t>
            </w:r>
          </w:p>
        </w:tc>
        <w:tc>
          <w:tcPr>
            <w:tcW w:type="dxa" w:w="166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24 [22-29]</w:t>
            </w:r>
          </w:p>
        </w:tc>
        <w:tc>
          <w:tcPr>
            <w:tcW w:type="dxa" w:w="167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24 [19-30]</w:t>
            </w:r>
          </w:p>
        </w:tc>
        <w:tc>
          <w:tcPr>
            <w:tcW w:type="dxa" w:w="167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23 [19-25]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continue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F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28 [24-31]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30 [25-32]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28 [24-30]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27 [24-28]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30 [21-35]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24 [19-28]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28 [25-34]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PS+4</w:t>
            </w:r>
          </w:p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26 [24-31]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23 [19-28]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23 [19-27]*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24 [21-28]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26 [20-31]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26 [20-29]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24 [19-27]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F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28 [23-31]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30 [25-32]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28 [24-30]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25 [22-27]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29 [24-32]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22 [20-26]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29 [25-33]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PS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-4</w:t>
            </w:r>
          </w:p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28 [26-31]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25 [21-28]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23 [20-28]*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23 [20-29]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27 [23-32]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26 [21-28]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22 [19-27]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F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27 [25-32]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29 [24-34]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28 [24-33]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25 [22-27]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27 [20-34]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22 [17-28]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30 [24-33]</w:t>
            </w:r>
          </w:p>
        </w:tc>
      </w:tr>
      <w:tr>
        <w:tblPrEx>
          <w:shd w:val="clear" w:color="auto" w:fill="auto"/>
        </w:tblPrEx>
        <w:trPr>
          <w:trHeight w:val="573" w:hRule="atLeast"/>
        </w:trPr>
        <w:tc>
          <w:tcPr>
            <w:tcW w:type="dxa" w:w="166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Ti max, s</w:t>
            </w:r>
          </w:p>
        </w:tc>
        <w:tc>
          <w:tcPr>
            <w:tcW w:type="dxa" w:w="590"/>
            <w:vMerge w:val="restart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PS</w:t>
            </w:r>
          </w:p>
        </w:tc>
        <w:tc>
          <w:tcPr>
            <w:tcW w:type="dxa" w:w="59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594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0.94 [0.82-1.24]</w:t>
            </w:r>
          </w:p>
        </w:tc>
        <w:tc>
          <w:tcPr>
            <w:tcW w:type="dxa" w:w="155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1.04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[0.92-1.36]</w:t>
            </w:r>
          </w:p>
        </w:tc>
        <w:tc>
          <w:tcPr>
            <w:tcW w:type="dxa" w:w="155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1.09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[0.91-1.59]</w:t>
            </w:r>
          </w:p>
        </w:tc>
        <w:tc>
          <w:tcPr>
            <w:tcW w:type="dxa" w:w="1583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1.15 [1.00-1.24]</w:t>
            </w:r>
          </w:p>
        </w:tc>
        <w:tc>
          <w:tcPr>
            <w:tcW w:type="dxa" w:w="166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1.00 [0.90-1.23]</w:t>
            </w:r>
          </w:p>
        </w:tc>
        <w:tc>
          <w:tcPr>
            <w:tcW w:type="dxa" w:w="167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1.12 [0.82-1.56]</w:t>
            </w:r>
          </w:p>
        </w:tc>
        <w:tc>
          <w:tcPr>
            <w:tcW w:type="dxa" w:w="167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1.13 [0.98-1.26]</w:t>
            </w:r>
          </w:p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continue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F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0.89 [0.79-1.06]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0.89 [0.77-1.00]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0.93 [0.78-1.05]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0.96 [0.82-1.30]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0.82 [0.73-1.20]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1.32 [1.04-1.45]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0.82 [0.70-1.02]</w:t>
            </w:r>
          </w:p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PS+4</w:t>
            </w:r>
          </w:p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0.88 [0.81-1.22]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1.01 [0.89-1.21]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1.24 [0.95-1.75]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1.13 [1.10-1.20]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1.03 [0.88-1.36]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0.95 [0.88-1.38]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1.10 [0.93-1.35]</w:t>
            </w:r>
          </w:p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F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0.93 [0.78-1.10]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0.82 [0.71-0.97]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0.96 [0.84-1.09]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1.04 [0.80-1.14]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0.88 [0.82-1.09]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1.09 [0.98-1.54]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0.82 [0.68-1.08]</w:t>
            </w:r>
          </w:p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PS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-4</w:t>
            </w:r>
          </w:p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0.97 [0.83-1.10]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1.02 [0.88-1.23]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1.14 [0.93-1.36]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1.10 [1.00-1.25]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1.10 [0.89-1.29]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1.05 [1.01-1.29]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1.09 [0.95-1.26]</w:t>
            </w:r>
          </w:p>
        </w:tc>
      </w:tr>
      <w:tr>
        <w:tblPrEx>
          <w:shd w:val="clear" w:color="auto" w:fill="auto"/>
        </w:tblPrEx>
        <w:trPr>
          <w:trHeight w:val="573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F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0.90 [0.76-1.10]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0.90 [0.77-1.02]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0.96 [0.81-1.15]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1.04 [0.85-1.27]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0.92 [0.71-1.50]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1.30 [1.26-1.53]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0.82 [0.73-0.97]</w:t>
            </w:r>
          </w:p>
        </w:tc>
      </w:tr>
      <w:tr>
        <w:tblPrEx>
          <w:shd w:val="clear" w:color="auto" w:fill="auto"/>
        </w:tblPrEx>
        <w:trPr>
          <w:trHeight w:val="573" w:hRule="atLeast"/>
        </w:trPr>
        <w:tc>
          <w:tcPr>
            <w:tcW w:type="dxa" w:w="166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Ti min, s</w:t>
            </w:r>
          </w:p>
        </w:tc>
        <w:tc>
          <w:tcPr>
            <w:tcW w:type="dxa" w:w="590"/>
            <w:vMerge w:val="restart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PS</w:t>
            </w:r>
          </w:p>
        </w:tc>
        <w:tc>
          <w:tcPr>
            <w:tcW w:type="dxa" w:w="59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594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0.76 [0.67-0.98]</w:t>
            </w:r>
          </w:p>
        </w:tc>
        <w:tc>
          <w:tcPr>
            <w:tcW w:type="dxa" w:w="155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0.86 [0.80-1.13]</w:t>
            </w:r>
          </w:p>
        </w:tc>
        <w:tc>
          <w:tcPr>
            <w:tcW w:type="dxa" w:w="155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0.92 [0.70-1.11]</w:t>
            </w:r>
          </w:p>
        </w:tc>
        <w:tc>
          <w:tcPr>
            <w:tcW w:type="dxa" w:w="1583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1.00 [0.86-1.07]</w:t>
            </w:r>
          </w:p>
        </w:tc>
        <w:tc>
          <w:tcPr>
            <w:tcW w:type="dxa" w:w="166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0.79 [0.73-0.93]</w:t>
            </w:r>
          </w:p>
        </w:tc>
        <w:tc>
          <w:tcPr>
            <w:tcW w:type="dxa" w:w="167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0.90 [0.70-1.26]</w:t>
            </w:r>
          </w:p>
        </w:tc>
        <w:tc>
          <w:tcPr>
            <w:tcW w:type="dxa" w:w="1679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  <w:rPr>
                <w:rFonts w:ascii="Helvetica" w:cs="Helvetica" w:hAnsi="Helvetica" w:eastAsia="Helvetica"/>
                <w:sz w:val="24"/>
                <w:szCs w:val="24"/>
                <w:vertAlign w:val="superscript"/>
              </w:rPr>
            </w:pPr>
            <w:r>
              <w:rPr>
                <w:rFonts w:ascii="Helvetica" w:hAnsi="Helvetica"/>
                <w:sz w:val="24"/>
                <w:szCs w:val="24"/>
                <w:rtl w:val="0"/>
                <w:lang w:val="en-US"/>
              </w:rPr>
              <w:t>0.93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  <w:lang w:val="en-US"/>
              </w:rPr>
              <w:t>[0.72-1.08]</w:t>
            </w:r>
          </w:p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continue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F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0.78 [0.69-0.94]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0.76 [0.61-0.89]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0.78 [0.62-0.90]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0.90 [0.63-1.12]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0.73 [0.69-1.19]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1.13 [0.98-1.25]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0.69 [0.60-0.90]</w:t>
            </w:r>
          </w:p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PS+4</w:t>
            </w:r>
          </w:p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0.77 [0.77-0.93]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0.89 [0.72-0.97]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0.96 [0.74-1.52]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0.93 [0.78-1.11]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0.93 [0.79-1.09]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0.87 [0.69-1.21]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0.89 [0.77-1.10]</w:t>
            </w:r>
          </w:p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F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0.74 [0.60-0.89]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0.72 [0.60-0.84]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0.77 [0.61-0.87]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0.88 [0.71-1.01]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0.71 [0.60-1.00]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0.96 [0.77-1.29]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0.67 [0.56-0.83]</w:t>
            </w:r>
          </w:p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PS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-4</w:t>
            </w:r>
          </w:p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0.77 [0.67-0.89]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0.84 [0.67-0.97]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0.93 [0.81-1.05]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0.90 [0.77-1.11]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0.76 [0.72-0.95]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0.85 [0.73-1.10]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0.93 [0.79-1.11]</w:t>
            </w:r>
          </w:p>
        </w:tc>
      </w:tr>
      <w:tr>
        <w:tblPrEx>
          <w:shd w:val="clear" w:color="auto" w:fill="auto"/>
        </w:tblPrEx>
        <w:trPr>
          <w:trHeight w:val="573" w:hRule="atLeast"/>
        </w:trPr>
        <w:tc>
          <w:tcPr>
            <w:tcW w:type="dxa" w:w="166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F</w:t>
            </w:r>
          </w:p>
        </w:tc>
        <w:tc>
          <w:tcPr>
            <w:tcW w:type="dxa" w:w="15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0.74 [0.60-0.91]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0.74 [0.61-0.90]</w:t>
            </w:r>
          </w:p>
        </w:tc>
        <w:tc>
          <w:tcPr>
            <w:tcW w:type="dxa" w:w="15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0.73 [0.62-0.96]</w:t>
            </w:r>
          </w:p>
        </w:tc>
        <w:tc>
          <w:tcPr>
            <w:tcW w:type="dxa" w:w="1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0.87 [0.67-1.03]</w:t>
            </w:r>
          </w:p>
        </w:tc>
        <w:tc>
          <w:tcPr>
            <w:tcW w:type="dxa" w:w="16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0.82 [0.67-1.45]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1.18 [1.08-1.25]</w:t>
            </w:r>
          </w:p>
        </w:tc>
        <w:tc>
          <w:tcPr>
            <w:tcW w:type="dxa" w:w="16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0.71 [0.60-0.86]</w:t>
            </w:r>
          </w:p>
        </w:tc>
      </w:tr>
      <w:tr>
        <w:tblPrEx>
          <w:shd w:val="clear" w:color="auto" w:fill="auto"/>
        </w:tblPrEx>
        <w:trPr>
          <w:trHeight w:val="2195" w:hRule="atLeast"/>
        </w:trPr>
        <w:tc>
          <w:tcPr>
            <w:tcW w:type="dxa" w:w="14173"/>
            <w:gridSpan w:val="1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ой текст"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rtl w:val="0"/>
                <w:lang w:val="en-US"/>
              </w:rPr>
              <w:t xml:space="preserve">Data presented as medians [interquartile range]. </w:t>
            </w:r>
            <w:r>
              <w:rPr>
                <w:sz w:val="18"/>
                <w:szCs w:val="18"/>
                <w:rtl w:val="0"/>
                <w:lang w:val="en-US"/>
              </w:rPr>
              <w:t xml:space="preserve">Differences </w:t>
            </w:r>
            <w:r>
              <w:rPr>
                <w:sz w:val="18"/>
                <w:szCs w:val="18"/>
                <w:rtl w:val="0"/>
                <w:lang w:val="en-US"/>
              </w:rPr>
              <w:t>within</w:t>
            </w:r>
            <w:r>
              <w:rPr>
                <w:sz w:val="18"/>
                <w:szCs w:val="18"/>
                <w:rtl w:val="0"/>
              </w:rPr>
              <w:t xml:space="preserve"> </w:t>
            </w:r>
            <w:r>
              <w:rPr>
                <w:sz w:val="18"/>
                <w:szCs w:val="18"/>
                <w:rtl w:val="0"/>
                <w:lang w:val="ru-RU"/>
              </w:rPr>
              <w:t xml:space="preserve">the </w:t>
            </w:r>
            <w:r>
              <w:rPr>
                <w:sz w:val="18"/>
                <w:szCs w:val="18"/>
                <w:rtl w:val="0"/>
                <w:lang w:val="en-US"/>
              </w:rPr>
              <w:t xml:space="preserve">group </w:t>
            </w:r>
            <w:r>
              <w:rPr>
                <w:sz w:val="18"/>
                <w:szCs w:val="18"/>
                <w:rtl w:val="0"/>
                <w:lang w:val="en-US"/>
              </w:rPr>
              <w:t xml:space="preserve">- Friedman </w:t>
            </w:r>
            <w:r>
              <w:rPr>
                <w:sz w:val="18"/>
                <w:szCs w:val="18"/>
                <w:rtl w:val="0"/>
              </w:rPr>
              <w:t>test</w:t>
            </w:r>
            <w:r>
              <w:rPr>
                <w:sz w:val="18"/>
                <w:szCs w:val="18"/>
                <w:rtl w:val="0"/>
                <w:lang w:val="en-US"/>
              </w:rPr>
              <w:t>.</w:t>
            </w:r>
          </w:p>
          <w:p>
            <w:pPr>
              <w:pStyle w:val="Основной текст"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b w:val="1"/>
                <w:bCs w:val="1"/>
                <w:sz w:val="18"/>
                <w:szCs w:val="18"/>
                <w:rtl w:val="0"/>
                <w:lang w:val="en-US"/>
              </w:rPr>
              <w:t>Abbreviations:</w:t>
            </w:r>
            <w:r>
              <w:rPr>
                <w:sz w:val="18"/>
                <w:szCs w:val="18"/>
                <w:rtl w:val="0"/>
                <w:lang w:val="en-US"/>
              </w:rPr>
              <w:t xml:space="preserve"> </w:t>
            </w:r>
            <w:r>
              <w:rPr>
                <w:sz w:val="18"/>
                <w:szCs w:val="18"/>
                <w:rtl w:val="0"/>
                <w:lang w:val="en-US"/>
              </w:rPr>
              <w:t xml:space="preserve">S: Success; F: Failure;  </w:t>
            </w:r>
            <w:r>
              <w:rPr>
                <w:sz w:val="18"/>
                <w:szCs w:val="18"/>
                <w:rtl w:val="0"/>
                <w:lang w:val="en-US"/>
              </w:rPr>
              <w:t xml:space="preserve">PS: Preset Pressure Support Level above positive end-expiratory pressure; </w:t>
            </w:r>
            <w:r>
              <w:rPr>
                <w:sz w:val="18"/>
                <w:szCs w:val="18"/>
                <w:rtl w:val="0"/>
                <w:lang w:val="fr-FR"/>
              </w:rPr>
              <w:t>PS</w:t>
            </w:r>
            <w:r>
              <w:rPr>
                <w:sz w:val="18"/>
                <w:szCs w:val="18"/>
                <w:rtl w:val="0"/>
                <w:lang w:val="en-US"/>
              </w:rPr>
              <w:t>+4</w:t>
            </w:r>
            <w:r>
              <w:rPr>
                <w:sz w:val="18"/>
                <w:szCs w:val="18"/>
                <w:rtl w:val="0"/>
              </w:rPr>
              <w:t xml:space="preserve">: </w:t>
            </w:r>
            <w:r>
              <w:rPr>
                <w:sz w:val="18"/>
                <w:szCs w:val="18"/>
                <w:rtl w:val="0"/>
                <w:lang w:val="en-US"/>
              </w:rPr>
              <w:t xml:space="preserve">Preset </w:t>
            </w:r>
            <w:r>
              <w:rPr>
                <w:sz w:val="18"/>
                <w:szCs w:val="18"/>
                <w:rtl w:val="0"/>
                <w:lang w:val="en-US"/>
              </w:rPr>
              <w:t>Pressure Support Level above positive end-expiratory pressure</w:t>
            </w:r>
            <w:r>
              <w:rPr>
                <w:sz w:val="18"/>
                <w:szCs w:val="18"/>
                <w:rtl w:val="0"/>
                <w:lang w:val="en-US"/>
              </w:rPr>
              <w:t xml:space="preserve"> plus 4 cmH</w:t>
            </w:r>
            <w:r>
              <w:rPr>
                <w:sz w:val="18"/>
                <w:szCs w:val="18"/>
                <w:vertAlign w:val="subscript"/>
                <w:rtl w:val="0"/>
                <w:lang w:val="en-US"/>
              </w:rPr>
              <w:t>2</w:t>
            </w:r>
            <w:r>
              <w:rPr>
                <w:sz w:val="18"/>
                <w:szCs w:val="18"/>
                <w:rtl w:val="0"/>
                <w:lang w:val="en-US"/>
              </w:rPr>
              <w:t xml:space="preserve">O; </w:t>
            </w:r>
            <w:r>
              <w:rPr>
                <w:sz w:val="18"/>
                <w:szCs w:val="18"/>
                <w:rtl w:val="0"/>
                <w:lang w:val="fr-FR"/>
              </w:rPr>
              <w:t>PS</w:t>
            </w:r>
            <w:r>
              <w:rPr>
                <w:sz w:val="18"/>
                <w:szCs w:val="18"/>
                <w:rtl w:val="0"/>
                <w:lang w:val="en-US"/>
              </w:rPr>
              <w:t>-4</w:t>
            </w:r>
            <w:r>
              <w:rPr>
                <w:sz w:val="18"/>
                <w:szCs w:val="18"/>
                <w:rtl w:val="0"/>
              </w:rPr>
              <w:t xml:space="preserve">: </w:t>
            </w:r>
            <w:r>
              <w:rPr>
                <w:sz w:val="18"/>
                <w:szCs w:val="18"/>
                <w:rtl w:val="0"/>
                <w:lang w:val="en-US"/>
              </w:rPr>
              <w:t xml:space="preserve">Preset </w:t>
            </w:r>
            <w:r>
              <w:rPr>
                <w:sz w:val="18"/>
                <w:szCs w:val="18"/>
                <w:rtl w:val="0"/>
                <w:lang w:val="en-US"/>
              </w:rPr>
              <w:t>Pressure Support Level above positive end-expiratory pressure</w:t>
            </w:r>
            <w:r>
              <w:rPr>
                <w:sz w:val="18"/>
                <w:szCs w:val="18"/>
                <w:rtl w:val="0"/>
                <w:lang w:val="en-US"/>
              </w:rPr>
              <w:t xml:space="preserve"> minus 4 cmH</w:t>
            </w:r>
            <w:r>
              <w:rPr>
                <w:sz w:val="18"/>
                <w:szCs w:val="18"/>
                <w:vertAlign w:val="subscript"/>
                <w:rtl w:val="0"/>
                <w:lang w:val="en-US"/>
              </w:rPr>
              <w:t>2</w:t>
            </w:r>
            <w:r>
              <w:rPr>
                <w:sz w:val="18"/>
                <w:szCs w:val="18"/>
                <w:rtl w:val="0"/>
                <w:lang w:val="en-US"/>
              </w:rPr>
              <w:t>O; V</w:t>
            </w:r>
            <w:r>
              <w:rPr>
                <w:sz w:val="18"/>
                <w:szCs w:val="18"/>
                <w:rtl w:val="0"/>
                <w:lang w:val="en-US"/>
              </w:rPr>
              <w:t xml:space="preserve">Te: exhaled tidal volume; IBW: ideal body weight; PIF: peak inspiratory flow; </w:t>
            </w:r>
            <w:r>
              <w:rPr>
                <w:sz w:val="18"/>
                <w:szCs w:val="18"/>
                <w:rtl w:val="0"/>
                <w:lang w:val="en-US"/>
              </w:rPr>
              <w:t xml:space="preserve">RR: respiratory rate; </w:t>
            </w:r>
            <w:r>
              <w:rPr>
                <w:sz w:val="18"/>
                <w:szCs w:val="18"/>
                <w:rtl w:val="0"/>
                <w:lang w:val="en-US"/>
              </w:rPr>
              <w:t>Ti: inspiratory time; MV: minute ventilation.</w:t>
            </w:r>
            <w:r>
              <w:rPr>
                <w:sz w:val="18"/>
                <w:szCs w:val="18"/>
                <w:rtl w:val="0"/>
                <w:lang w:val="en-US"/>
              </w:rPr>
              <w:t xml:space="preserve"> </w:t>
            </w:r>
          </w:p>
          <w:p>
            <w:pPr>
              <w:pStyle w:val="Основной текст"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rtl w:val="0"/>
                <w:lang w:val="en-US"/>
              </w:rPr>
              <w:t>*   p-value &lt; 0.05, comparison within NIV success and NIV failure group during PS increase and decrease;</w:t>
            </w:r>
          </w:p>
          <w:p>
            <w:pPr>
              <w:pStyle w:val="Основной текст"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rtl w:val="0"/>
                <w:lang w:val="en-US"/>
              </w:rPr>
              <w:t>** p</w:t>
            </w:r>
            <w:r>
              <w:rPr>
                <w:sz w:val="18"/>
                <w:szCs w:val="18"/>
                <w:rtl w:val="0"/>
                <w:lang w:val="en-US"/>
              </w:rPr>
              <w:t>-value</w:t>
            </w:r>
            <w:r>
              <w:rPr>
                <w:sz w:val="18"/>
                <w:szCs w:val="18"/>
                <w:rtl w:val="0"/>
                <w:lang w:val="en-US"/>
              </w:rPr>
              <w:t xml:space="preserve"> &lt; 0.01, </w:t>
            </w:r>
            <w:r>
              <w:rPr>
                <w:sz w:val="18"/>
                <w:szCs w:val="18"/>
                <w:rtl w:val="0"/>
                <w:lang w:val="en-US"/>
              </w:rPr>
              <w:t>comparison  within NIV success and NIV failure group during PS increase and decrease;</w:t>
            </w:r>
          </w:p>
          <w:p>
            <w:pPr>
              <w:pStyle w:val="Основной текст"/>
              <w:spacing w:line="360" w:lineRule="auto"/>
              <w:jc w:val="both"/>
            </w:pPr>
            <w:r>
              <w:rPr>
                <w:sz w:val="18"/>
                <w:szCs w:val="18"/>
                <w:rtl w:val="0"/>
                <w:lang w:val="en-US"/>
              </w:rPr>
              <w:t xml:space="preserve">§  </w:t>
            </w:r>
            <w:r>
              <w:rPr>
                <w:sz w:val="18"/>
                <w:szCs w:val="18"/>
                <w:rtl w:val="0"/>
                <w:lang w:val="en-US"/>
              </w:rPr>
              <w:t xml:space="preserve">p-value </w:t>
            </w:r>
            <w:r>
              <w:rPr>
                <w:sz w:val="18"/>
                <w:szCs w:val="18"/>
                <w:rtl w:val="0"/>
                <w:lang w:val="en-US"/>
              </w:rPr>
              <w:t xml:space="preserve">&lt; 0.001, </w:t>
            </w:r>
            <w:r>
              <w:rPr>
                <w:sz w:val="18"/>
                <w:szCs w:val="18"/>
                <w:rtl w:val="0"/>
                <w:lang w:val="en-US"/>
              </w:rPr>
              <w:t>comparison  within NIV success and NIV failure group during PS increase and decrease</w:t>
            </w:r>
            <w:r>
              <w:rPr>
                <w:sz w:val="18"/>
                <w:szCs w:val="18"/>
                <w:rtl w:val="0"/>
                <w:lang w:val="en-US"/>
              </w:rPr>
              <w:t>.</w:t>
            </w:r>
          </w:p>
        </w:tc>
      </w:tr>
    </w:tbl>
    <w:p>
      <w:pPr>
        <w:pStyle w:val="Основной текст"/>
        <w:bidi w:val="0"/>
      </w:pPr>
      <w:r/>
    </w:p>
    <w:sectPr>
      <w:headerReference w:type="default" r:id="rId5"/>
      <w:footerReference w:type="default" r:id="rId6"/>
      <w:pgSz w:w="16840" w:h="11900" w:orient="landscape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Стиль таблицы 2">
    <w:name w:val="Стиль таблицы 2"/>
    <w:next w:val="Стиль таблицы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