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089" w:rsidRPr="00793F0B" w:rsidRDefault="005B5089" w:rsidP="005B5089">
      <w:pPr>
        <w:widowControl/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793F0B">
        <w:rPr>
          <w:rFonts w:ascii="Times New Roman" w:hAnsi="Times New Roman" w:cs="Times New Roman"/>
          <w:b/>
          <w:bCs/>
          <w:sz w:val="22"/>
        </w:rPr>
        <w:t>Appendix A. Supplementary data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793F0B">
        <w:rPr>
          <w:rFonts w:ascii="Times New Roman" w:hAnsi="Times New Roman" w:cs="Times New Roman"/>
          <w:b/>
          <w:bCs/>
          <w:sz w:val="22"/>
        </w:rPr>
        <w:t>Contents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b/>
          <w:bCs/>
          <w:sz w:val="22"/>
        </w:rPr>
        <w:t>Table A.1</w:t>
      </w:r>
      <w:r w:rsidRPr="00793F0B">
        <w:rPr>
          <w:rFonts w:ascii="Times New Roman" w:eastAsia="SimSun" w:hAnsi="Times New Roman" w:cs="Times New Roman"/>
          <w:sz w:val="22"/>
        </w:rPr>
        <w:t xml:space="preserve"> Sensitivity analyses by changing the </w:t>
      </w:r>
      <w:r w:rsidRPr="00793F0B">
        <w:rPr>
          <w:rFonts w:ascii="Times New Roman" w:eastAsia="SimSun" w:hAnsi="Times New Roman" w:cs="Times New Roman"/>
          <w:i/>
          <w:iCs/>
          <w:sz w:val="22"/>
        </w:rPr>
        <w:t>df</w:t>
      </w:r>
      <w:r w:rsidRPr="00793F0B">
        <w:rPr>
          <w:rFonts w:ascii="Times New Roman" w:eastAsia="SimSun" w:hAnsi="Times New Roman" w:cs="Times New Roman"/>
          <w:sz w:val="22"/>
        </w:rPr>
        <w:t xml:space="preserve"> of the seasonal and long-term trends, relative humidity and mean temperature.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b/>
          <w:bCs/>
          <w:sz w:val="22"/>
        </w:rPr>
        <w:t>Table A.2</w:t>
      </w:r>
      <w:r w:rsidRPr="00793F0B">
        <w:rPr>
          <w:rFonts w:ascii="Times New Roman" w:eastAsia="SimSun" w:hAnsi="Times New Roman" w:cs="Times New Roman"/>
          <w:sz w:val="22"/>
        </w:rPr>
        <w:t xml:space="preserve"> The results of sensitivity analyses after adding air pollutants (PM</w:t>
      </w:r>
      <w:r w:rsidRPr="00793F0B">
        <w:rPr>
          <w:rFonts w:ascii="Times New Roman" w:eastAsia="SimSun" w:hAnsi="Times New Roman" w:cs="Times New Roman"/>
          <w:sz w:val="22"/>
          <w:vertAlign w:val="subscript"/>
        </w:rPr>
        <w:t>2.5</w:t>
      </w:r>
      <w:r w:rsidRPr="00793F0B">
        <w:rPr>
          <w:rFonts w:ascii="Times New Roman" w:eastAsia="SimSun" w:hAnsi="Times New Roman" w:cs="Times New Roman"/>
          <w:sz w:val="22"/>
        </w:rPr>
        <w:t>, NO</w:t>
      </w:r>
      <w:r w:rsidRPr="00793F0B">
        <w:rPr>
          <w:rFonts w:ascii="Times New Roman" w:eastAsia="SimSun" w:hAnsi="Times New Roman" w:cs="Times New Roman"/>
          <w:sz w:val="22"/>
          <w:vertAlign w:val="subscript"/>
        </w:rPr>
        <w:t>2</w:t>
      </w:r>
      <w:r w:rsidRPr="00793F0B">
        <w:rPr>
          <w:rFonts w:ascii="Times New Roman" w:eastAsia="SimSun" w:hAnsi="Times New Roman" w:cs="Times New Roman"/>
          <w:sz w:val="22"/>
        </w:rPr>
        <w:t>) (</w:t>
      </w:r>
      <w:r w:rsidRPr="00793F0B">
        <w:rPr>
          <w:rFonts w:ascii="Times New Roman" w:eastAsia="SimSun" w:hAnsi="Times New Roman" w:cs="Times New Roman"/>
          <w:i/>
          <w:iCs/>
          <w:sz w:val="22"/>
        </w:rPr>
        <w:t>df</w:t>
      </w:r>
      <w:r w:rsidRPr="00793F0B">
        <w:rPr>
          <w:rFonts w:ascii="Times New Roman" w:eastAsia="SimSun" w:hAnsi="Times New Roman" w:cs="Times New Roman"/>
          <w:sz w:val="22"/>
        </w:rPr>
        <w:t>=3).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b/>
          <w:bCs/>
          <w:sz w:val="22"/>
        </w:rPr>
        <w:t>Table A.3</w:t>
      </w:r>
      <w:r w:rsidRPr="00793F0B">
        <w:rPr>
          <w:rFonts w:ascii="Times New Roman" w:eastAsia="SimSun" w:hAnsi="Times New Roman" w:cs="Times New Roman"/>
          <w:sz w:val="22"/>
        </w:rPr>
        <w:t xml:space="preserve"> The results of anxiety outpatient visits associated with extreme meteorological factors used alternative cutoff points (95th or 5th percentile).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</w:p>
    <w:p w:rsidR="005B5089" w:rsidRPr="00793F0B" w:rsidRDefault="005B5089" w:rsidP="005B5089">
      <w:pPr>
        <w:spacing w:line="360" w:lineRule="auto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b/>
          <w:bCs/>
          <w:sz w:val="22"/>
        </w:rPr>
        <w:t>Fig. A.1.</w:t>
      </w:r>
      <w:r w:rsidRPr="00793F0B">
        <w:rPr>
          <w:rFonts w:ascii="Times New Roman" w:eastAsia="SimSun" w:hAnsi="Times New Roman" w:cs="Times New Roman"/>
          <w:sz w:val="22"/>
        </w:rPr>
        <w:t xml:space="preserve"> The time-series distribution of daily sunshine duration, wind speed, precipitation and </w:t>
      </w:r>
      <w:r>
        <w:rPr>
          <w:rFonts w:ascii="Times New Roman" w:eastAsia="SimSun" w:hAnsi="Times New Roman" w:cs="Times New Roman"/>
          <w:sz w:val="22"/>
        </w:rPr>
        <w:t xml:space="preserve">anxiety </w:t>
      </w:r>
      <w:r w:rsidRPr="00793F0B">
        <w:rPr>
          <w:rFonts w:ascii="Times New Roman" w:eastAsia="SimSun" w:hAnsi="Times New Roman" w:cs="Times New Roman"/>
          <w:sz w:val="22"/>
        </w:rPr>
        <w:t>outpatient visits in Suzhou, China, from 2017 to 2019.</w:t>
      </w:r>
    </w:p>
    <w:p w:rsidR="005B5089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b/>
          <w:bCs/>
          <w:sz w:val="22"/>
        </w:rPr>
      </w:pPr>
      <w:r w:rsidRPr="007D1E2E">
        <w:rPr>
          <w:rFonts w:ascii="Times New Roman" w:eastAsia="SimSun" w:hAnsi="Times New Roman" w:cs="Times New Roman"/>
          <w:b/>
          <w:bCs/>
          <w:sz w:val="22"/>
        </w:rPr>
        <w:t>Fig. A.2.</w:t>
      </w:r>
      <w:r w:rsidRPr="007D1E2E">
        <w:rPr>
          <w:rFonts w:ascii="Times New Roman" w:eastAsia="SimSun" w:hAnsi="Times New Roman" w:cs="Times New Roman"/>
          <w:sz w:val="22"/>
        </w:rPr>
        <w:t xml:space="preserve"> The distributed lagged effects of extreme high sunshine duration and high precipitation on anxiety outpatient visits and subgroups.</w:t>
      </w:r>
    </w:p>
    <w:p w:rsidR="005B5089" w:rsidRPr="00A67726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b/>
          <w:bCs/>
          <w:sz w:val="22"/>
        </w:rPr>
        <w:t>Fig. A.3.</w:t>
      </w:r>
      <w:r w:rsidRPr="00793F0B">
        <w:rPr>
          <w:rFonts w:ascii="Times New Roman" w:eastAsia="SimSun" w:hAnsi="Times New Roman" w:cs="Times New Roman"/>
          <w:sz w:val="22"/>
        </w:rPr>
        <w:t xml:space="preserve"> The overall exposure-response relationship between extreme meteorological factors and anxiety outpatient visits over 14 lag days.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eastAsia="AdvTimes-b" w:hAnsi="Times New Roman" w:cs="Times New Roman"/>
          <w:color w:val="231F20"/>
          <w:sz w:val="22"/>
        </w:rPr>
      </w:pPr>
    </w:p>
    <w:p w:rsidR="005B5089" w:rsidRPr="00793F0B" w:rsidRDefault="005B5089" w:rsidP="005B5089">
      <w:pPr>
        <w:widowControl/>
        <w:spacing w:line="360" w:lineRule="auto"/>
        <w:rPr>
          <w:rFonts w:ascii="Times New Roman" w:eastAsia="AdvTimes-b" w:hAnsi="Times New Roman" w:cs="Times New Roman"/>
          <w:color w:val="231F20"/>
          <w:sz w:val="22"/>
        </w:rPr>
        <w:sectPr w:rsidR="005B5089" w:rsidRPr="00793F0B" w:rsidSect="000A78B2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5B5089" w:rsidRPr="00793F0B" w:rsidRDefault="005B5089" w:rsidP="005B5089">
      <w:pPr>
        <w:widowControl/>
        <w:spacing w:line="360" w:lineRule="auto"/>
        <w:jc w:val="center"/>
        <w:rPr>
          <w:rFonts w:ascii="Times New Roman" w:eastAsia="SimSun" w:hAnsi="Times New Roman" w:cs="Times New Roman"/>
          <w:b/>
          <w:bCs/>
          <w:sz w:val="22"/>
        </w:rPr>
      </w:pPr>
      <w:bookmarkStart w:id="0" w:name="_Hlk101517281"/>
      <w:r w:rsidRPr="00793F0B">
        <w:rPr>
          <w:rFonts w:ascii="Times New Roman" w:eastAsia="SimSun" w:hAnsi="Times New Roman" w:cs="Times New Roman"/>
          <w:b/>
          <w:bCs/>
          <w:sz w:val="22"/>
        </w:rPr>
        <w:lastRenderedPageBreak/>
        <w:t>Table A.1</w:t>
      </w:r>
      <w:r w:rsidRPr="00793F0B">
        <w:rPr>
          <w:rFonts w:ascii="Times New Roman" w:eastAsia="SimSun" w:hAnsi="Times New Roman" w:cs="Times New Roman"/>
          <w:sz w:val="22"/>
        </w:rPr>
        <w:t xml:space="preserve"> Sensitivity analyses by changing the </w:t>
      </w:r>
      <w:r w:rsidRPr="00793F0B">
        <w:rPr>
          <w:rFonts w:ascii="Times New Roman" w:eastAsia="SimSun" w:hAnsi="Times New Roman" w:cs="Times New Roman"/>
          <w:i/>
          <w:iCs/>
          <w:sz w:val="22"/>
        </w:rPr>
        <w:t>df</w:t>
      </w:r>
      <w:r w:rsidRPr="00793F0B">
        <w:rPr>
          <w:rFonts w:ascii="Times New Roman" w:eastAsia="SimSun" w:hAnsi="Times New Roman" w:cs="Times New Roman"/>
          <w:sz w:val="22"/>
        </w:rPr>
        <w:t xml:space="preserve"> of the seasonal and long-term trends, relative humidity and mean temperature.</w:t>
      </w:r>
    </w:p>
    <w:tbl>
      <w:tblPr>
        <w:tblW w:w="13750" w:type="dxa"/>
        <w:jc w:val="center"/>
        <w:tblLook w:val="04A0" w:firstRow="1" w:lastRow="0" w:firstColumn="1" w:lastColumn="0" w:noHBand="0" w:noVBand="1"/>
      </w:tblPr>
      <w:tblGrid>
        <w:gridCol w:w="2268"/>
        <w:gridCol w:w="2410"/>
        <w:gridCol w:w="2552"/>
        <w:gridCol w:w="2268"/>
        <w:gridCol w:w="2268"/>
        <w:gridCol w:w="1984"/>
      </w:tblGrid>
      <w:tr w:rsidR="005B5089" w:rsidRPr="00793F0B" w:rsidTr="00E5241C">
        <w:trPr>
          <w:trHeight w:val="525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bookmarkEnd w:id="0"/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SimSun" w:hAnsi="Times New Roman" w:cs="Times New Roman"/>
                <w:b/>
                <w:bCs/>
                <w:i/>
                <w:iCs/>
                <w:sz w:val="22"/>
              </w:rPr>
              <w:t>df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Low sunshine duration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br/>
              <w:t>(10th vs 50th)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High sunshine duration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br/>
              <w:t>(90th vs 50th)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Low wind speed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br/>
              <w:t>(10th vs 50th)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High wind speed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br/>
              <w:t>(90th vs 50th)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High precipitation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br/>
              <w:t>(90th vs 50th)</w:t>
            </w:r>
          </w:p>
        </w:tc>
      </w:tr>
      <w:tr w:rsidR="005B5089" w:rsidRPr="00793F0B" w:rsidTr="00E5241C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seasonal and long-term trends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B5089" w:rsidRPr="00793F0B" w:rsidTr="00E5241C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1.375 (1.038-1.821)*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0.893 (0.676-1.179)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1.487 (1.005-2.199)*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1.288 (0.932-1.780)*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1.025 (0.973-1.079)</w:t>
            </w:r>
          </w:p>
        </w:tc>
      </w:tr>
      <w:tr w:rsidR="005B5089" w:rsidRPr="00793F0B" w:rsidTr="00E5241C">
        <w:trPr>
          <w:trHeight w:val="36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vertAlign w:val="superscript"/>
              </w:rPr>
              <w:t>#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1.417 (1.056-1.901)*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0.971 (0.719-1.310)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1.529 (1.028-2.275)*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1.396 (1.007-1.935)*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1.027 (0.975-1.082)</w:t>
            </w:r>
          </w:p>
        </w:tc>
      </w:tr>
      <w:tr w:rsidR="005B5089" w:rsidRPr="00793F0B" w:rsidTr="00E5241C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1.434 (1.061-1.936)*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0.964 (0.720-1.290)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1.465 (0.984-2.182)*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1.428 (1.007-2.025)*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1.023 (0.968-1.081)</w:t>
            </w:r>
          </w:p>
        </w:tc>
      </w:tr>
      <w:tr w:rsidR="005B5089" w:rsidRPr="00793F0B" w:rsidTr="00E5241C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Mean temperature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B5089" w:rsidRPr="00793F0B" w:rsidTr="00E5241C">
        <w:trPr>
          <w:trHeight w:val="36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vertAlign w:val="superscript"/>
              </w:rPr>
              <w:t>#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1.417 (1.056-1.901)*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0.893 (0.676-1.179)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1.529 (1.028-2.275)*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1.396 (1.007-1.935)*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1.027 (0.975-1.082)</w:t>
            </w:r>
          </w:p>
        </w:tc>
      </w:tr>
      <w:tr w:rsidR="005B5089" w:rsidRPr="00793F0B" w:rsidTr="00E5241C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1.479 (1.101-1.986)*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0.971 (0.719-1.310)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1.567 (1.052-2.332)*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1.407 (1.015-1.950)*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1.021 (0.969-1.075)</w:t>
            </w:r>
          </w:p>
        </w:tc>
      </w:tr>
      <w:tr w:rsidR="005B5089" w:rsidRPr="00793F0B" w:rsidTr="00E5241C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1.488 (1.108-1.999)*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0.964 (0.720-1.290)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1.544 (1.035-2.302)*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1.402 (1.010-1.944)*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1.016 (0.964-1.071)</w:t>
            </w:r>
          </w:p>
        </w:tc>
      </w:tr>
      <w:tr w:rsidR="005B5089" w:rsidRPr="00793F0B" w:rsidTr="00E5241C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Relative humidity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B5089" w:rsidRPr="00793F0B" w:rsidTr="00E5241C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vertAlign w:val="superscript"/>
              </w:rPr>
              <w:t>#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1.417 (1.056-1.901)*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0.971 (0.719-1.310)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1.529 (1.028-2.275)*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1.396 (1.007-1.935)*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1.027 (0.975-1.082)</w:t>
            </w:r>
          </w:p>
        </w:tc>
      </w:tr>
      <w:tr w:rsidR="005B5089" w:rsidRPr="00793F0B" w:rsidTr="00E5241C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1.404 (1.046-1.885)*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0.958 (0.709-1.295)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1.514 (1.017-2.255)*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1.381 (0.995-1.917)*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1.029 (0.977-1.085)</w:t>
            </w:r>
          </w:p>
        </w:tc>
      </w:tr>
      <w:tr w:rsidR="005B5089" w:rsidRPr="00793F0B" w:rsidTr="00E5241C">
        <w:trPr>
          <w:trHeight w:val="300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1.402 (1.044-1.882)*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0.957 (0.708-1.293)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1.511 (1.014-2.251)*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1.379 (0.993-1.914)*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1.029 (0.977-1.085)</w:t>
            </w:r>
          </w:p>
        </w:tc>
      </w:tr>
    </w:tbl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sz w:val="22"/>
          <w:vertAlign w:val="superscript"/>
        </w:rPr>
        <w:t>＃</w:t>
      </w:r>
      <w:r w:rsidRPr="00793F0B">
        <w:rPr>
          <w:rFonts w:ascii="Times New Roman" w:eastAsia="SimSun" w:hAnsi="Times New Roman" w:cs="Times New Roman"/>
          <w:sz w:val="22"/>
        </w:rPr>
        <w:t>The model used in the article.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sz w:val="22"/>
        </w:rPr>
        <w:t>*</w:t>
      </w:r>
      <w:r w:rsidRPr="00793F0B">
        <w:rPr>
          <w:rFonts w:ascii="Times New Roman" w:eastAsia="SimSun" w:hAnsi="Times New Roman" w:cs="Times New Roman"/>
          <w:i/>
          <w:iCs/>
          <w:sz w:val="22"/>
        </w:rPr>
        <w:t>P</w:t>
      </w:r>
      <w:r w:rsidRPr="00793F0B">
        <w:rPr>
          <w:rFonts w:ascii="Times New Roman" w:eastAsia="SimSun" w:hAnsi="Times New Roman" w:cs="Times New Roman"/>
          <w:sz w:val="22"/>
        </w:rPr>
        <w:t>&lt;0.05.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</w:p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  <w:sectPr w:rsidR="005B5089" w:rsidRPr="00793F0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B5089" w:rsidRPr="00793F0B" w:rsidRDefault="005B5089" w:rsidP="005B5089">
      <w:pPr>
        <w:widowControl/>
        <w:spacing w:line="360" w:lineRule="auto"/>
        <w:jc w:val="center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b/>
          <w:bCs/>
          <w:sz w:val="22"/>
        </w:rPr>
        <w:lastRenderedPageBreak/>
        <w:t>Table A.2</w:t>
      </w:r>
      <w:r w:rsidRPr="00793F0B">
        <w:rPr>
          <w:rFonts w:ascii="Times New Roman" w:eastAsia="SimSun" w:hAnsi="Times New Roman" w:cs="Times New Roman"/>
          <w:sz w:val="22"/>
        </w:rPr>
        <w:t xml:space="preserve"> The results of sensitivity analyses after adding air pollutants (PM</w:t>
      </w:r>
      <w:r w:rsidRPr="00793F0B">
        <w:rPr>
          <w:rFonts w:ascii="Times New Roman" w:eastAsia="SimSun" w:hAnsi="Times New Roman" w:cs="Times New Roman"/>
          <w:sz w:val="22"/>
          <w:vertAlign w:val="subscript"/>
        </w:rPr>
        <w:t>2.5</w:t>
      </w:r>
      <w:r w:rsidRPr="00793F0B">
        <w:rPr>
          <w:rFonts w:ascii="Times New Roman" w:eastAsia="SimSun" w:hAnsi="Times New Roman" w:cs="Times New Roman"/>
          <w:sz w:val="22"/>
        </w:rPr>
        <w:t>, NO</w:t>
      </w:r>
      <w:r w:rsidRPr="00793F0B">
        <w:rPr>
          <w:rFonts w:ascii="Times New Roman" w:eastAsia="SimSun" w:hAnsi="Times New Roman" w:cs="Times New Roman"/>
          <w:sz w:val="22"/>
          <w:vertAlign w:val="subscript"/>
        </w:rPr>
        <w:t>2</w:t>
      </w:r>
      <w:r w:rsidRPr="00793F0B">
        <w:rPr>
          <w:rFonts w:ascii="Times New Roman" w:eastAsia="SimSun" w:hAnsi="Times New Roman" w:cs="Times New Roman"/>
          <w:sz w:val="22"/>
        </w:rPr>
        <w:t>) (</w:t>
      </w:r>
      <w:r w:rsidRPr="00793F0B">
        <w:rPr>
          <w:rFonts w:ascii="Times New Roman" w:eastAsia="SimSun" w:hAnsi="Times New Roman" w:cs="Times New Roman"/>
          <w:i/>
          <w:iCs/>
          <w:sz w:val="22"/>
        </w:rPr>
        <w:t>df</w:t>
      </w:r>
      <w:r w:rsidRPr="00793F0B">
        <w:rPr>
          <w:rFonts w:ascii="Times New Roman" w:eastAsia="SimSun" w:hAnsi="Times New Roman" w:cs="Times New Roman"/>
          <w:sz w:val="22"/>
        </w:rPr>
        <w:t>=3).</w:t>
      </w:r>
    </w:p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2410"/>
        <w:gridCol w:w="2693"/>
        <w:gridCol w:w="2127"/>
        <w:gridCol w:w="2126"/>
      </w:tblGrid>
      <w:tr w:rsidR="005B5089" w:rsidRPr="00793F0B" w:rsidTr="00E5241C">
        <w:trPr>
          <w:trHeight w:val="522"/>
          <w:jc w:val="center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Factors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Model used in the article</w:t>
            </w:r>
            <w:r w:rsidRPr="00793F0B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＃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Add PM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vertAlign w:val="subscript"/>
              </w:rPr>
              <w:t>2.5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Add NO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vertAlign w:val="subscript"/>
              </w:rPr>
              <w:t>2</w:t>
            </w:r>
          </w:p>
        </w:tc>
      </w:tr>
      <w:tr w:rsidR="005B5089" w:rsidRPr="00793F0B" w:rsidTr="00E5241C">
        <w:trPr>
          <w:trHeight w:val="600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 sunshine duration</w:t>
            </w: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br/>
              <w:t>(10th vs 50th)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1.417 (1.056-1.901)*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1.431 (1.064-1.924)*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1.432 (1.064-1.928)*</w:t>
            </w:r>
          </w:p>
        </w:tc>
      </w:tr>
      <w:tr w:rsidR="005B5089" w:rsidRPr="00793F0B" w:rsidTr="00E5241C">
        <w:trPr>
          <w:trHeight w:val="600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High sunshine duration</w:t>
            </w: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br/>
              <w:t>(90th vs 50th)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0.971 (0.719-1.310)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0.975 (0.722-1.316)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0.965 (0.714-1.304)</w:t>
            </w:r>
          </w:p>
        </w:tc>
      </w:tr>
      <w:tr w:rsidR="005B5089" w:rsidRPr="00793F0B" w:rsidTr="00E5241C">
        <w:trPr>
          <w:trHeight w:val="600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Low wind speed</w:t>
            </w: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br/>
              <w:t>(10th vs 50th)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1.529 (1.028-2.275)*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1.551 (1.036-2.322)*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1.575 (1.051-2.361)*</w:t>
            </w:r>
          </w:p>
        </w:tc>
      </w:tr>
      <w:tr w:rsidR="005B5089" w:rsidRPr="00793F0B" w:rsidTr="00E5241C">
        <w:trPr>
          <w:trHeight w:val="600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High wind speed</w:t>
            </w: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br/>
              <w:t>(90th vs 50th)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1.396 (1.007-1.935)*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1.394 (1.003-1.939)*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1.380 (0.993-1.916)*</w:t>
            </w:r>
          </w:p>
        </w:tc>
      </w:tr>
      <w:tr w:rsidR="005B5089" w:rsidRPr="00793F0B" w:rsidTr="00E5241C">
        <w:trPr>
          <w:trHeight w:val="600"/>
          <w:jc w:val="center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High precipitation</w:t>
            </w: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br/>
              <w:t>(90th vs 50th)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1.027 (0.975-1.082)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1.031 (0.978-1.087)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1.028 (0.975-1.083)</w:t>
            </w:r>
          </w:p>
        </w:tc>
      </w:tr>
    </w:tbl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sz w:val="22"/>
          <w:vertAlign w:val="superscript"/>
        </w:rPr>
        <w:t>＃</w:t>
      </w:r>
      <w:r w:rsidRPr="00793F0B">
        <w:rPr>
          <w:rFonts w:ascii="Times New Roman" w:eastAsia="SimSun" w:hAnsi="Times New Roman" w:cs="Times New Roman"/>
          <w:sz w:val="22"/>
        </w:rPr>
        <w:t>The model covariates include seasonal and long-term trends, temperature, humidity and day of week.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sz w:val="22"/>
        </w:rPr>
        <w:t>*</w:t>
      </w:r>
      <w:r w:rsidRPr="00793F0B">
        <w:rPr>
          <w:rFonts w:ascii="Times New Roman" w:eastAsia="SimSun" w:hAnsi="Times New Roman" w:cs="Times New Roman"/>
          <w:i/>
          <w:iCs/>
          <w:sz w:val="22"/>
        </w:rPr>
        <w:t>P</w:t>
      </w:r>
      <w:r w:rsidRPr="00793F0B">
        <w:rPr>
          <w:rFonts w:ascii="Times New Roman" w:eastAsia="SimSun" w:hAnsi="Times New Roman" w:cs="Times New Roman"/>
          <w:sz w:val="22"/>
        </w:rPr>
        <w:t>&lt;0.05.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</w:pPr>
    </w:p>
    <w:p w:rsidR="005B5089" w:rsidRPr="00793F0B" w:rsidRDefault="005B5089" w:rsidP="005B5089">
      <w:pPr>
        <w:widowControl/>
        <w:spacing w:line="360" w:lineRule="auto"/>
        <w:rPr>
          <w:rFonts w:ascii="Times New Roman" w:eastAsia="SimSun" w:hAnsi="Times New Roman" w:cs="Times New Roman"/>
          <w:sz w:val="22"/>
        </w:rPr>
        <w:sectPr w:rsidR="005B5089" w:rsidRPr="00793F0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B5089" w:rsidRPr="00793F0B" w:rsidRDefault="005B5089" w:rsidP="005B5089">
      <w:pPr>
        <w:widowControl/>
        <w:spacing w:line="360" w:lineRule="auto"/>
        <w:jc w:val="center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b/>
          <w:bCs/>
          <w:sz w:val="22"/>
        </w:rPr>
        <w:lastRenderedPageBreak/>
        <w:t>Table A.3</w:t>
      </w:r>
      <w:r w:rsidRPr="00793F0B">
        <w:rPr>
          <w:rFonts w:ascii="Times New Roman" w:eastAsia="SimSun" w:hAnsi="Times New Roman" w:cs="Times New Roman"/>
          <w:sz w:val="22"/>
        </w:rPr>
        <w:t xml:space="preserve"> The results of anxiety outpatient visits associated with extreme meteorological factors used alternative cutoff points (95th or 5th percentile).</w:t>
      </w:r>
    </w:p>
    <w:tbl>
      <w:tblPr>
        <w:tblW w:w="13467" w:type="dxa"/>
        <w:tblLook w:val="04A0" w:firstRow="1" w:lastRow="0" w:firstColumn="1" w:lastColumn="0" w:noHBand="0" w:noVBand="1"/>
      </w:tblPr>
      <w:tblGrid>
        <w:gridCol w:w="1500"/>
        <w:gridCol w:w="2469"/>
        <w:gridCol w:w="2552"/>
        <w:gridCol w:w="2410"/>
        <w:gridCol w:w="2268"/>
        <w:gridCol w:w="2268"/>
      </w:tblGrid>
      <w:tr w:rsidR="005B5089" w:rsidRPr="00793F0B" w:rsidTr="00E5241C">
        <w:trPr>
          <w:trHeight w:val="570"/>
        </w:trPr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Lag days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Low sunshine duration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br/>
              <w:t>(5th vs 50th)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High sunshine duration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br/>
              <w:t>(95th vs 50th)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Low wind speed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br/>
              <w:t>(5th vs 50th)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High wind speed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br/>
              <w:t>(95th vs 50th)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High precipitation</w:t>
            </w: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br/>
              <w:t>(95th vs 50th)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Single-day lag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1.039 (0.988-1.093)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0.992 (0.922-1.068)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1.047 (0.985-1.113)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0.991 (0.941-1.043)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0.996 (0.970-1.023)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1.029 (0.989-1.071)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0.991 (0.934-1.051)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1.043 (0.993-1.096)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0.997 (0.957-1.039)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0.998 (0.977-1.019)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1.020 (0.988-1.052)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0.989 (0.944-1.037)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1.040 (0.999-1.082)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1.003 (0.970-1.036)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 (0.984-1.016)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1.011 (0.986-1.038)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0.988 (0.950-1.028)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1.036 (1.001-1.073)*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1.008 (0.980-1.037)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1.001 (0.989-1.014)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1.005 (0.981-1.029)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0.988 (0.951-1.026)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1.033 (0.998-1.069)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1.014 (0.986-1.042)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1.003 (0.991-1.014)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 (0.975-1.026)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0.988 (0.949-1.028)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1.030 (0.993-1.068)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1.019 (0.989-1.048)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1.004 (0.992-1.016)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0.998 (0.971-1.026)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0.988 (0.947-1.031)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1.027 (0.989-1.067)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1.023 (0.992-1.055)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1.005 (0.992-1.018)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0.999 (0.971-1.028)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0.990 (0.948-1.034)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1.025 (0.985-1.066)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1.027 (0.995-1.060)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1.006 (0.993-1.020)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1.003 (0.976-1.031)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0.993 (0.951-1.035)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1.023 (0.985-1.063)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1.030 (0.999-1.063)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1.007 (0.994-1.020)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1.011 (0.985-1.037)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0.996 (0.957-1.036)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1.022 (0.986-1.059)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1.033 (1.004-1.063)*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1.008 (0.996-1.020)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1.021 (0.997-1.045)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 (0.964-1.038)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1.020 (0.987-1.055)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1.035 (1.008-1.064)*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1.008 (0.997-1.019)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1.033 (1.008-1.058)*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1.005 (0.967-1.044)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1.019 (0.986-1.055)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1.037 (1.008-1.066)*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1.009 (0.997-1.020)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1.047 (1.017-1.077)*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1.010 (0.965-1.057)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1.019 (0.980-1.059)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1.038 (1.005-1.073)*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1.009 (0.995-1.023)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1.062 (1.023-1.102)*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1.016 (0.959-1.076)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1.018 (0.971-1.067)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1.040 (0.998-1.083)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1.009 (0.991-1.028)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1.078 (1.028-1.130)*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1.022 (0.951-1.098)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1.018 (0.960-1.079)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1.041 (0.989-1.096)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1.009 (0.986-1.033)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Multi-day lag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0-7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1.107 (0.910-1.347)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0.918 (0.680-1.240)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1.323 (1.014-1.726)*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1.086 (0.876-1.346)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1.013 (0.920-1.115)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0-10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1.145 (0.904-1.450)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0.907 (0.629-1.309)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1.415 (1.019-1.966)*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1.196 (0.918-1.558)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1.036 (0.927-1.158)</w:t>
            </w:r>
          </w:p>
        </w:tc>
      </w:tr>
      <w:tr w:rsidR="005B5089" w:rsidRPr="00793F0B" w:rsidTr="00E5241C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0-14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1.417 (1.056-1.901)*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0.956 (0.604-1.513)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1.529 (1.028-2.275)*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1.396 (1.007-1.935)*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089" w:rsidRPr="00793F0B" w:rsidRDefault="005B5089" w:rsidP="00E5241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793F0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1.073 (0.937-1.229)</w:t>
            </w:r>
          </w:p>
        </w:tc>
      </w:tr>
    </w:tbl>
    <w:p w:rsidR="005B5089" w:rsidRPr="00793F0B" w:rsidRDefault="005B5089" w:rsidP="005B5089">
      <w:pPr>
        <w:widowControl/>
        <w:ind w:firstLine="420"/>
        <w:rPr>
          <w:rFonts w:ascii="Times New Roman" w:eastAsia="AdvTimes-b" w:hAnsi="Times New Roman" w:cs="Times New Roman"/>
          <w:color w:val="231F20"/>
          <w:sz w:val="22"/>
        </w:rPr>
      </w:pPr>
      <w:r w:rsidRPr="00793F0B">
        <w:rPr>
          <w:rFonts w:ascii="Times New Roman" w:eastAsia="AdvTimes-b" w:hAnsi="Times New Roman" w:cs="Times New Roman"/>
          <w:color w:val="231F20"/>
          <w:sz w:val="22"/>
        </w:rPr>
        <w:t>*</w:t>
      </w:r>
      <w:r w:rsidRPr="00793F0B">
        <w:rPr>
          <w:rFonts w:ascii="Times New Roman" w:eastAsia="AdvTimes-b" w:hAnsi="Times New Roman" w:cs="Times New Roman"/>
          <w:i/>
          <w:iCs/>
          <w:color w:val="231F20"/>
          <w:sz w:val="22"/>
        </w:rPr>
        <w:t>P</w:t>
      </w:r>
      <w:r w:rsidRPr="00793F0B">
        <w:rPr>
          <w:rFonts w:ascii="Times New Roman" w:eastAsia="AdvTimes-b" w:hAnsi="Times New Roman" w:cs="Times New Roman"/>
          <w:color w:val="231F20"/>
          <w:sz w:val="22"/>
        </w:rPr>
        <w:t>&lt;0.05.</w:t>
      </w:r>
    </w:p>
    <w:p w:rsidR="005B5089" w:rsidRPr="00793F0B" w:rsidRDefault="005B5089" w:rsidP="005B5089">
      <w:pPr>
        <w:widowControl/>
        <w:spacing w:line="360" w:lineRule="auto"/>
        <w:rPr>
          <w:rFonts w:ascii="Times New Roman" w:eastAsia="AdvTimes-b" w:hAnsi="Times New Roman" w:cs="Times New Roman"/>
          <w:color w:val="231F20"/>
          <w:sz w:val="22"/>
        </w:rPr>
      </w:pPr>
    </w:p>
    <w:p w:rsidR="005B5089" w:rsidRPr="00793F0B" w:rsidRDefault="005B5089" w:rsidP="005B5089">
      <w:pPr>
        <w:widowControl/>
        <w:spacing w:line="360" w:lineRule="auto"/>
        <w:rPr>
          <w:rFonts w:ascii="Times New Roman" w:eastAsia="AdvTimes-b" w:hAnsi="Times New Roman" w:cs="Times New Roman"/>
          <w:color w:val="231F20"/>
          <w:sz w:val="22"/>
        </w:rPr>
        <w:sectPr w:rsidR="005B5089" w:rsidRPr="00793F0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B5089" w:rsidRPr="00793F0B" w:rsidRDefault="005B5089" w:rsidP="005B5089">
      <w:pPr>
        <w:spacing w:line="360" w:lineRule="auto"/>
        <w:jc w:val="center"/>
        <w:rPr>
          <w:rFonts w:ascii="Times New Roman" w:eastAsia="SimSun" w:hAnsi="Times New Roman" w:cs="Times New Roman"/>
          <w:b/>
          <w:bCs/>
          <w:sz w:val="22"/>
        </w:rPr>
      </w:pPr>
      <w:r w:rsidRPr="00793F0B">
        <w:rPr>
          <w:rFonts w:ascii="Times New Roman" w:eastAsia="SimSun" w:hAnsi="Times New Roman" w:cs="Times New Roman"/>
          <w:noProof/>
          <w:sz w:val="22"/>
          <w:lang w:eastAsia="en-US"/>
        </w:rPr>
        <w:lastRenderedPageBreak/>
        <w:drawing>
          <wp:inline distT="0" distB="0" distL="0" distR="0" wp14:anchorId="5621AA3D" wp14:editId="648CCEC2">
            <wp:extent cx="3768806" cy="5025225"/>
            <wp:effectExtent l="0" t="0" r="317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2732" cy="503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089" w:rsidRPr="00793F0B" w:rsidRDefault="005B5089" w:rsidP="005B5089">
      <w:pPr>
        <w:spacing w:line="360" w:lineRule="auto"/>
        <w:jc w:val="center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b/>
          <w:bCs/>
          <w:sz w:val="22"/>
        </w:rPr>
        <w:t>Fig. A.1.</w:t>
      </w:r>
      <w:r w:rsidRPr="00793F0B">
        <w:rPr>
          <w:rFonts w:ascii="Times New Roman" w:eastAsia="SimSun" w:hAnsi="Times New Roman" w:cs="Times New Roman"/>
          <w:sz w:val="22"/>
        </w:rPr>
        <w:t xml:space="preserve"> The time-series distribution of daily sunshine duration, wind speed, precipitation and anxiety outpatient visits in Suzhou, China, from 2017 to 2019.</w:t>
      </w:r>
    </w:p>
    <w:p w:rsidR="005B5089" w:rsidRPr="00793F0B" w:rsidRDefault="005B5089" w:rsidP="005B5089">
      <w:pPr>
        <w:spacing w:line="360" w:lineRule="auto"/>
        <w:rPr>
          <w:rFonts w:ascii="Times New Roman" w:eastAsia="SimSun" w:hAnsi="Times New Roman" w:cs="Times New Roman"/>
          <w:sz w:val="22"/>
        </w:rPr>
      </w:pPr>
    </w:p>
    <w:p w:rsidR="005B5089" w:rsidRPr="00793F0B" w:rsidRDefault="005B5089" w:rsidP="005B5089">
      <w:pPr>
        <w:spacing w:line="360" w:lineRule="auto"/>
        <w:rPr>
          <w:rFonts w:ascii="Times New Roman" w:eastAsia="SimSun" w:hAnsi="Times New Roman" w:cs="Times New Roman"/>
          <w:sz w:val="22"/>
        </w:rPr>
        <w:sectPr w:rsidR="005B5089" w:rsidRPr="00793F0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B5089" w:rsidRPr="00793F0B" w:rsidRDefault="005B5089" w:rsidP="005B5089">
      <w:pPr>
        <w:widowControl/>
        <w:jc w:val="center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noProof/>
          <w:sz w:val="22"/>
          <w:lang w:eastAsia="en-US"/>
        </w:rPr>
        <w:lastRenderedPageBreak/>
        <w:drawing>
          <wp:inline distT="0" distB="0" distL="0" distR="0" wp14:anchorId="08E4D833" wp14:editId="4E46C955">
            <wp:extent cx="8071186" cy="2496710"/>
            <wp:effectExtent l="0" t="0" r="6350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35783" cy="25166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B5089" w:rsidRPr="00793F0B" w:rsidRDefault="005B5089" w:rsidP="005B5089">
      <w:pPr>
        <w:widowControl/>
        <w:spacing w:line="360" w:lineRule="auto"/>
        <w:jc w:val="center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b/>
          <w:bCs/>
          <w:sz w:val="22"/>
        </w:rPr>
        <w:t>Fig. A.2.</w:t>
      </w:r>
      <w:r w:rsidRPr="00793F0B">
        <w:rPr>
          <w:rFonts w:ascii="Times New Roman" w:eastAsia="SimSun" w:hAnsi="Times New Roman" w:cs="Times New Roman"/>
          <w:sz w:val="22"/>
        </w:rPr>
        <w:t xml:space="preserve"> The distributed lagged effects of extreme high sunshine duration and high precipitation on anxiety outpatient visits and subgroups.</w:t>
      </w:r>
    </w:p>
    <w:p w:rsidR="005B5089" w:rsidRPr="00793F0B" w:rsidRDefault="005B5089" w:rsidP="005B5089">
      <w:pPr>
        <w:widowControl/>
        <w:spacing w:line="360" w:lineRule="auto"/>
        <w:jc w:val="center"/>
        <w:rPr>
          <w:rFonts w:ascii="Times New Roman" w:eastAsia="SimSun" w:hAnsi="Times New Roman" w:cs="Times New Roman"/>
          <w:sz w:val="22"/>
        </w:rPr>
      </w:pPr>
    </w:p>
    <w:p w:rsidR="005B5089" w:rsidRPr="00793F0B" w:rsidRDefault="005B5089" w:rsidP="005B5089">
      <w:pPr>
        <w:widowControl/>
        <w:spacing w:line="360" w:lineRule="auto"/>
        <w:jc w:val="center"/>
        <w:rPr>
          <w:rFonts w:ascii="Times New Roman" w:eastAsia="SimSun" w:hAnsi="Times New Roman" w:cs="Times New Roman"/>
          <w:b/>
          <w:bCs/>
          <w:sz w:val="22"/>
        </w:rPr>
      </w:pPr>
      <w:bookmarkStart w:id="1" w:name="_GoBack"/>
      <w:r w:rsidRPr="00793F0B">
        <w:rPr>
          <w:rFonts w:ascii="Times New Roman" w:eastAsia="SimSun" w:hAnsi="Times New Roman" w:cs="Times New Roman"/>
          <w:noProof/>
          <w:sz w:val="22"/>
          <w:lang w:eastAsia="en-US"/>
        </w:rPr>
        <w:drawing>
          <wp:inline distT="0" distB="0" distL="0" distR="0" wp14:anchorId="0CA6B38C" wp14:editId="7242CA63">
            <wp:extent cx="6981190" cy="1747606"/>
            <wp:effectExtent l="0" t="0" r="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666" cy="17877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"/>
    </w:p>
    <w:p w:rsidR="005B5089" w:rsidRPr="00793F0B" w:rsidRDefault="005B5089" w:rsidP="005B5089">
      <w:pPr>
        <w:widowControl/>
        <w:spacing w:line="360" w:lineRule="auto"/>
        <w:jc w:val="center"/>
        <w:rPr>
          <w:rFonts w:ascii="Times New Roman" w:eastAsia="SimSun" w:hAnsi="Times New Roman" w:cs="Times New Roman"/>
          <w:sz w:val="22"/>
        </w:rPr>
      </w:pPr>
      <w:r w:rsidRPr="00793F0B">
        <w:rPr>
          <w:rFonts w:ascii="Times New Roman" w:eastAsia="SimSun" w:hAnsi="Times New Roman" w:cs="Times New Roman"/>
          <w:b/>
          <w:bCs/>
          <w:sz w:val="22"/>
        </w:rPr>
        <w:t>Fig. A.3.</w:t>
      </w:r>
      <w:r w:rsidRPr="00793F0B">
        <w:rPr>
          <w:rFonts w:ascii="Times New Roman" w:eastAsia="SimSun" w:hAnsi="Times New Roman" w:cs="Times New Roman"/>
          <w:sz w:val="22"/>
        </w:rPr>
        <w:t xml:space="preserve"> The overall exposure-response relationship between extreme meteorological factors and anxiety outpatient visits over 14 lag days.</w:t>
      </w:r>
    </w:p>
    <w:p w:rsidR="00755780" w:rsidRDefault="00755780"/>
    <w:sectPr w:rsidR="00755780" w:rsidSect="00EE76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imes-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089"/>
    <w:rsid w:val="005B5089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487886-8085-488A-9343-67873D0A3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08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852</Words>
  <Characters>4859</Characters>
  <Application>Microsoft Office Word</Application>
  <DocSecurity>0</DocSecurity>
  <Lines>40</Lines>
  <Paragraphs>11</Paragraphs>
  <ScaleCrop>false</ScaleCrop>
  <Company>Springer Nature IT</Company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2022-06-13T05:01:00Z</dcterms:created>
  <dcterms:modified xsi:type="dcterms:W3CDTF">2022-06-13T05:01:00Z</dcterms:modified>
</cp:coreProperties>
</file>