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AE" w:rsidRPr="00450C94" w:rsidRDefault="005724AE" w:rsidP="005724AE">
      <w:pPr>
        <w:rPr>
          <w:rFonts w:ascii="Times New Roman" w:hAnsi="Times New Roman" w:cs="Times New Roman"/>
          <w:sz w:val="24"/>
          <w:szCs w:val="24"/>
        </w:rPr>
      </w:pPr>
      <w:r w:rsidRPr="00BD675D">
        <w:rPr>
          <w:rFonts w:ascii="Times New Roman" w:hAnsi="Times New Roman" w:cs="Times New Roman"/>
          <w:b/>
          <w:sz w:val="24"/>
          <w:szCs w:val="24"/>
        </w:rPr>
        <w:t>Appendix Table 1</w:t>
      </w:r>
      <w:r w:rsidRPr="00BD675D">
        <w:rPr>
          <w:rFonts w:ascii="Times New Roman" w:hAnsi="Times New Roman" w:cs="Times New Roman"/>
          <w:sz w:val="24"/>
          <w:szCs w:val="24"/>
        </w:rPr>
        <w:t xml:space="preserve">. Results of ANOVAs testing effects of parental herbivory (control vs. herbivory in the first generation) and parental root order (primary vs. secondary roots of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 w:rsidRPr="00BD675D">
        <w:rPr>
          <w:rFonts w:ascii="Times New Roman" w:hAnsi="Times New Roman" w:cs="Times New Roman"/>
          <w:sz w:val="24"/>
          <w:szCs w:val="24"/>
        </w:rPr>
        <w:t>)</w:t>
      </w:r>
      <w:r w:rsidRPr="00450C94">
        <w:rPr>
          <w:rFonts w:ascii="Times New Roman" w:hAnsi="Times New Roman" w:cs="Times New Roman"/>
          <w:sz w:val="24"/>
          <w:szCs w:val="24"/>
        </w:rPr>
        <w:t xml:space="preserve"> on growth, biomass allocation, physiological traits </w:t>
      </w:r>
      <w:r w:rsidRPr="00450C94">
        <w:rPr>
          <w:rFonts w:ascii="Times New Roman" w:hAnsi="Times New Roman" w:cs="Times New Roman" w:hint="eastAsia"/>
          <w:sz w:val="24"/>
          <w:szCs w:val="24"/>
        </w:rPr>
        <w:t>and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 w:hint="eastAsia"/>
          <w:sz w:val="24"/>
          <w:szCs w:val="24"/>
        </w:rPr>
        <w:t>methylated</w:t>
      </w:r>
      <w:r w:rsidRPr="00450C94">
        <w:rPr>
          <w:rFonts w:ascii="Times New Roman" w:hAnsi="Times New Roman" w:cs="Times New Roman"/>
          <w:sz w:val="24"/>
          <w:szCs w:val="24"/>
        </w:rPr>
        <w:t xml:space="preserve"> DNA </w:t>
      </w:r>
      <w:r w:rsidRPr="00450C94">
        <w:rPr>
          <w:rFonts w:ascii="Times New Roman" w:hAnsi="Times New Roman" w:cs="Times New Roman" w:hint="eastAsia"/>
          <w:sz w:val="24"/>
          <w:szCs w:val="24"/>
        </w:rPr>
        <w:t>levels</w:t>
      </w:r>
      <w:r w:rsidRPr="00450C94">
        <w:rPr>
          <w:rFonts w:ascii="Times New Roman" w:hAnsi="Times New Roman" w:cs="Times New Roman"/>
          <w:sz w:val="24"/>
          <w:szCs w:val="24"/>
        </w:rPr>
        <w:t xml:space="preserve"> of the offspring plants </w:t>
      </w:r>
      <w:r w:rsidRPr="00450C94">
        <w:rPr>
          <w:rFonts w:ascii="Times New Roman" w:hAnsi="Times New Roman" w:cs="Times New Roman" w:hint="eastAsia"/>
          <w:sz w:val="24"/>
          <w:szCs w:val="24"/>
        </w:rPr>
        <w:t>of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i/>
          <w:sz w:val="24"/>
          <w:szCs w:val="24"/>
        </w:rPr>
        <w:t>Alternanthera</w:t>
      </w:r>
      <w:r w:rsidRPr="00450C94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i/>
          <w:sz w:val="24"/>
          <w:szCs w:val="24"/>
        </w:rPr>
        <w:t>philoxeroides</w:t>
      </w:r>
      <w:r w:rsidRPr="00450C94">
        <w:rPr>
          <w:rFonts w:ascii="Times New Roman" w:hAnsi="Times New Roman" w:cs="Times New Roman"/>
          <w:sz w:val="24"/>
          <w:szCs w:val="24"/>
        </w:rPr>
        <w:t xml:space="preserve">. Total mass, leaf mass and stem mass were squared-root transformed. Values for which </w:t>
      </w:r>
      <w:r w:rsidRPr="00450C94">
        <w:rPr>
          <w:rFonts w:ascii="Times New Roman" w:hAnsi="Times New Roman" w:cs="Times New Roman"/>
          <w:i/>
          <w:sz w:val="24"/>
          <w:szCs w:val="24"/>
        </w:rPr>
        <w:t>P</w:t>
      </w:r>
      <w:r w:rsidRPr="00450C94">
        <w:rPr>
          <w:rFonts w:ascii="Times New Roman" w:hAnsi="Times New Roman" w:cs="Times New Roman"/>
          <w:sz w:val="24"/>
          <w:szCs w:val="24"/>
        </w:rPr>
        <w:t xml:space="preserve"> &lt; 0.05 are in bold.</w:t>
      </w:r>
    </w:p>
    <w:p w:rsidR="005724AE" w:rsidRPr="00450C94" w:rsidRDefault="005724AE" w:rsidP="005724AE">
      <w:pPr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23"/>
        <w:gridCol w:w="1008"/>
        <w:gridCol w:w="988"/>
        <w:gridCol w:w="222"/>
        <w:gridCol w:w="772"/>
        <w:gridCol w:w="756"/>
        <w:gridCol w:w="222"/>
        <w:gridCol w:w="636"/>
        <w:gridCol w:w="756"/>
      </w:tblGrid>
      <w:tr w:rsidR="005724AE" w:rsidRPr="00450C94" w:rsidTr="002B1FF5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Variables</w:t>
            </w:r>
          </w:p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Parental herbivory </w:t>
            </w:r>
          </w:p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(PH)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Parental </w:t>
            </w: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r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oot </w:t>
            </w:r>
          </w:p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order (PR)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PH × 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PR</w:t>
            </w:r>
          </w:p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widowControl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G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rowth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0.032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eaf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0.03</w:t>
            </w:r>
            <w:r w:rsidRPr="00450C9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tem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0.043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oot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</w:t>
            </w: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0.185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Number of nodes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0.091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Number of leaves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0.054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Solon 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</w:t>
            </w: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0.044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Biomass allocation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Root to shoot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0.28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hysiology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otal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henolic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7.5</w:t>
            </w:r>
            <w:r w:rsidRPr="00BD675D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0.6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0.477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ater-s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oluble sugar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0.936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Starch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0.349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NSC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0.486</w:t>
            </w: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4AE" w:rsidRPr="00450C94" w:rsidTr="002B1FF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Methylated DNA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.597</w:t>
            </w:r>
          </w:p>
        </w:tc>
      </w:tr>
    </w:tbl>
    <w:p w:rsidR="005724AE" w:rsidRPr="0028617E" w:rsidRDefault="005724AE" w:rsidP="005724A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5724AE" w:rsidRPr="0028617E" w:rsidRDefault="005724AE" w:rsidP="005724AE">
      <w:pPr>
        <w:widowControl/>
        <w:rPr>
          <w:rFonts w:ascii="Times New Roman" w:hAnsi="Times New Roman" w:cs="Times New Roman"/>
          <w:sz w:val="24"/>
          <w:szCs w:val="24"/>
        </w:rPr>
      </w:pPr>
      <w:r w:rsidRPr="0028617E">
        <w:rPr>
          <w:rFonts w:ascii="Times New Roman" w:hAnsi="Times New Roman" w:cs="Times New Roman"/>
          <w:sz w:val="24"/>
          <w:szCs w:val="24"/>
        </w:rPr>
        <w:br w:type="page"/>
      </w:r>
    </w:p>
    <w:p w:rsidR="005724AE" w:rsidRPr="00450C94" w:rsidRDefault="005724AE" w:rsidP="005724AE">
      <w:pPr>
        <w:widowControl/>
        <w:rPr>
          <w:rFonts w:ascii="Times New Roman" w:hAnsi="Times New Roman" w:cs="Times New Roman"/>
          <w:sz w:val="24"/>
          <w:szCs w:val="24"/>
        </w:rPr>
      </w:pPr>
      <w:r w:rsidRPr="00BD675D">
        <w:rPr>
          <w:rFonts w:ascii="Times New Roman" w:hAnsi="Times New Roman" w:cs="Times New Roman"/>
          <w:b/>
          <w:sz w:val="24"/>
          <w:szCs w:val="24"/>
        </w:rPr>
        <w:lastRenderedPageBreak/>
        <w:t>Appendix Table 2</w:t>
      </w:r>
      <w:r w:rsidRPr="00BD675D">
        <w:rPr>
          <w:rFonts w:ascii="Times New Roman" w:hAnsi="Times New Roman" w:cs="Times New Roman"/>
          <w:sz w:val="24"/>
          <w:szCs w:val="24"/>
        </w:rPr>
        <w:t xml:space="preserve">. Results of ANOVAs testing effects of grand-parental herbivory (control vs. herbivory in the first generation) and grand-parental root order (primary vs. secondary roots of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 w:rsidRPr="00BD675D">
        <w:rPr>
          <w:rFonts w:ascii="Times New Roman" w:hAnsi="Times New Roman" w:cs="Times New Roman"/>
          <w:sz w:val="24"/>
          <w:szCs w:val="24"/>
        </w:rPr>
        <w:t>) on</w:t>
      </w:r>
      <w:r w:rsidRPr="00450C94">
        <w:rPr>
          <w:rFonts w:ascii="Times New Roman" w:hAnsi="Times New Roman" w:cs="Times New Roman"/>
          <w:sz w:val="24"/>
          <w:szCs w:val="24"/>
        </w:rPr>
        <w:t xml:space="preserve"> methylated DNA level in leaves of the grand-offspring plants of </w:t>
      </w:r>
      <w:r w:rsidRPr="00450C94">
        <w:rPr>
          <w:rFonts w:ascii="Times New Roman" w:hAnsi="Times New Roman" w:cs="Times New Roman"/>
          <w:i/>
          <w:sz w:val="24"/>
          <w:szCs w:val="24"/>
        </w:rPr>
        <w:t>Alternanthera</w:t>
      </w:r>
      <w:r w:rsidRPr="00450C94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i/>
          <w:sz w:val="24"/>
          <w:szCs w:val="24"/>
        </w:rPr>
        <w:t>philoxeroides</w:t>
      </w:r>
      <w:r w:rsidRPr="00450C94">
        <w:rPr>
          <w:rFonts w:ascii="Times New Roman" w:hAnsi="Times New Roman" w:cs="Times New Roman"/>
          <w:sz w:val="24"/>
          <w:szCs w:val="24"/>
        </w:rPr>
        <w:t xml:space="preserve"> without current herbivory.</w:t>
      </w:r>
    </w:p>
    <w:p w:rsidR="005724AE" w:rsidRPr="00450C94" w:rsidRDefault="005724AE" w:rsidP="005724AE">
      <w:pPr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401"/>
        <w:gridCol w:w="915"/>
        <w:gridCol w:w="1074"/>
        <w:gridCol w:w="257"/>
        <w:gridCol w:w="917"/>
        <w:gridCol w:w="1078"/>
        <w:gridCol w:w="257"/>
        <w:gridCol w:w="744"/>
        <w:gridCol w:w="875"/>
      </w:tblGrid>
      <w:tr w:rsidR="005724AE" w:rsidRPr="00450C94" w:rsidTr="002B1FF5">
        <w:trPr>
          <w:trHeight w:val="250"/>
        </w:trPr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v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ariable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Grand-parental </w:t>
            </w:r>
          </w:p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herbivory (GH)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Grand-parental </w:t>
            </w:r>
          </w:p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r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oot order (GR)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GH × 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GR</w:t>
            </w:r>
          </w:p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4AE" w:rsidRPr="00450C94" w:rsidTr="002B1FF5">
        <w:trPr>
          <w:trHeight w:val="270"/>
        </w:trPr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28617E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widowControl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  <w:r w:rsidRPr="00BD675D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4"/>
                <w:szCs w:val="24"/>
                <w:vertAlign w:val="subscript"/>
              </w:rPr>
              <w:t>1,12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  <w:r w:rsidRPr="00450C94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4"/>
                <w:szCs w:val="24"/>
                <w:vertAlign w:val="subscript"/>
              </w:rPr>
              <w:t>1,12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  <w:r w:rsidRPr="00450C94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4"/>
                <w:szCs w:val="24"/>
                <w:vertAlign w:val="subscript"/>
              </w:rPr>
              <w:t>1,12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5724AE" w:rsidRPr="00450C94" w:rsidTr="002B1FF5">
        <w:trPr>
          <w:trHeight w:val="53"/>
        </w:trPr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28617E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hAnsi="Times New Roman" w:cs="Times New Roman"/>
                <w:sz w:val="24"/>
                <w:szCs w:val="24"/>
              </w:rPr>
              <w:t>Methylated DNA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0.233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BD675D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4AE" w:rsidRPr="00450C94" w:rsidRDefault="005724AE" w:rsidP="002B1FF5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0.813</w:t>
            </w:r>
          </w:p>
        </w:tc>
      </w:tr>
    </w:tbl>
    <w:p w:rsidR="005724AE" w:rsidRPr="00450C94" w:rsidRDefault="005724AE" w:rsidP="005724AE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  <w:r w:rsidRPr="00450C94">
        <w:rPr>
          <w:rFonts w:ascii="Times New Roman" w:hAnsi="Times New Roman" w:cs="Times New Roman"/>
          <w:kern w:val="0"/>
          <w:sz w:val="24"/>
          <w:szCs w:val="24"/>
        </w:rPr>
        <w:br w:type="page"/>
      </w:r>
      <w:r w:rsidRPr="00450C94">
        <w:rPr>
          <w:rFonts w:ascii="Times New Roman" w:hAnsi="Times New Roman" w:cs="Times New Roman"/>
          <w:b/>
          <w:sz w:val="24"/>
          <w:szCs w:val="24"/>
        </w:rPr>
        <w:lastRenderedPageBreak/>
        <w:t>Appendix Fig.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50C94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sz w:val="24"/>
          <w:szCs w:val="24"/>
        </w:rPr>
        <w:t xml:space="preserve">The simplified diagram depicting the branching order of the taproot system of </w:t>
      </w:r>
      <w:r w:rsidRPr="00450C94">
        <w:rPr>
          <w:rFonts w:ascii="Times New Roman" w:hAnsi="Times New Roman" w:cs="Times New Roman"/>
          <w:i/>
          <w:sz w:val="24"/>
          <w:szCs w:val="24"/>
        </w:rPr>
        <w:t>Alternanthera philoxeroides</w:t>
      </w:r>
      <w:r w:rsidRPr="00450C94">
        <w:rPr>
          <w:rFonts w:ascii="Times New Roman" w:hAnsi="Times New Roman" w:cs="Times New Roman"/>
          <w:sz w:val="24"/>
          <w:szCs w:val="24"/>
        </w:rPr>
        <w:t>.</w:t>
      </w:r>
      <w:r w:rsidRPr="00450C94">
        <w:rPr>
          <w:rFonts w:ascii="Times New Roman" w:hAnsi="Times New Roman" w:cs="Times New Roman"/>
          <w:kern w:val="0"/>
          <w:sz w:val="24"/>
          <w:szCs w:val="24"/>
        </w:rPr>
        <w:t xml:space="preserve"> The </w:t>
      </w:r>
      <w:r w:rsidRPr="00450C94">
        <w:rPr>
          <w:rFonts w:ascii="Times New Roman" w:hAnsi="Times New Roman" w:cs="Times New Roman" w:hint="eastAsia"/>
          <w:kern w:val="0"/>
          <w:sz w:val="24"/>
          <w:szCs w:val="24"/>
        </w:rPr>
        <w:t>primary</w:t>
      </w:r>
      <w:r w:rsidRPr="00450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0C94">
        <w:rPr>
          <w:rFonts w:ascii="Times New Roman" w:hAnsi="Times New Roman" w:cs="Times New Roman" w:hint="eastAsia"/>
          <w:kern w:val="0"/>
          <w:sz w:val="24"/>
          <w:szCs w:val="24"/>
        </w:rPr>
        <w:t>root</w:t>
      </w:r>
      <w:r w:rsidRPr="00450C94">
        <w:rPr>
          <w:rFonts w:ascii="Times New Roman" w:hAnsi="Times New Roman" w:cs="Times New Roman"/>
          <w:kern w:val="0"/>
          <w:sz w:val="24"/>
          <w:szCs w:val="24"/>
        </w:rPr>
        <w:t xml:space="preserve"> is the central, first-formed, main root, originating from the clonal fragments; </w:t>
      </w:r>
      <w:r w:rsidRPr="00450C94">
        <w:rPr>
          <w:rFonts w:ascii="Times New Roman" w:hAnsi="Times New Roman" w:cs="Times New Roman" w:hint="eastAsia"/>
          <w:kern w:val="0"/>
          <w:sz w:val="24"/>
          <w:szCs w:val="24"/>
        </w:rPr>
        <w:t>the</w:t>
      </w:r>
      <w:r w:rsidRPr="00450C94">
        <w:rPr>
          <w:rFonts w:ascii="Times New Roman" w:hAnsi="Times New Roman" w:cs="Times New Roman"/>
          <w:kern w:val="0"/>
          <w:sz w:val="24"/>
          <w:szCs w:val="24"/>
        </w:rPr>
        <w:t xml:space="preserve"> secondary roots branch off from the primary root.</w:t>
      </w:r>
    </w:p>
    <w:p w:rsidR="005724AE" w:rsidRPr="00450C94" w:rsidRDefault="005724AE" w:rsidP="005724AE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</w:p>
    <w:p w:rsidR="005724AE" w:rsidRPr="0028617E" w:rsidRDefault="005724AE" w:rsidP="005724AE">
      <w:pPr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US"/>
        </w:rPr>
        <w:drawing>
          <wp:inline distT="0" distB="0" distL="0" distR="0">
            <wp:extent cx="5271770" cy="4325620"/>
            <wp:effectExtent l="0" t="0" r="5080" b="0"/>
            <wp:docPr id="4" name="Picture 4" descr="text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14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17E"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:rsidR="005724AE" w:rsidRPr="00450C94" w:rsidRDefault="005724AE" w:rsidP="005724AE">
      <w:pPr>
        <w:widowControl/>
        <w:rPr>
          <w:rFonts w:ascii="Times New Roman" w:hAnsi="Times New Roman" w:cs="Times New Roman"/>
          <w:b/>
          <w:sz w:val="24"/>
          <w:szCs w:val="24"/>
        </w:rPr>
      </w:pPr>
      <w:r w:rsidRPr="00BD675D">
        <w:rPr>
          <w:rFonts w:ascii="Times New Roman" w:hAnsi="Times New Roman" w:cs="Times New Roman"/>
          <w:b/>
          <w:sz w:val="24"/>
          <w:szCs w:val="24"/>
        </w:rPr>
        <w:lastRenderedPageBreak/>
        <w:t>Appendix Fig.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D675D">
        <w:rPr>
          <w:rFonts w:ascii="Times New Roman" w:hAnsi="Times New Roman" w:cs="Times New Roman"/>
          <w:sz w:val="24"/>
          <w:szCs w:val="24"/>
        </w:rPr>
        <w:t xml:space="preserve"> Effects of herbivory in the first generation on (</w:t>
      </w:r>
      <w:r w:rsidRPr="00450C94">
        <w:rPr>
          <w:rFonts w:ascii="Times New Roman" w:hAnsi="Times New Roman" w:cs="Times New Roman"/>
          <w:sz w:val="24"/>
          <w:szCs w:val="24"/>
        </w:rPr>
        <w:t>A) total mass, (B) leaf mass, (C) stem mass, (D) root mass, (E) number of nodes, (F) number of leaves, (G) stolon length, and (H) root to shoot ratio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450C94">
        <w:rPr>
          <w:rFonts w:ascii="Times New Roman" w:hAnsi="Times New Roman" w:cs="Times New Roman"/>
          <w:sz w:val="24"/>
          <w:szCs w:val="24"/>
        </w:rPr>
        <w:t>grand-parental plants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50C94">
        <w:rPr>
          <w:rFonts w:ascii="Times New Roman" w:hAnsi="Times New Roman" w:cs="Times New Roman"/>
          <w:sz w:val="24"/>
          <w:szCs w:val="24"/>
        </w:rPr>
        <w:t xml:space="preserve"> of </w:t>
      </w:r>
      <w:r w:rsidRPr="00450C94">
        <w:rPr>
          <w:rFonts w:ascii="Times New Roman" w:hAnsi="Times New Roman" w:cs="Times New Roman"/>
          <w:i/>
          <w:sz w:val="24"/>
          <w:szCs w:val="24"/>
        </w:rPr>
        <w:t>Alternanthera philoxeroides</w:t>
      </w:r>
      <w:r w:rsidRPr="00450C94">
        <w:rPr>
          <w:rFonts w:ascii="Times New Roman" w:hAnsi="Times New Roman" w:cs="Times New Roman"/>
          <w:sz w:val="24"/>
          <w:szCs w:val="24"/>
        </w:rPr>
        <w:t>. The label "ns" means no significant difference between herbivory treatments; "*" means significant difference (</w:t>
      </w:r>
      <w:r w:rsidRPr="00450C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50C94">
        <w:rPr>
          <w:rFonts w:ascii="Times New Roman" w:hAnsi="Times New Roman" w:cs="Times New Roman"/>
          <w:sz w:val="24"/>
          <w:szCs w:val="24"/>
        </w:rPr>
        <w:t xml:space="preserve"> &lt; 0.05).</w:t>
      </w:r>
    </w:p>
    <w:p w:rsidR="005724AE" w:rsidRPr="00450C94" w:rsidRDefault="005724AE" w:rsidP="005724AE">
      <w:pPr>
        <w:rPr>
          <w:rFonts w:ascii="Times New Roman" w:hAnsi="Times New Roman" w:cs="Times New Roman"/>
          <w:sz w:val="24"/>
          <w:szCs w:val="24"/>
        </w:rPr>
      </w:pPr>
    </w:p>
    <w:p w:rsidR="005724AE" w:rsidRPr="0028617E" w:rsidRDefault="005724AE" w:rsidP="00572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5263515" cy="7021195"/>
            <wp:effectExtent l="0" t="0" r="0" b="8255"/>
            <wp:docPr id="3" name="Picture 3" descr="append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endi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17E">
        <w:rPr>
          <w:rFonts w:ascii="Times New Roman" w:hAnsi="Times New Roman" w:cs="Times New Roman"/>
          <w:sz w:val="24"/>
          <w:szCs w:val="24"/>
        </w:rPr>
        <w:br w:type="page"/>
      </w:r>
    </w:p>
    <w:p w:rsidR="005724AE" w:rsidRPr="00450C94" w:rsidRDefault="005724AE" w:rsidP="005724AE">
      <w:pPr>
        <w:widowControl/>
        <w:tabs>
          <w:tab w:val="left" w:pos="2309"/>
        </w:tabs>
        <w:rPr>
          <w:rFonts w:ascii="Times New Roman" w:hAnsi="Times New Roman" w:cs="Times New Roman"/>
          <w:b/>
          <w:sz w:val="24"/>
          <w:szCs w:val="24"/>
        </w:rPr>
      </w:pPr>
      <w:r w:rsidRPr="0028617E">
        <w:rPr>
          <w:rFonts w:ascii="Times New Roman" w:hAnsi="Times New Roman" w:cs="Times New Roman"/>
          <w:b/>
          <w:sz w:val="24"/>
          <w:szCs w:val="24"/>
        </w:rPr>
        <w:lastRenderedPageBreak/>
        <w:t>Appendix Fig.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617E">
        <w:rPr>
          <w:rFonts w:ascii="Times New Roman" w:hAnsi="Times New Roman" w:cs="Times New Roman"/>
          <w:sz w:val="24"/>
          <w:szCs w:val="24"/>
        </w:rPr>
        <w:t xml:space="preserve"> Effects of herbivory</w:t>
      </w:r>
      <w:r w:rsidRPr="00D357DD">
        <w:rPr>
          <w:rFonts w:ascii="Times New Roman" w:hAnsi="Times New Roman" w:cs="Times New Roman"/>
          <w:sz w:val="24"/>
          <w:szCs w:val="24"/>
        </w:rPr>
        <w:t xml:space="preserve"> </w:t>
      </w:r>
      <w:r w:rsidRPr="00BD675D">
        <w:rPr>
          <w:rFonts w:ascii="Times New Roman" w:hAnsi="Times New Roman" w:cs="Times New Roman"/>
          <w:sz w:val="24"/>
          <w:szCs w:val="24"/>
        </w:rPr>
        <w:t>in the first generation on the concentration of (A) total phenolic, (</w:t>
      </w:r>
      <w:r w:rsidRPr="00450C94">
        <w:rPr>
          <w:rFonts w:ascii="Times New Roman" w:hAnsi="Times New Roman" w:cs="Times New Roman"/>
          <w:sz w:val="24"/>
          <w:szCs w:val="24"/>
        </w:rPr>
        <w:t>B) water-soluble sugar, (C) starch, and (D) total NSC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450C94">
        <w:rPr>
          <w:rFonts w:ascii="Times New Roman" w:hAnsi="Times New Roman" w:cs="Times New Roman"/>
          <w:sz w:val="24"/>
          <w:szCs w:val="24"/>
        </w:rPr>
        <w:t>grand-parental plants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50C94">
        <w:rPr>
          <w:rFonts w:ascii="Times New Roman" w:hAnsi="Times New Roman" w:cs="Times New Roman"/>
          <w:sz w:val="24"/>
          <w:szCs w:val="24"/>
        </w:rPr>
        <w:t xml:space="preserve"> of </w:t>
      </w:r>
      <w:r w:rsidRPr="00450C94">
        <w:rPr>
          <w:rFonts w:ascii="Times New Roman" w:hAnsi="Times New Roman" w:cs="Times New Roman"/>
          <w:i/>
          <w:sz w:val="24"/>
          <w:szCs w:val="24"/>
        </w:rPr>
        <w:t>Alternanthera philoxeroides</w:t>
      </w:r>
      <w:r w:rsidRPr="00450C94">
        <w:rPr>
          <w:rFonts w:ascii="Times New Roman" w:hAnsi="Times New Roman" w:cs="Times New Roman"/>
          <w:sz w:val="24"/>
          <w:szCs w:val="24"/>
        </w:rPr>
        <w:t>. The label "ns" means no significant difference between herbivory treatments.</w:t>
      </w:r>
    </w:p>
    <w:p w:rsidR="005724AE" w:rsidRPr="00450C94" w:rsidRDefault="005724AE" w:rsidP="005724A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5724AE" w:rsidRPr="0028617E" w:rsidRDefault="005724AE" w:rsidP="005724AE">
      <w:pPr>
        <w:widowControl/>
        <w:rPr>
          <w:rFonts w:ascii="Times New Roman" w:hAnsi="Times New Roman" w:cs="Times New Roman"/>
          <w:sz w:val="24"/>
          <w:szCs w:val="24"/>
        </w:rPr>
      </w:pPr>
      <w:r w:rsidRPr="0028617E">
        <w:rPr>
          <w:rFonts w:ascii="Times New Roman" w:hAnsi="Times New Roman" w:cs="Times New Roman"/>
          <w:i/>
          <w:noProof/>
          <w:sz w:val="24"/>
          <w:szCs w:val="24"/>
          <w:lang w:eastAsia="en-US"/>
        </w:rPr>
        <w:drawing>
          <wp:inline distT="0" distB="0" distL="0" distR="0" wp14:anchorId="6663744D" wp14:editId="10718BA3">
            <wp:extent cx="5038725" cy="3362325"/>
            <wp:effectExtent l="0" t="0" r="9525" b="9525"/>
            <wp:docPr id="8" name="图片 8" descr="C:\Users\dbc\AppData\Local\Microsoft\Windows\INetCache\Content.Word\appendix.Figure_0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bc\AppData\Local\Microsoft\Windows\INetCache\Content.Word\appendix.Figure_02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17E"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:rsidR="005724AE" w:rsidRDefault="005724AE" w:rsidP="005724A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  <w:r w:rsidRPr="00BD675D">
        <w:rPr>
          <w:rFonts w:ascii="Times New Roman" w:hAnsi="Times New Roman" w:cs="Times New Roman"/>
          <w:b/>
          <w:sz w:val="24"/>
          <w:szCs w:val="24"/>
        </w:rPr>
        <w:lastRenderedPageBreak/>
        <w:t>Appendix Fig. 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D6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75D">
        <w:rPr>
          <w:rFonts w:ascii="Times New Roman" w:hAnsi="Times New Roman" w:cs="Times New Roman"/>
          <w:sz w:val="24"/>
          <w:szCs w:val="24"/>
        </w:rPr>
        <w:t xml:space="preserve">Effects of parental herbivory (control vs. herbivory in the first generation) and parental root order (primary vs. secondary roots of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 w:rsidRPr="00BD675D">
        <w:rPr>
          <w:rFonts w:ascii="Times New Roman" w:hAnsi="Times New Roman" w:cs="Times New Roman"/>
          <w:sz w:val="24"/>
          <w:szCs w:val="24"/>
        </w:rPr>
        <w:t xml:space="preserve">) on </w:t>
      </w:r>
      <w:r w:rsidRPr="00450C94">
        <w:rPr>
          <w:rFonts w:ascii="Times New Roman" w:hAnsi="Times New Roman" w:cs="Times New Roman"/>
          <w:sz w:val="24"/>
          <w:szCs w:val="24"/>
        </w:rPr>
        <w:t>(A) total mass, (B) leaf mass, (C) stem mass, (D) root mass, (E) number of nodes, (F) number of leaves, (G) stolon length, and (H) root to shoot ratio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sz w:val="24"/>
          <w:szCs w:val="24"/>
        </w:rPr>
        <w:t xml:space="preserve">offspring plants </w:t>
      </w:r>
      <w:r>
        <w:rPr>
          <w:rFonts w:ascii="Times New Roman" w:hAnsi="Times New Roman" w:cs="Times New Roman"/>
          <w:sz w:val="24"/>
          <w:szCs w:val="24"/>
        </w:rPr>
        <w:t xml:space="preserve">(the second generation) </w:t>
      </w:r>
      <w:r w:rsidRPr="00450C94">
        <w:rPr>
          <w:rFonts w:ascii="Times New Roman" w:hAnsi="Times New Roman" w:cs="Times New Roman"/>
          <w:sz w:val="24"/>
          <w:szCs w:val="24"/>
        </w:rPr>
        <w:t xml:space="preserve">of </w:t>
      </w:r>
      <w:r w:rsidRPr="00450C94">
        <w:rPr>
          <w:rFonts w:ascii="Times New Roman" w:hAnsi="Times New Roman" w:cs="Times New Roman"/>
          <w:i/>
          <w:sz w:val="24"/>
          <w:szCs w:val="24"/>
        </w:rPr>
        <w:t>Alternanthera philoxeroides</w:t>
      </w:r>
      <w:r w:rsidRPr="00450C94">
        <w:rPr>
          <w:rFonts w:ascii="Times New Roman" w:hAnsi="Times New Roman" w:cs="Times New Roman"/>
          <w:sz w:val="24"/>
          <w:szCs w:val="24"/>
        </w:rPr>
        <w:t>.</w:t>
      </w:r>
    </w:p>
    <w:p w:rsidR="005724AE" w:rsidRDefault="005724AE" w:rsidP="005724A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</w:p>
    <w:p w:rsidR="005724AE" w:rsidRPr="00450C94" w:rsidRDefault="005724AE" w:rsidP="005724AE">
      <w:pPr>
        <w:widowControl/>
        <w:tabs>
          <w:tab w:val="left" w:pos="23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5263515" cy="7021195"/>
            <wp:effectExtent l="0" t="0" r="0" b="8255"/>
            <wp:docPr id="2" name="Picture 2" descr="append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end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4AE" w:rsidRPr="00BD675D" w:rsidRDefault="005724AE" w:rsidP="005724AE">
      <w:pPr>
        <w:rPr>
          <w:rFonts w:ascii="Times New Roman" w:hAnsi="Times New Roman" w:cs="Times New Roman"/>
          <w:sz w:val="24"/>
          <w:szCs w:val="24"/>
        </w:rPr>
      </w:pPr>
    </w:p>
    <w:p w:rsidR="005724AE" w:rsidRDefault="005724AE" w:rsidP="005724A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  <w:r w:rsidRPr="00450C94">
        <w:rPr>
          <w:rFonts w:ascii="Times New Roman" w:hAnsi="Times New Roman" w:cs="Times New Roman"/>
          <w:kern w:val="0"/>
          <w:sz w:val="24"/>
          <w:szCs w:val="24"/>
        </w:rPr>
        <w:br w:type="page"/>
      </w:r>
      <w:r w:rsidRPr="00450C94">
        <w:rPr>
          <w:rFonts w:ascii="Times New Roman" w:hAnsi="Times New Roman" w:cs="Times New Roman"/>
          <w:b/>
          <w:sz w:val="24"/>
          <w:szCs w:val="24"/>
        </w:rPr>
        <w:lastRenderedPageBreak/>
        <w:t>Appendix Fig. 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50C94">
        <w:rPr>
          <w:rFonts w:ascii="Times New Roman" w:hAnsi="Times New Roman" w:cs="Times New Roman"/>
          <w:sz w:val="24"/>
          <w:szCs w:val="24"/>
        </w:rPr>
        <w:t xml:space="preserve"> Effects of parental herbivory (control vs. herbivory in the first generation) and parental root order (primary vs. secondary roots of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 xml:space="preserve">he first generation) on </w:t>
      </w:r>
      <w:r w:rsidRPr="00450C94">
        <w:rPr>
          <w:rFonts w:ascii="Times New Roman" w:hAnsi="Times New Roman" w:cs="Times New Roman" w:hint="eastAsia"/>
          <w:sz w:val="24"/>
          <w:szCs w:val="24"/>
        </w:rPr>
        <w:t>the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 w:hint="eastAsia"/>
          <w:sz w:val="24"/>
          <w:szCs w:val="24"/>
        </w:rPr>
        <w:t>concentration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 w:hint="eastAsia"/>
          <w:sz w:val="24"/>
          <w:szCs w:val="24"/>
        </w:rPr>
        <w:t>of</w:t>
      </w:r>
      <w:r w:rsidRPr="00450C94">
        <w:rPr>
          <w:rFonts w:ascii="Times New Roman" w:hAnsi="Times New Roman" w:cs="Times New Roman"/>
          <w:sz w:val="24"/>
          <w:szCs w:val="24"/>
        </w:rPr>
        <w:t xml:space="preserve"> (A) </w:t>
      </w:r>
      <w:r w:rsidRPr="00450C94">
        <w:rPr>
          <w:rFonts w:ascii="Times New Roman" w:hAnsi="Times New Roman" w:cs="Times New Roman" w:hint="eastAsia"/>
          <w:sz w:val="24"/>
          <w:szCs w:val="24"/>
        </w:rPr>
        <w:t>total</w:t>
      </w:r>
      <w:r w:rsidRPr="00450C94">
        <w:rPr>
          <w:rFonts w:ascii="Times New Roman" w:hAnsi="Times New Roman" w:cs="Times New Roman"/>
          <w:sz w:val="24"/>
          <w:szCs w:val="24"/>
        </w:rPr>
        <w:t xml:space="preserve"> phenolic, (B) </w:t>
      </w:r>
      <w:r w:rsidRPr="00450C94">
        <w:rPr>
          <w:rFonts w:ascii="Times New Roman" w:hAnsi="Times New Roman" w:cs="Times New Roman" w:hint="eastAsia"/>
          <w:sz w:val="24"/>
          <w:szCs w:val="24"/>
        </w:rPr>
        <w:t>water-</w:t>
      </w:r>
      <w:r w:rsidRPr="00450C94">
        <w:rPr>
          <w:rFonts w:ascii="Times New Roman" w:hAnsi="Times New Roman" w:cs="Times New Roman"/>
          <w:sz w:val="24"/>
          <w:szCs w:val="24"/>
        </w:rPr>
        <w:t xml:space="preserve">soluble sugar, (C) starch, and (D) total NSC of the offspring plants </w:t>
      </w:r>
      <w:r>
        <w:rPr>
          <w:rFonts w:ascii="Times New Roman" w:hAnsi="Times New Roman" w:cs="Times New Roman"/>
          <w:sz w:val="24"/>
          <w:szCs w:val="24"/>
        </w:rPr>
        <w:t xml:space="preserve">(the second generation) </w:t>
      </w:r>
      <w:r w:rsidRPr="00450C94">
        <w:rPr>
          <w:rFonts w:ascii="Times New Roman" w:hAnsi="Times New Roman" w:cs="Times New Roman" w:hint="eastAsia"/>
          <w:sz w:val="24"/>
          <w:szCs w:val="24"/>
        </w:rPr>
        <w:t>of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i/>
          <w:sz w:val="24"/>
          <w:szCs w:val="24"/>
        </w:rPr>
        <w:t>Alternanthera philoxeroides</w:t>
      </w:r>
      <w:r w:rsidRPr="00450C94">
        <w:rPr>
          <w:rFonts w:ascii="Times New Roman" w:hAnsi="Times New Roman" w:cs="Times New Roman"/>
          <w:sz w:val="24"/>
          <w:szCs w:val="24"/>
        </w:rPr>
        <w:t>.</w:t>
      </w:r>
    </w:p>
    <w:p w:rsidR="005724AE" w:rsidRDefault="005724AE" w:rsidP="005724A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</w:p>
    <w:p w:rsidR="005724AE" w:rsidRPr="00450C94" w:rsidRDefault="005724AE" w:rsidP="005724A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5041265" cy="3363595"/>
            <wp:effectExtent l="0" t="0" r="6985" b="8255"/>
            <wp:docPr id="1" name="Picture 1" descr="append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pendi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4AE" w:rsidRPr="0028617E" w:rsidRDefault="005724AE" w:rsidP="005724AE">
      <w:pPr>
        <w:rPr>
          <w:rFonts w:ascii="Times New Roman" w:eastAsia="SimSun" w:hAnsi="Times New Roman" w:cs="Times New Roman"/>
          <w:b/>
          <w:bCs/>
          <w:color w:val="0C0C0C"/>
          <w:sz w:val="24"/>
          <w:szCs w:val="24"/>
        </w:rPr>
      </w:pPr>
    </w:p>
    <w:p w:rsidR="00755780" w:rsidRDefault="00755780">
      <w:bookmarkStart w:id="0" w:name="_GoBack"/>
      <w:bookmarkEnd w:id="0"/>
    </w:p>
    <w:sectPr w:rsidR="00755780" w:rsidSect="00500208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E"/>
    <w:rsid w:val="005724AE"/>
    <w:rsid w:val="007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EA12C-5177-4CEE-9A3F-C5D817F0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4AE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2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534</Words>
  <Characters>3046</Characters>
  <Application>Microsoft Office Word</Application>
  <DocSecurity>0</DocSecurity>
  <Lines>25</Lines>
  <Paragraphs>7</Paragraphs>
  <ScaleCrop>false</ScaleCrop>
  <Company>Springer Nature IT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2022-07-26T05:37:00Z</dcterms:created>
  <dcterms:modified xsi:type="dcterms:W3CDTF">2022-07-26T05:37:00Z</dcterms:modified>
</cp:coreProperties>
</file>