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3116" w14:textId="4C8D9B9E" w:rsidR="00436F12" w:rsidRPr="003003F6" w:rsidRDefault="00B247EC" w:rsidP="003003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03F6">
        <w:rPr>
          <w:rFonts w:ascii="Times New Roman" w:hAnsi="Times New Roman" w:cs="Times New Roman"/>
          <w:b/>
          <w:bCs/>
          <w:sz w:val="24"/>
          <w:szCs w:val="24"/>
        </w:rPr>
        <w:t>Supplementary Figure Legends</w:t>
      </w:r>
      <w:r w:rsidRPr="003003F6"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</w:p>
    <w:p w14:paraId="0EE12AC5" w14:textId="1BDA1E03" w:rsidR="00005CC7" w:rsidRPr="003003F6" w:rsidRDefault="00DA5475" w:rsidP="003003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5CC7" w:rsidRPr="003003F6">
        <w:rPr>
          <w:rFonts w:ascii="Times New Roman" w:hAnsi="Times New Roman" w:cs="Times New Roman"/>
          <w:b/>
          <w:bCs/>
          <w:sz w:val="24"/>
          <w:szCs w:val="24"/>
        </w:rPr>
        <w:t xml:space="preserve">S1. </w:t>
      </w:r>
      <w:r w:rsidR="001B71BA" w:rsidRPr="003003F6">
        <w:rPr>
          <w:rFonts w:ascii="Times New Roman" w:hAnsi="Times New Roman" w:cs="Times New Roman"/>
          <w:b/>
          <w:bCs/>
          <w:sz w:val="24"/>
          <w:szCs w:val="24"/>
        </w:rPr>
        <w:t xml:space="preserve">Differentially expressed genes of TCGA-BLCA cohort. </w:t>
      </w:r>
      <w:r w:rsidR="00005CC7" w:rsidRPr="003003F6">
        <w:rPr>
          <w:rFonts w:ascii="Times New Roman" w:hAnsi="Times New Roman" w:cs="Times New Roman"/>
          <w:sz w:val="24"/>
          <w:szCs w:val="24"/>
        </w:rPr>
        <w:t>Heatmap (A),</w:t>
      </w:r>
      <w:r w:rsidR="00005CC7" w:rsidRPr="003003F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5CC7" w:rsidRPr="003003F6">
        <w:rPr>
          <w:rFonts w:ascii="Times New Roman" w:hAnsi="Times New Roman" w:cs="Times New Roman"/>
          <w:sz w:val="24"/>
          <w:szCs w:val="24"/>
        </w:rPr>
        <w:t>Volcano plot (B), Box plot (C) of 430 samples in TCGA-BLCA after normalization by DESeq2 package.</w:t>
      </w:r>
    </w:p>
    <w:p w14:paraId="431FF300" w14:textId="19BE17BC" w:rsidR="00005CC7" w:rsidRPr="003003F6" w:rsidRDefault="00DA5475" w:rsidP="003003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5CC7" w:rsidRPr="00300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440A7" w:rsidRPr="003003F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05CC7" w:rsidRPr="003003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440A7" w:rsidRPr="003003F6">
        <w:rPr>
          <w:rFonts w:ascii="Times New Roman" w:hAnsi="Times New Roman" w:cs="Times New Roman"/>
          <w:b/>
          <w:bCs/>
          <w:sz w:val="24"/>
          <w:szCs w:val="24"/>
        </w:rPr>
        <w:t>The LASSO regression.</w:t>
      </w:r>
      <w:r w:rsidR="008440A7" w:rsidRPr="003003F6">
        <w:rPr>
          <w:rFonts w:ascii="Times New Roman" w:hAnsi="Times New Roman" w:cs="Times New Roman"/>
          <w:sz w:val="24"/>
          <w:szCs w:val="24"/>
        </w:rPr>
        <w:t xml:space="preserve"> </w:t>
      </w:r>
      <w:r w:rsidR="00B371F3" w:rsidRPr="003003F6">
        <w:rPr>
          <w:rFonts w:ascii="Times New Roman" w:hAnsi="Times New Roman" w:cs="Times New Roman"/>
          <w:sz w:val="24"/>
          <w:szCs w:val="24"/>
        </w:rPr>
        <w:t xml:space="preserve">(A) </w:t>
      </w:r>
      <w:r w:rsidR="00005CC7" w:rsidRPr="003003F6">
        <w:rPr>
          <w:rFonts w:ascii="Times New Roman" w:hAnsi="Times New Roman" w:cs="Times New Roman"/>
          <w:sz w:val="24"/>
          <w:szCs w:val="24"/>
        </w:rPr>
        <w:t>LASSO coefficient profiles of 21 DEGs</w:t>
      </w:r>
      <w:r w:rsidR="00B371F3" w:rsidRPr="003003F6">
        <w:rPr>
          <w:rFonts w:ascii="Times New Roman" w:hAnsi="Times New Roman" w:cs="Times New Roman"/>
          <w:sz w:val="24"/>
          <w:szCs w:val="24"/>
        </w:rPr>
        <w:t>, (B)</w:t>
      </w:r>
      <w:r w:rsidR="00005CC7" w:rsidRPr="003003F6">
        <w:rPr>
          <w:sz w:val="24"/>
          <w:szCs w:val="24"/>
        </w:rPr>
        <w:t xml:space="preserve"> </w:t>
      </w:r>
      <w:r w:rsidR="00005CC7" w:rsidRPr="003003F6">
        <w:rPr>
          <w:rFonts w:ascii="Times New Roman" w:hAnsi="Times New Roman" w:cs="Times New Roman"/>
          <w:sz w:val="24"/>
          <w:szCs w:val="24"/>
        </w:rPr>
        <w:t>partial likelihood deviance versus log (λ).</w:t>
      </w:r>
      <w:r w:rsidR="00005CC7" w:rsidRPr="003003F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682015D" w14:textId="2CA13514" w:rsidR="00005CC7" w:rsidRPr="003003F6" w:rsidRDefault="00DA5475" w:rsidP="003003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440A7" w:rsidRPr="003003F6">
        <w:rPr>
          <w:rFonts w:ascii="Times New Roman" w:hAnsi="Times New Roman" w:cs="Times New Roman"/>
          <w:b/>
          <w:bCs/>
          <w:sz w:val="24"/>
          <w:szCs w:val="24"/>
        </w:rPr>
        <w:t>S3. Forest plot of 10 genes in prognostic model.</w:t>
      </w:r>
    </w:p>
    <w:p w14:paraId="34D97931" w14:textId="3F7E196E" w:rsidR="00005CC7" w:rsidRPr="003003F6" w:rsidRDefault="00DA5475" w:rsidP="003003F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440A7" w:rsidRPr="003003F6">
        <w:rPr>
          <w:rFonts w:ascii="Times New Roman" w:hAnsi="Times New Roman" w:cs="Times New Roman"/>
          <w:b/>
          <w:bCs/>
          <w:sz w:val="24"/>
          <w:szCs w:val="24"/>
        </w:rPr>
        <w:t>S4. Expression levels of genes in bladder tumor and normal bladder tissues.</w:t>
      </w:r>
    </w:p>
    <w:p w14:paraId="54945A3A" w14:textId="63A270A4" w:rsidR="008440A7" w:rsidRPr="003003F6" w:rsidRDefault="00DA5475" w:rsidP="003003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440A7" w:rsidRPr="003003F6">
        <w:rPr>
          <w:rFonts w:ascii="Times New Roman" w:hAnsi="Times New Roman" w:cs="Times New Roman"/>
          <w:b/>
          <w:bCs/>
          <w:sz w:val="24"/>
          <w:szCs w:val="24"/>
        </w:rPr>
        <w:t>S5. Subgroup analysis of risk group in training dataset.</w:t>
      </w:r>
      <w:r w:rsidR="008440A7" w:rsidRPr="003003F6">
        <w:rPr>
          <w:rFonts w:ascii="Times New Roman" w:hAnsi="Times New Roman" w:cs="Times New Roman"/>
          <w:sz w:val="24"/>
          <w:szCs w:val="24"/>
        </w:rPr>
        <w:t xml:space="preserve"> (A) Age &lt; 68 yea</w:t>
      </w:r>
      <w:r w:rsidR="007354D1">
        <w:rPr>
          <w:rFonts w:ascii="Times New Roman" w:hAnsi="Times New Roman" w:cs="Times New Roman" w:hint="eastAsia"/>
          <w:sz w:val="24"/>
          <w:szCs w:val="24"/>
        </w:rPr>
        <w:t>r</w:t>
      </w:r>
      <w:r w:rsidR="008440A7" w:rsidRPr="003003F6">
        <w:rPr>
          <w:rFonts w:ascii="Times New Roman" w:hAnsi="Times New Roman" w:cs="Times New Roman"/>
          <w:sz w:val="24"/>
          <w:szCs w:val="24"/>
        </w:rPr>
        <w:t>; (B) Age ≥ 68 yea</w:t>
      </w:r>
      <w:r w:rsidR="007354D1">
        <w:rPr>
          <w:rFonts w:ascii="Times New Roman" w:hAnsi="Times New Roman" w:cs="Times New Roman"/>
          <w:sz w:val="24"/>
          <w:szCs w:val="24"/>
        </w:rPr>
        <w:t>r</w:t>
      </w:r>
      <w:r w:rsidR="008440A7" w:rsidRPr="003003F6">
        <w:rPr>
          <w:rFonts w:ascii="Times New Roman" w:hAnsi="Times New Roman" w:cs="Times New Roman"/>
          <w:sz w:val="24"/>
          <w:szCs w:val="24"/>
        </w:rPr>
        <w:t>; (C) Female; (D) Male; (E) Subtype of papillary; (F) Subtype of non-papillary; (G) High grade; (H) Stage i+ii; (I) Stage iii; (J) Stage iii+iv; (K) Stage iv; (L) Pathologic stage of T1+T2; (M) Pathologic stage of T3; (N) Pathologic stage of T3+T4; (O) Pathologic stage of T4; (P) Pathologic stage of M0; (Q) Pathologic stage of Mx; (R) Pathologic stage of N0; (S) Pathologic stage of N1+N2+N3.</w:t>
      </w:r>
    </w:p>
    <w:p w14:paraId="3A8AFB62" w14:textId="69C8420E" w:rsidR="008440A7" w:rsidRPr="003003F6" w:rsidRDefault="00DA5475" w:rsidP="003003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440A7" w:rsidRPr="003003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50047" w:rsidRPr="003003F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440A7" w:rsidRPr="003003F6">
        <w:rPr>
          <w:rFonts w:ascii="Times New Roman" w:hAnsi="Times New Roman" w:cs="Times New Roman"/>
          <w:b/>
          <w:bCs/>
          <w:sz w:val="24"/>
          <w:szCs w:val="24"/>
        </w:rPr>
        <w:t xml:space="preserve">. Evaluating prognostic performance of gene-based model in validation group. </w:t>
      </w:r>
      <w:r w:rsidR="00350047" w:rsidRPr="003003F6">
        <w:rPr>
          <w:rFonts w:ascii="Times New Roman" w:hAnsi="Times New Roman" w:cs="Times New Roman"/>
          <w:sz w:val="24"/>
          <w:szCs w:val="24"/>
        </w:rPr>
        <w:t>(A)</w:t>
      </w:r>
      <w:r w:rsidR="008440A7" w:rsidRPr="003003F6">
        <w:rPr>
          <w:rFonts w:ascii="Times New Roman" w:hAnsi="Times New Roman" w:cs="Times New Roman"/>
          <w:sz w:val="24"/>
          <w:szCs w:val="24"/>
        </w:rPr>
        <w:t>Time-dependent ROC curves shown the performance of risk score in predicting 1-, 3-, and 5-yuear OS of GSE13507 dataset</w:t>
      </w:r>
      <w:r w:rsidR="00350047" w:rsidRPr="003003F6">
        <w:rPr>
          <w:rFonts w:ascii="Times New Roman" w:hAnsi="Times New Roman" w:cs="Times New Roman"/>
          <w:sz w:val="24"/>
          <w:szCs w:val="24"/>
        </w:rPr>
        <w:t xml:space="preserve">. (B) Time-dependent ROC curves shown the performance of risk score in predicting 3- and 8-yuear OS of GSE31684 dataset. (C) Time-dependent ROC curves shown the performance of risk score in predicting 1-, 3-, 5-, and 8-yuear OS of platinum-based chemotherapy treated patients in TCGA-BLCA dataset. (D) Boxplot reveals the correlation between risk score and response to platinum-based chemotherapy in GSE13507 dataset. (E) Risk score curve and survival status of high- and low-risk groups in GSE13507. (F) </w:t>
      </w:r>
      <w:r>
        <w:rPr>
          <w:rFonts w:ascii="Times New Roman" w:hAnsi="Times New Roman" w:cs="Times New Roman"/>
          <w:sz w:val="24"/>
          <w:szCs w:val="24"/>
        </w:rPr>
        <w:t>Figure</w:t>
      </w:r>
      <w:r w:rsidR="00350047" w:rsidRPr="003003F6">
        <w:rPr>
          <w:rFonts w:ascii="Times New Roman" w:hAnsi="Times New Roman" w:cs="Times New Roman"/>
          <w:sz w:val="24"/>
          <w:szCs w:val="24"/>
        </w:rPr>
        <w:t>S14 Risk score curve and survival status of high- and low-risk groups in GSE14208.</w:t>
      </w:r>
    </w:p>
    <w:p w14:paraId="7899D999" w14:textId="2A6F7195" w:rsidR="00350047" w:rsidRPr="003003F6" w:rsidRDefault="00DA5475" w:rsidP="003003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B4163D" w:rsidRPr="003003F6">
        <w:rPr>
          <w:rFonts w:ascii="Times New Roman" w:hAnsi="Times New Roman" w:cs="Times New Roman"/>
          <w:b/>
          <w:bCs/>
          <w:sz w:val="24"/>
          <w:szCs w:val="24"/>
        </w:rPr>
        <w:t xml:space="preserve">S7. </w:t>
      </w:r>
      <w:r w:rsidR="00846C6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50047" w:rsidRPr="003003F6">
        <w:rPr>
          <w:rFonts w:ascii="Times New Roman" w:hAnsi="Times New Roman" w:cs="Times New Roman"/>
          <w:b/>
          <w:bCs/>
          <w:sz w:val="24"/>
          <w:szCs w:val="24"/>
        </w:rPr>
        <w:t>stimation of nomogram.</w:t>
      </w:r>
      <w:r w:rsidR="00B4163D" w:rsidRPr="0030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63D" w:rsidRPr="003003F6">
        <w:rPr>
          <w:rFonts w:ascii="Times New Roman" w:hAnsi="Times New Roman" w:cs="Times New Roman"/>
          <w:sz w:val="24"/>
          <w:szCs w:val="24"/>
        </w:rPr>
        <w:t>Decision curves analysis (DCA) demonstrated the utility of nomogram in predicting 3-year (A) and 5-year (B) survival rate.</w:t>
      </w:r>
    </w:p>
    <w:p w14:paraId="16F64425" w14:textId="3500C811" w:rsidR="003003F6" w:rsidRDefault="003003F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F21971" w14:textId="6643B341" w:rsidR="003003F6" w:rsidRPr="00DA3FCF" w:rsidRDefault="003003F6" w:rsidP="00DA3F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FC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Tables</w:t>
      </w:r>
      <w:r w:rsidRPr="00DA3FCF"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</w:p>
    <w:p w14:paraId="005D1964" w14:textId="28D03E19" w:rsidR="00EE1C1A" w:rsidRPr="00DA3FCF" w:rsidRDefault="00EE1C1A" w:rsidP="00DA3F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4045091"/>
      <w:r w:rsidRPr="00DA3FCF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bookmarkEnd w:id="0"/>
      <w:r w:rsidRPr="00DA3FCF">
        <w:rPr>
          <w:rFonts w:ascii="Times New Roman" w:hAnsi="Times New Roman" w:cs="Times New Roman"/>
          <w:b/>
          <w:bCs/>
          <w:sz w:val="24"/>
          <w:szCs w:val="24"/>
        </w:rPr>
        <w:t>. Information of Gene Expression Omnibus (GEO) datasets</w:t>
      </w:r>
      <w:r w:rsidR="004021EB" w:rsidRPr="00DA3F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8CC4F3" w14:textId="6B4BDD00" w:rsidR="004021EB" w:rsidRPr="00DA3FCF" w:rsidRDefault="004021EB" w:rsidP="00DA3F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FCF">
        <w:rPr>
          <w:rFonts w:ascii="Times New Roman" w:hAnsi="Times New Roman" w:cs="Times New Roman"/>
          <w:b/>
          <w:bCs/>
          <w:sz w:val="24"/>
          <w:szCs w:val="24"/>
        </w:rPr>
        <w:t>Supplementary Table S2. Detailed information about differential expression of genes</w:t>
      </w:r>
      <w:r w:rsidR="008B198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2BBF03" w14:textId="3E86A7D8" w:rsidR="004021EB" w:rsidRPr="00DA3FCF" w:rsidRDefault="004021EB" w:rsidP="00DA3F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FCF">
        <w:rPr>
          <w:rFonts w:ascii="Times New Roman" w:hAnsi="Times New Roman" w:cs="Times New Roman"/>
          <w:b/>
          <w:bCs/>
          <w:sz w:val="24"/>
          <w:szCs w:val="24"/>
        </w:rPr>
        <w:t>Supplementary Table S3</w:t>
      </w:r>
      <w:r w:rsidR="00570B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3FCF">
        <w:rPr>
          <w:rFonts w:ascii="Times New Roman" w:hAnsi="Times New Roman" w:cs="Times New Roman"/>
          <w:b/>
          <w:bCs/>
          <w:sz w:val="24"/>
          <w:szCs w:val="24"/>
        </w:rPr>
        <w:t xml:space="preserve"> Results of univariate Cox regression for 122 co-DEGs.</w:t>
      </w:r>
    </w:p>
    <w:p w14:paraId="5D247D8B" w14:textId="292C8A44" w:rsidR="004021EB" w:rsidRPr="00DA3FCF" w:rsidRDefault="007E007E" w:rsidP="00DA3FCF">
      <w:pPr>
        <w:widowControl/>
        <w:spacing w:line="480" w:lineRule="auto"/>
        <w:jc w:val="left"/>
        <w:rPr>
          <w:rFonts w:ascii="Times New Roman" w:eastAsia="宋体" w:hAnsi="Times New Roman"/>
          <w:sz w:val="24"/>
          <w:szCs w:val="24"/>
        </w:rPr>
      </w:pPr>
      <w:r w:rsidRPr="00DA3FCF">
        <w:rPr>
          <w:rFonts w:ascii="Times New Roman" w:hAnsi="Times New Roman" w:cs="Times New Roman"/>
          <w:b/>
          <w:bCs/>
          <w:sz w:val="24"/>
          <w:szCs w:val="24"/>
        </w:rPr>
        <w:t>Supplementary Table S4</w:t>
      </w:r>
      <w:r w:rsidR="00FD78D2" w:rsidRPr="00DA3FCF">
        <w:rPr>
          <w:rFonts w:ascii="Times New Roman" w:hAnsi="Times New Roman" w:cs="Times New Roman"/>
          <w:b/>
          <w:bCs/>
          <w:sz w:val="24"/>
          <w:szCs w:val="24"/>
        </w:rPr>
        <w:t>. Summary of antibody used in IHC stained and patient characteristics of each sample</w:t>
      </w:r>
      <w:r w:rsidR="00F93E21" w:rsidRPr="00DA3F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D78D2" w:rsidRPr="00DA3F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0545C" w14:textId="1694725A" w:rsidR="004021EB" w:rsidRPr="00DA3FCF" w:rsidRDefault="004021EB" w:rsidP="00DA3F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FCF">
        <w:rPr>
          <w:rFonts w:ascii="Times New Roman" w:hAnsi="Times New Roman" w:cs="Times New Roman"/>
          <w:b/>
          <w:bCs/>
          <w:sz w:val="24"/>
          <w:szCs w:val="24"/>
        </w:rPr>
        <w:t>Supplementary Table S5. Results of GSEA in BioCarta, KEGG, CGP, GO, and oncogenic signature gene sets.</w:t>
      </w:r>
    </w:p>
    <w:p w14:paraId="7FEC72A3" w14:textId="085293A1" w:rsidR="00350047" w:rsidRPr="00FD78D2" w:rsidRDefault="00350047" w:rsidP="00DA3FC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350047" w:rsidRPr="00FD78D2" w:rsidSect="00684DD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D872" w14:textId="77777777" w:rsidR="00B07CE7" w:rsidRDefault="00B07CE7" w:rsidP="00684DDE">
      <w:r>
        <w:separator/>
      </w:r>
    </w:p>
  </w:endnote>
  <w:endnote w:type="continuationSeparator" w:id="0">
    <w:p w14:paraId="74924E24" w14:textId="77777777" w:rsidR="00B07CE7" w:rsidRDefault="00B07CE7" w:rsidP="0068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2A80" w14:textId="77777777" w:rsidR="00B07CE7" w:rsidRDefault="00B07CE7" w:rsidP="00684DDE">
      <w:r>
        <w:separator/>
      </w:r>
    </w:p>
  </w:footnote>
  <w:footnote w:type="continuationSeparator" w:id="0">
    <w:p w14:paraId="704B6F74" w14:textId="77777777" w:rsidR="00B07CE7" w:rsidRDefault="00B07CE7" w:rsidP="00684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12"/>
    <w:rsid w:val="00005CC7"/>
    <w:rsid w:val="001B71BA"/>
    <w:rsid w:val="002515C3"/>
    <w:rsid w:val="003003F6"/>
    <w:rsid w:val="00311E72"/>
    <w:rsid w:val="00326A67"/>
    <w:rsid w:val="00350047"/>
    <w:rsid w:val="004021EB"/>
    <w:rsid w:val="00436F12"/>
    <w:rsid w:val="00570BA7"/>
    <w:rsid w:val="00684DDE"/>
    <w:rsid w:val="007354D1"/>
    <w:rsid w:val="007E007E"/>
    <w:rsid w:val="008440A7"/>
    <w:rsid w:val="00846C6E"/>
    <w:rsid w:val="008B198A"/>
    <w:rsid w:val="008F6084"/>
    <w:rsid w:val="00A24B4E"/>
    <w:rsid w:val="00B07CE7"/>
    <w:rsid w:val="00B247EC"/>
    <w:rsid w:val="00B371F3"/>
    <w:rsid w:val="00B4163D"/>
    <w:rsid w:val="00CC6049"/>
    <w:rsid w:val="00DA3FCF"/>
    <w:rsid w:val="00DA5475"/>
    <w:rsid w:val="00E95A50"/>
    <w:rsid w:val="00EA6575"/>
    <w:rsid w:val="00EE1C1A"/>
    <w:rsid w:val="00F93E21"/>
    <w:rsid w:val="00FD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7A1A3"/>
  <w15:chartTrackingRefBased/>
  <w15:docId w15:val="{0C7EB12F-93F1-4655-8563-1788F5CF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4D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4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4DDE"/>
    <w:rPr>
      <w:sz w:val="18"/>
      <w:szCs w:val="18"/>
    </w:rPr>
  </w:style>
  <w:style w:type="table" w:styleId="a7">
    <w:name w:val="Table Grid"/>
    <w:basedOn w:val="a1"/>
    <w:uiPriority w:val="39"/>
    <w:rsid w:val="00EE1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轶宁</dc:creator>
  <cp:keywords/>
  <dc:description/>
  <cp:lastModifiedBy>郝 轶宁</cp:lastModifiedBy>
  <cp:revision>17</cp:revision>
  <dcterms:created xsi:type="dcterms:W3CDTF">2022-05-21T08:20:00Z</dcterms:created>
  <dcterms:modified xsi:type="dcterms:W3CDTF">2022-05-22T02:37:00Z</dcterms:modified>
</cp:coreProperties>
</file>