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644" w:rsidRDefault="005F4644" w:rsidP="005F4644">
      <w:pPr>
        <w:spacing w:before="240" w:after="240" w:line="480" w:lineRule="auto"/>
      </w:pPr>
      <w:r>
        <w:t xml:space="preserve">Supplementary information </w:t>
      </w:r>
    </w:p>
    <w:p w:rsidR="005F4644" w:rsidRDefault="005F4644" w:rsidP="005F4644">
      <w:pPr>
        <w:spacing w:before="240" w:after="240" w:line="480" w:lineRule="auto"/>
      </w:pPr>
      <w:r>
        <w:rPr>
          <w:noProof/>
          <w:lang w:val="en-US"/>
        </w:rPr>
        <w:drawing>
          <wp:inline distT="0" distB="0" distL="0" distR="0">
            <wp:extent cx="4171950" cy="6667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644" w:rsidRDefault="005F4644" w:rsidP="005F4644">
      <w:pPr>
        <w:spacing w:before="240" w:after="240" w:line="480" w:lineRule="auto"/>
      </w:pPr>
      <w:r>
        <w:rPr>
          <w:b/>
          <w:bCs/>
        </w:rPr>
        <w:t>Figure S1: DESeq2 differential expression analysis of the microbial community between naïve C3H/</w:t>
      </w:r>
      <w:proofErr w:type="spellStart"/>
      <w:r>
        <w:rPr>
          <w:b/>
          <w:bCs/>
        </w:rPr>
        <w:t>HeOuJ</w:t>
      </w:r>
      <w:proofErr w:type="spellEnd"/>
      <w:r>
        <w:rPr>
          <w:b/>
          <w:bCs/>
        </w:rPr>
        <w:t xml:space="preserve"> mice from the SURV and EPC experiments.</w:t>
      </w:r>
      <w:r>
        <w:t xml:space="preserve"> The SURV experiment is </w:t>
      </w:r>
      <w:r>
        <w:lastRenderedPageBreak/>
        <w:t xml:space="preserve">distinguishable by the complete absence of major taxa such as </w:t>
      </w:r>
      <w:proofErr w:type="spellStart"/>
      <w:r>
        <w:rPr>
          <w:i/>
          <w:iCs/>
        </w:rPr>
        <w:t>Bacteroides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thetaiotaomicron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Akkermansia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muciniphila</w:t>
      </w:r>
      <w:proofErr w:type="spellEnd"/>
      <w:r>
        <w:rPr>
          <w:i/>
          <w:iCs/>
        </w:rPr>
        <w:t xml:space="preserve"> </w:t>
      </w:r>
      <w:r>
        <w:t xml:space="preserve">and </w:t>
      </w:r>
      <w:proofErr w:type="spellStart"/>
      <w:r>
        <w:rPr>
          <w:i/>
          <w:iCs/>
        </w:rPr>
        <w:t>Parasutterella</w:t>
      </w:r>
      <w:proofErr w:type="spellEnd"/>
      <w:r>
        <w:rPr>
          <w:i/>
          <w:iCs/>
        </w:rPr>
        <w:t xml:space="preserve"> </w:t>
      </w:r>
      <w:r>
        <w:t>(n = 13-14; bolded taxa represent a trend (</w:t>
      </w:r>
      <w:r>
        <w:rPr>
          <w:i/>
          <w:iCs/>
        </w:rPr>
        <w:t>P</w:t>
      </w:r>
      <w:r>
        <w:t xml:space="preserve"> &lt; 0.10); * </w:t>
      </w:r>
      <w:r>
        <w:rPr>
          <w:i/>
          <w:iCs/>
        </w:rPr>
        <w:t xml:space="preserve">P </w:t>
      </w:r>
      <w:r>
        <w:t xml:space="preserve">&lt; 0.05, ** </w:t>
      </w:r>
      <w:r>
        <w:rPr>
          <w:i/>
          <w:iCs/>
        </w:rPr>
        <w:t xml:space="preserve">P </w:t>
      </w:r>
      <w:r>
        <w:t xml:space="preserve">&lt; 0.01, *** </w:t>
      </w:r>
      <w:r>
        <w:rPr>
          <w:i/>
          <w:iCs/>
        </w:rPr>
        <w:t xml:space="preserve">P </w:t>
      </w:r>
      <w:r>
        <w:t>&lt; 0.001).</w:t>
      </w: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  <w:jc w:val="center"/>
      </w:pPr>
      <w:r>
        <w:rPr>
          <w:noProof/>
          <w:lang w:val="en-US"/>
        </w:rPr>
        <w:drawing>
          <wp:inline distT="0" distB="0" distL="0" distR="0">
            <wp:extent cx="3590925" cy="42576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644" w:rsidRDefault="005F4644" w:rsidP="005F4644">
      <w:pPr>
        <w:spacing w:before="240" w:after="240" w:line="480" w:lineRule="auto"/>
      </w:pPr>
      <w:r>
        <w:rPr>
          <w:b/>
          <w:bCs/>
        </w:rPr>
        <w:t xml:space="preserve">Figure S2: </w:t>
      </w:r>
      <w:proofErr w:type="spellStart"/>
      <w:r>
        <w:rPr>
          <w:b/>
          <w:bCs/>
        </w:rPr>
        <w:t>Cecal</w:t>
      </w:r>
      <w:proofErr w:type="spellEnd"/>
      <w:r>
        <w:rPr>
          <w:b/>
          <w:bCs/>
        </w:rPr>
        <w:t xml:space="preserve"> SCFA profiles of naïve C3H/</w:t>
      </w:r>
      <w:proofErr w:type="spellStart"/>
      <w:r>
        <w:rPr>
          <w:b/>
          <w:bCs/>
        </w:rPr>
        <w:t>HeOuJ</w:t>
      </w:r>
      <w:proofErr w:type="spellEnd"/>
      <w:r>
        <w:rPr>
          <w:b/>
          <w:bCs/>
        </w:rPr>
        <w:t xml:space="preserve"> mice from the SURV experiment. </w:t>
      </w:r>
      <w:r>
        <w:t>Cyanocobalamin supplementation did not alter SCFA production in the cecum (n=6).</w:t>
      </w: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  <w:r>
        <w:rPr>
          <w:noProof/>
          <w:lang w:val="en-US"/>
        </w:rPr>
        <w:drawing>
          <wp:inline distT="0" distB="0" distL="0" distR="0">
            <wp:extent cx="4953000" cy="3257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644" w:rsidRDefault="005F4644" w:rsidP="005F4644">
      <w:pPr>
        <w:spacing w:before="240" w:after="240" w:line="480" w:lineRule="auto"/>
      </w:pPr>
      <w:r>
        <w:rPr>
          <w:b/>
          <w:bCs/>
        </w:rPr>
        <w:t xml:space="preserve">Figure S3: DESeq2 differential expression analyses of the active microbial community as determine by </w:t>
      </w:r>
      <w:proofErr w:type="spellStart"/>
      <w:r>
        <w:rPr>
          <w:b/>
          <w:bCs/>
        </w:rPr>
        <w:t>cecal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metatranscriptomics</w:t>
      </w:r>
      <w:proofErr w:type="spellEnd"/>
      <w:r>
        <w:rPr>
          <w:b/>
          <w:bCs/>
        </w:rPr>
        <w:t xml:space="preserve"> of C3H/</w:t>
      </w:r>
      <w:proofErr w:type="spellStart"/>
      <w:r>
        <w:rPr>
          <w:b/>
          <w:bCs/>
        </w:rPr>
        <w:t>HeOuJ</w:t>
      </w:r>
      <w:proofErr w:type="spellEnd"/>
      <w:r>
        <w:rPr>
          <w:b/>
          <w:bCs/>
        </w:rPr>
        <w:t xml:space="preserve"> mice.</w:t>
      </w:r>
      <w:r>
        <w:t xml:space="preserve"> Cyanocobalamin supplementation increased the abundance of numerous active members before infection (a); however, mice at D5PI receiving regular drinking water (b) displayed greater numbers of different active members. All plotted taxa have a non-adjusted </w:t>
      </w:r>
      <w:r>
        <w:rPr>
          <w:i/>
          <w:iCs/>
        </w:rPr>
        <w:t xml:space="preserve">P </w:t>
      </w:r>
      <w:r>
        <w:t>value less than 0.05 (n = 8).</w:t>
      </w: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</w:p>
    <w:p w:rsidR="005F4644" w:rsidRDefault="005F4644" w:rsidP="005F4644">
      <w:pPr>
        <w:spacing w:before="240" w:after="240" w:line="480" w:lineRule="auto"/>
      </w:pPr>
      <w:r>
        <w:rPr>
          <w:noProof/>
          <w:lang w:val="en-US"/>
        </w:rPr>
        <w:drawing>
          <wp:inline distT="0" distB="0" distL="0" distR="0">
            <wp:extent cx="4953000" cy="54578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644" w:rsidRDefault="005F4644" w:rsidP="005F4644">
      <w:pPr>
        <w:spacing w:before="240" w:after="240" w:line="480" w:lineRule="auto"/>
      </w:pPr>
      <w:r>
        <w:rPr>
          <w:b/>
          <w:bCs/>
        </w:rPr>
        <w:t>Figure S4: Inflammation biomarkers in naïve C3H/</w:t>
      </w:r>
      <w:proofErr w:type="spellStart"/>
      <w:r>
        <w:rPr>
          <w:b/>
          <w:bCs/>
        </w:rPr>
        <w:t>HeOuJ</w:t>
      </w:r>
      <w:proofErr w:type="spellEnd"/>
      <w:r>
        <w:rPr>
          <w:b/>
          <w:bCs/>
        </w:rPr>
        <w:t xml:space="preserve"> mice from the EPC experiment </w:t>
      </w:r>
      <w:r>
        <w:t>(n = 8).</w:t>
      </w:r>
    </w:p>
    <w:p w:rsidR="005F4644" w:rsidRDefault="005F4644" w:rsidP="005F4644">
      <w:pPr>
        <w:spacing w:before="240" w:after="240" w:line="480" w:lineRule="auto"/>
      </w:pPr>
      <w:r>
        <w:rPr>
          <w:noProof/>
          <w:lang w:val="en-US"/>
        </w:rPr>
        <w:lastRenderedPageBreak/>
        <w:drawing>
          <wp:inline distT="0" distB="0" distL="0" distR="0">
            <wp:extent cx="4762500" cy="59340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644" w:rsidRDefault="005F4644" w:rsidP="005F4644">
      <w:pPr>
        <w:spacing w:before="240" w:after="240" w:line="480" w:lineRule="auto"/>
      </w:pPr>
      <w:r>
        <w:rPr>
          <w:b/>
          <w:bCs/>
        </w:rPr>
        <w:t>Figure S5: Inflammation biomarkers in</w:t>
      </w:r>
      <w:r>
        <w:rPr>
          <w:b/>
          <w:bCs/>
          <w:i/>
          <w:iCs/>
        </w:rPr>
        <w:t xml:space="preserve"> C. </w:t>
      </w:r>
      <w:proofErr w:type="spellStart"/>
      <w:r>
        <w:rPr>
          <w:b/>
          <w:bCs/>
          <w:i/>
          <w:iCs/>
        </w:rPr>
        <w:t>rodentium</w:t>
      </w:r>
      <w:proofErr w:type="spellEnd"/>
      <w:r>
        <w:rPr>
          <w:b/>
          <w:bCs/>
        </w:rPr>
        <w:t>-challenged C3H/</w:t>
      </w:r>
      <w:proofErr w:type="spellStart"/>
      <w:r>
        <w:rPr>
          <w:b/>
          <w:bCs/>
        </w:rPr>
        <w:t>HeOuJ</w:t>
      </w:r>
      <w:proofErr w:type="spellEnd"/>
      <w:r>
        <w:rPr>
          <w:b/>
          <w:bCs/>
        </w:rPr>
        <w:t xml:space="preserve"> from the EPC experiment </w:t>
      </w:r>
      <w:r>
        <w:t>(n = 8).</w:t>
      </w: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strike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  <w:r>
        <w:rPr>
          <w:noProof/>
          <w:lang w:val="en-US"/>
        </w:rPr>
        <w:lastRenderedPageBreak/>
        <w:drawing>
          <wp:inline distT="0" distB="0" distL="0" distR="0">
            <wp:extent cx="5762625" cy="822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644" w:rsidRDefault="005F4644" w:rsidP="005F4644">
      <w:pPr>
        <w:pStyle w:val="Footer"/>
      </w:pPr>
      <w:r>
        <w:rPr>
          <w:b/>
          <w:bCs/>
        </w:rPr>
        <w:lastRenderedPageBreak/>
        <w:t>Figure S6: Spearman’s correlation of the significantly altered immune profiles of colon tissues and microbiota in C3H/</w:t>
      </w:r>
      <w:proofErr w:type="spellStart"/>
      <w:r>
        <w:rPr>
          <w:b/>
          <w:bCs/>
        </w:rPr>
        <w:t>HeOuJ</w:t>
      </w:r>
      <w:proofErr w:type="spellEnd"/>
      <w:r>
        <w:rPr>
          <w:b/>
          <w:bCs/>
        </w:rPr>
        <w:t xml:space="preserve"> mice.</w:t>
      </w:r>
      <w:r>
        <w:t xml:space="preserve"> (a) Naïve mice from the SURV (n=10) and EPC experiment (n=11) (b) Infected mice from the EPC experiment (n=12). A trend (</w:t>
      </w:r>
      <w:r>
        <w:rPr>
          <w:i/>
          <w:iCs/>
        </w:rPr>
        <w:t>P</w:t>
      </w:r>
      <w:r>
        <w:t xml:space="preserve"> &lt; 0.10) is denoted with # and significance (</w:t>
      </w:r>
      <w:r>
        <w:rPr>
          <w:i/>
          <w:iCs/>
        </w:rPr>
        <w:t xml:space="preserve">P </w:t>
      </w:r>
      <w:r>
        <w:t>&lt; 0.05) with *.</w:t>
      </w: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</w:p>
    <w:p w:rsidR="005F4644" w:rsidRDefault="005F4644" w:rsidP="005F4644">
      <w:pPr>
        <w:widowControl w:val="0"/>
        <w:autoSpaceDE w:val="0"/>
        <w:autoSpaceDN w:val="0"/>
        <w:adjustRightInd w:val="0"/>
        <w:ind w:left="641" w:hanging="64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Table S1: Real-time </w:t>
      </w:r>
      <w:proofErr w:type="spellStart"/>
      <w:r>
        <w:rPr>
          <w:b/>
          <w:bCs/>
          <w:sz w:val="22"/>
          <w:szCs w:val="22"/>
        </w:rPr>
        <w:t>qRT</w:t>
      </w:r>
      <w:proofErr w:type="spellEnd"/>
      <w:r>
        <w:rPr>
          <w:b/>
          <w:bCs/>
          <w:sz w:val="22"/>
          <w:szCs w:val="22"/>
        </w:rPr>
        <w:t>-PCR primer list.</w:t>
      </w:r>
    </w:p>
    <w:tbl>
      <w:tblPr>
        <w:tblW w:w="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424"/>
        <w:gridCol w:w="4021"/>
        <w:gridCol w:w="1236"/>
        <w:gridCol w:w="1286"/>
      </w:tblGrid>
      <w:tr w:rsidR="005F4644" w:rsidTr="005F4644">
        <w:trPr>
          <w:trHeight w:val="68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Target Genes</w:t>
            </w:r>
          </w:p>
        </w:tc>
        <w:tc>
          <w:tcPr>
            <w:tcW w:w="4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Oligonucleotide sequences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br/>
              <w:t>(5' - 3')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Product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br/>
              <w:t>length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Ref.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ActB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*</w:t>
            </w: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TGACAGGATGCAGAAGGAGA</w:t>
            </w:r>
          </w:p>
        </w:tc>
        <w:tc>
          <w:tcPr>
            <w:tcW w:w="123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131</w:t>
            </w:r>
          </w:p>
        </w:tc>
        <w:tc>
          <w:tcPr>
            <w:tcW w:w="128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6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GCTGGAAGGTGGACAGTGAG</w:t>
            </w:r>
          </w:p>
        </w:tc>
        <w:tc>
          <w:tcPr>
            <w:tcW w:w="123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  <w:tr w:rsidR="005F4644" w:rsidTr="005F4644">
        <w:trPr>
          <w:trHeight w:val="320"/>
        </w:trPr>
        <w:tc>
          <w:tcPr>
            <w:tcW w:w="1276" w:type="dxa"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IL12A</w:t>
            </w: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CCACCCTTGCCCTCCTAAAC</w:t>
            </w:r>
          </w:p>
        </w:tc>
        <w:tc>
          <w:tcPr>
            <w:tcW w:w="123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132</w:t>
            </w:r>
          </w:p>
        </w:tc>
        <w:tc>
          <w:tcPr>
            <w:tcW w:w="128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6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GTTTTTCTCTGGCCGTCTTCA</w:t>
            </w:r>
          </w:p>
        </w:tc>
        <w:tc>
          <w:tcPr>
            <w:tcW w:w="123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IL12B</w:t>
            </w: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GGGACATCATCAAACCAGACCC</w:t>
            </w:r>
          </w:p>
        </w:tc>
        <w:tc>
          <w:tcPr>
            <w:tcW w:w="123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239</w:t>
            </w:r>
          </w:p>
        </w:tc>
        <w:tc>
          <w:tcPr>
            <w:tcW w:w="128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6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GCCTTTGCATTGGACTTCGG</w:t>
            </w:r>
          </w:p>
        </w:tc>
        <w:tc>
          <w:tcPr>
            <w:tcW w:w="123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Rpoa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#</w:t>
            </w: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ACGTCAGCCGGAAGTGAAAGAAGA</w:t>
            </w:r>
          </w:p>
        </w:tc>
        <w:tc>
          <w:tcPr>
            <w:tcW w:w="123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86</w:t>
            </w:r>
          </w:p>
        </w:tc>
        <w:tc>
          <w:tcPr>
            <w:tcW w:w="128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AGCGGACAGTCAATTCCAGATCGT</w:t>
            </w:r>
          </w:p>
        </w:tc>
        <w:tc>
          <w:tcPr>
            <w:tcW w:w="123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Ler</w:t>
            </w:r>
            <w:proofErr w:type="spellEnd"/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ACAGTTTGAATCTCCTGCTCACGC</w:t>
            </w:r>
          </w:p>
        </w:tc>
        <w:tc>
          <w:tcPr>
            <w:tcW w:w="123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98</w:t>
            </w:r>
          </w:p>
        </w:tc>
        <w:tc>
          <w:tcPr>
            <w:tcW w:w="128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AATTCGCCCACAACAAGCCCATAC</w:t>
            </w:r>
          </w:p>
        </w:tc>
        <w:tc>
          <w:tcPr>
            <w:tcW w:w="123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Tir</w:t>
            </w:r>
            <w:proofErr w:type="spellEnd"/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ATCAGATATCTCGCAAGCTCG</w:t>
            </w:r>
          </w:p>
        </w:tc>
        <w:tc>
          <w:tcPr>
            <w:tcW w:w="123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134</w:t>
            </w:r>
          </w:p>
        </w:tc>
        <w:tc>
          <w:tcPr>
            <w:tcW w:w="1286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CAACTCCATCTCCCATTCCTG</w:t>
            </w:r>
          </w:p>
        </w:tc>
        <w:tc>
          <w:tcPr>
            <w:tcW w:w="123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  <w:tr w:rsidR="005F4644" w:rsidTr="005F4644">
        <w:trPr>
          <w:trHeight w:val="320"/>
        </w:trPr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EspA</w:t>
            </w:r>
            <w:proofErr w:type="spellEnd"/>
          </w:p>
        </w:tc>
        <w:tc>
          <w:tcPr>
            <w:tcW w:w="424" w:type="dxa"/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F:</w:t>
            </w:r>
          </w:p>
        </w:tc>
        <w:tc>
          <w:tcPr>
            <w:tcW w:w="4021" w:type="dxa"/>
            <w:noWrap/>
            <w:vAlign w:val="bottom"/>
            <w:hideMark/>
          </w:tcPr>
          <w:p w:rsidR="005F4644" w:rsidRDefault="005F4644">
            <w:pPr>
              <w:rPr>
                <w:color w:val="000000"/>
                <w:sz w:val="22"/>
                <w:szCs w:val="22"/>
                <w:lang w:eastAsia="ja-JP"/>
              </w:rPr>
            </w:pPr>
            <w:r>
              <w:rPr>
                <w:color w:val="000000"/>
                <w:sz w:val="22"/>
                <w:szCs w:val="22"/>
                <w:lang w:eastAsia="ja-JP"/>
              </w:rPr>
              <w:t xml:space="preserve">ACGAGGTAACAACCATGCGAGTGT 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87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[2</w:t>
            </w:r>
            <w:r>
              <w:rPr>
                <w:rFonts w:cstheme="minorHAnsi"/>
                <w:color w:val="000000"/>
                <w:sz w:val="22"/>
                <w:szCs w:val="22"/>
                <w:lang w:eastAsia="ja-JP"/>
              </w:rPr>
              <w:t>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</w:tr>
      <w:tr w:rsidR="005F4644" w:rsidTr="005F4644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R:</w:t>
            </w:r>
          </w:p>
        </w:tc>
        <w:tc>
          <w:tcPr>
            <w:tcW w:w="40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F4644" w:rsidRDefault="005F4644">
            <w:pPr>
              <w:rPr>
                <w:color w:val="000000"/>
                <w:sz w:val="22"/>
                <w:szCs w:val="22"/>
                <w:lang w:eastAsia="ja-JP"/>
              </w:rPr>
            </w:pPr>
            <w:r>
              <w:rPr>
                <w:color w:val="000000"/>
                <w:sz w:val="22"/>
                <w:szCs w:val="22"/>
                <w:lang w:eastAsia="ja-JP"/>
              </w:rPr>
              <w:t xml:space="preserve">CTGCCTGGCATTGCTTTCCAGAAT </w:t>
            </w:r>
          </w:p>
        </w:tc>
        <w:tc>
          <w:tcPr>
            <w:tcW w:w="1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12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</w:tr>
    </w:tbl>
    <w:p w:rsidR="005F4644" w:rsidRDefault="005F4644" w:rsidP="005F4644">
      <w:pPr>
        <w:widowControl w:val="0"/>
        <w:autoSpaceDE w:val="0"/>
        <w:autoSpaceDN w:val="0"/>
        <w:adjustRightInd w:val="0"/>
        <w:ind w:left="641" w:hanging="641"/>
        <w:rPr>
          <w:sz w:val="22"/>
          <w:szCs w:val="22"/>
        </w:rPr>
      </w:pPr>
      <w:r>
        <w:rPr>
          <w:sz w:val="22"/>
          <w:szCs w:val="22"/>
        </w:rPr>
        <w:t>Note: The annealing temperature used for all genes was 60°C. Housekeeping genes used for mice (*) and bacterial (#) gene expression calculations.</w:t>
      </w: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noProof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noProof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noProof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noProof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noProof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  <w:rPr>
          <w:noProof/>
        </w:rPr>
      </w:pP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</w:p>
    <w:p w:rsidR="005F4644" w:rsidRDefault="005F4644" w:rsidP="005F4644">
      <w:pPr>
        <w:widowControl w:val="0"/>
        <w:autoSpaceDE w:val="0"/>
        <w:autoSpaceDN w:val="0"/>
        <w:adjustRightInd w:val="0"/>
        <w:ind w:left="641" w:hanging="64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Table S2. Summary of beta-diversity analyses of microbial communities.</w:t>
      </w:r>
    </w:p>
    <w:tbl>
      <w:tblPr>
        <w:tblW w:w="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260"/>
        <w:gridCol w:w="1276"/>
        <w:gridCol w:w="1275"/>
        <w:gridCol w:w="1276"/>
        <w:gridCol w:w="1269"/>
        <w:gridCol w:w="7"/>
      </w:tblGrid>
      <w:tr w:rsidR="005F4644" w:rsidTr="005F4644">
        <w:trPr>
          <w:gridAfter w:val="1"/>
          <w:wAfter w:w="7" w:type="dxa"/>
          <w:trHeight w:val="320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Weighted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UniFrac</w:t>
            </w:r>
            <w:proofErr w:type="spellEnd"/>
          </w:p>
        </w:tc>
        <w:tc>
          <w:tcPr>
            <w:tcW w:w="25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Unweighted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UniFrac</w:t>
            </w:r>
            <w:proofErr w:type="spellEnd"/>
          </w:p>
        </w:tc>
      </w:tr>
      <w:tr w:rsidR="005F4644" w:rsidTr="005F4644">
        <w:trPr>
          <w:trHeight w:val="32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Region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Comparisons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Dispersion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Orientation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Dispersion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Orientation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 w:val="restart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Ileum</w:t>
            </w: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naïve_CNCbl40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0.98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naïve_CNCbl40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0.49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0.88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0.97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0.4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naïve_CNCbl40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0.89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0.53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Cecum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naïve_CNCbl40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0.13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0.02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0.84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0.25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0.15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0.48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naïve_CNCbl40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0.83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0.79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0.54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naïve_CNCbl40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0.35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0.84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Colon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naïve_CNCbl40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0.25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0.17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0.96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0.95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0.33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naïve_CNCbl40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0.74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0.04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0.96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naïve_CNCbl40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0.73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0.34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0.05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Colon</w:t>
            </w:r>
          </w:p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[SURV vs EPC]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CON vs CNCbl40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0.21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naïve_CNCbl40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0.88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0.02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CON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0.31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0.76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naïve_CNCbl40 vs 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0.73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0.44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Cecum</w:t>
            </w:r>
          </w:p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[RNA-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seq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naïve_CNCbl40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0.38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0.29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0.6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0.85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0.53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0.32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0.06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0.77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0.16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naïve_CNCbl40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0.85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0.73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0.042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naïve_CON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 vs inf_CNCbl40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0.4</w:t>
            </w:r>
          </w:p>
        </w:tc>
        <w:tc>
          <w:tcPr>
            <w:tcW w:w="1275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0.08</w:t>
            </w:r>
          </w:p>
        </w:tc>
        <w:tc>
          <w:tcPr>
            <w:tcW w:w="1276" w:type="dxa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0.87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0.01</w:t>
            </w:r>
          </w:p>
        </w:tc>
      </w:tr>
      <w:tr w:rsidR="005F4644" w:rsidTr="005F4644">
        <w:trPr>
          <w:trHeight w:val="32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4644" w:rsidRDefault="005F4644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 xml:space="preserve">naïve_CNCbl40 vs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inf_CON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F4644" w:rsidRDefault="005F464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  <w:t>0.08</w:t>
            </w:r>
          </w:p>
        </w:tc>
      </w:tr>
    </w:tbl>
    <w:p w:rsidR="005F4644" w:rsidRDefault="005F4644" w:rsidP="005F4644">
      <w:pPr>
        <w:widowControl w:val="0"/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Note: Dispersion p-values were calculated with </w:t>
      </w:r>
      <w:proofErr w:type="spellStart"/>
      <w:proofErr w:type="gramStart"/>
      <w:r>
        <w:rPr>
          <w:sz w:val="22"/>
          <w:szCs w:val="22"/>
        </w:rPr>
        <w:t>betadisper</w:t>
      </w:r>
      <w:proofErr w:type="spellEnd"/>
      <w:r>
        <w:rPr>
          <w:sz w:val="22"/>
          <w:szCs w:val="22"/>
        </w:rPr>
        <w:t>(</w:t>
      </w:r>
      <w:proofErr w:type="gramEnd"/>
      <w:r>
        <w:rPr>
          <w:sz w:val="22"/>
          <w:szCs w:val="22"/>
        </w:rPr>
        <w:t xml:space="preserve">) using a permuted model that indicates a </w:t>
      </w:r>
      <w:r>
        <w:rPr>
          <w:sz w:val="22"/>
          <w:szCs w:val="22"/>
        </w:rPr>
        <w:lastRenderedPageBreak/>
        <w:t xml:space="preserve">difference in dispersion between groups. Orientation p-values were calculated with </w:t>
      </w:r>
      <w:proofErr w:type="spellStart"/>
      <w:proofErr w:type="gramStart"/>
      <w:r>
        <w:rPr>
          <w:sz w:val="22"/>
          <w:szCs w:val="22"/>
        </w:rPr>
        <w:t>pairwise.adonis</w:t>
      </w:r>
      <w:proofErr w:type="spellEnd"/>
      <w:proofErr w:type="gramEnd"/>
      <w:r>
        <w:rPr>
          <w:sz w:val="22"/>
          <w:szCs w:val="22"/>
        </w:rPr>
        <w:t xml:space="preserve">() and adjusted using </w:t>
      </w:r>
      <w:proofErr w:type="spellStart"/>
      <w:r>
        <w:rPr>
          <w:sz w:val="22"/>
          <w:szCs w:val="22"/>
        </w:rPr>
        <w:t>bonferroni</w:t>
      </w:r>
      <w:proofErr w:type="spellEnd"/>
      <w:r>
        <w:rPr>
          <w:sz w:val="22"/>
          <w:szCs w:val="22"/>
        </w:rPr>
        <w:t xml:space="preserve"> (perm=999) method, and indicates significantly different clustering between groups.</w:t>
      </w:r>
    </w:p>
    <w:p w:rsidR="005F4644" w:rsidRDefault="005F4644" w:rsidP="005F4644">
      <w:pPr>
        <w:widowControl w:val="0"/>
        <w:autoSpaceDE w:val="0"/>
        <w:autoSpaceDN w:val="0"/>
        <w:adjustRightInd w:val="0"/>
        <w:spacing w:before="240" w:after="240" w:line="480" w:lineRule="auto"/>
        <w:ind w:left="640" w:hanging="640"/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644"/>
    <w:rsid w:val="005F464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5FD9D1-CA9E-4E49-AFFD-9A4033545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6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5F4644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F4644"/>
    <w:rPr>
      <w:rFonts w:eastAsiaTheme="minorEastAsia"/>
      <w:sz w:val="24"/>
      <w:szCs w:val="24"/>
      <w:lang w:val="en-CA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2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2022-05-25T09:53:00Z</dcterms:created>
  <dcterms:modified xsi:type="dcterms:W3CDTF">2022-05-25T09:53:00Z</dcterms:modified>
</cp:coreProperties>
</file>