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AA" w:rsidRPr="001D48AA" w:rsidRDefault="001D48AA" w:rsidP="001D48AA">
      <w:pPr>
        <w:tabs>
          <w:tab w:val="left" w:pos="2278"/>
        </w:tabs>
        <w:spacing w:after="0" w:line="260" w:lineRule="atLeast"/>
        <w:jc w:val="center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  <w:t>Supplementary materials</w:t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390EC3" w:rsidRPr="00390EC3" w:rsidRDefault="00390EC3" w:rsidP="00390EC3">
      <w:pPr>
        <w:adjustRightInd w:val="0"/>
        <w:snapToGrid w:val="0"/>
        <w:spacing w:after="360" w:line="260" w:lineRule="atLeast"/>
        <w:jc w:val="both"/>
        <w:rPr>
          <w:rFonts w:ascii="Times New Roman" w:eastAsia="Calibri" w:hAnsi="Times New Roman" w:cs="Times New Roman"/>
          <w:b/>
          <w:i/>
          <w:noProof/>
          <w:snapToGrid w:val="0"/>
          <w:color w:val="000000"/>
          <w:sz w:val="20"/>
          <w:szCs w:val="20"/>
          <w:lang w:val="en-US" w:eastAsia="de-DE" w:bidi="en-US"/>
        </w:rPr>
      </w:pPr>
      <w:r w:rsidRPr="00390EC3">
        <w:rPr>
          <w:rFonts w:ascii="Times New Roman" w:eastAsia="Calibri" w:hAnsi="Times New Roman" w:cs="Times New Roman"/>
          <w:b/>
          <w:i/>
          <w:noProof/>
          <w:snapToGrid w:val="0"/>
          <w:color w:val="000000"/>
          <w:sz w:val="20"/>
          <w:szCs w:val="20"/>
          <w:lang w:val="en-US" w:eastAsia="de-DE" w:bidi="en-US"/>
        </w:rPr>
        <w:t>Article</w:t>
      </w:r>
    </w:p>
    <w:p w:rsidR="00390EC3" w:rsidRPr="00390EC3" w:rsidRDefault="00390EC3" w:rsidP="00390EC3">
      <w:pPr>
        <w:adjustRightInd w:val="0"/>
        <w:snapToGrid w:val="0"/>
        <w:spacing w:after="360" w:line="260" w:lineRule="atLeast"/>
        <w:jc w:val="both"/>
        <w:rPr>
          <w:rFonts w:ascii="Times New Roman" w:eastAsia="Calibri" w:hAnsi="Times New Roman" w:cs="Times New Roman"/>
          <w:b/>
          <w:noProof/>
          <w:snapToGrid w:val="0"/>
          <w:color w:val="000000"/>
          <w:sz w:val="20"/>
          <w:szCs w:val="20"/>
          <w:lang w:val="en-US" w:eastAsia="de-DE" w:bidi="en-US"/>
        </w:rPr>
      </w:pPr>
      <w:r w:rsidRPr="00390EC3">
        <w:rPr>
          <w:rFonts w:ascii="Times New Roman" w:eastAsia="Calibri" w:hAnsi="Times New Roman" w:cs="Times New Roman"/>
          <w:b/>
          <w:noProof/>
          <w:snapToGrid w:val="0"/>
          <w:color w:val="000000"/>
          <w:sz w:val="20"/>
          <w:szCs w:val="20"/>
          <w:lang w:val="en-GB" w:eastAsia="de-DE" w:bidi="en-US"/>
        </w:rPr>
        <w:t xml:space="preserve">Description of </w:t>
      </w:r>
      <w:r w:rsidRPr="00390EC3">
        <w:rPr>
          <w:rFonts w:ascii="Times New Roman" w:eastAsia="Calibri" w:hAnsi="Times New Roman" w:cs="Times New Roman"/>
          <w:b/>
          <w:i/>
          <w:iCs/>
          <w:noProof/>
          <w:snapToGrid w:val="0"/>
          <w:color w:val="000000"/>
          <w:sz w:val="20"/>
          <w:szCs w:val="20"/>
          <w:lang w:val="en-US" w:eastAsia="de-DE" w:bidi="en-US"/>
        </w:rPr>
        <w:t>Winogradskyella luteola</w:t>
      </w:r>
      <w:r w:rsidRPr="00390EC3">
        <w:rPr>
          <w:rFonts w:ascii="Times New Roman" w:eastAsia="Calibri" w:hAnsi="Times New Roman" w:cs="Times New Roman"/>
          <w:b/>
          <w:i/>
          <w:noProof/>
          <w:snapToGrid w:val="0"/>
          <w:color w:val="000000"/>
          <w:sz w:val="20"/>
          <w:szCs w:val="20"/>
          <w:lang w:val="en-US" w:eastAsia="de-DE" w:bidi="en-US"/>
        </w:rPr>
        <w:t> </w:t>
      </w:r>
      <w:r w:rsidRPr="00390EC3">
        <w:rPr>
          <w:rFonts w:ascii="Times New Roman" w:eastAsia="Calibri" w:hAnsi="Times New Roman" w:cs="Times New Roman"/>
          <w:b/>
          <w:iCs/>
          <w:noProof/>
          <w:snapToGrid w:val="0"/>
          <w:color w:val="000000"/>
          <w:sz w:val="20"/>
          <w:szCs w:val="20"/>
          <w:lang w:val="en-US" w:eastAsia="de-DE" w:bidi="en-US"/>
        </w:rPr>
        <w:t>sp.nov.</w:t>
      </w:r>
      <w:r w:rsidRPr="00390EC3">
        <w:rPr>
          <w:rFonts w:ascii="Times New Roman" w:eastAsia="Calibri" w:hAnsi="Times New Roman" w:cs="Times New Roman"/>
          <w:b/>
          <w:noProof/>
          <w:snapToGrid w:val="0"/>
          <w:color w:val="000000"/>
          <w:sz w:val="20"/>
          <w:szCs w:val="20"/>
          <w:lang w:val="en-US" w:eastAsia="de-DE" w:bidi="en-US"/>
        </w:rPr>
        <w:t xml:space="preserve">, </w:t>
      </w:r>
      <w:r w:rsidRPr="00390EC3">
        <w:rPr>
          <w:rFonts w:ascii="Times New Roman" w:eastAsia="Calibri" w:hAnsi="Times New Roman" w:cs="Times New Roman"/>
          <w:b/>
          <w:i/>
          <w:iCs/>
          <w:noProof/>
          <w:snapToGrid w:val="0"/>
          <w:color w:val="000000"/>
          <w:sz w:val="20"/>
          <w:szCs w:val="20"/>
          <w:lang w:val="en-US" w:eastAsia="de-DE" w:bidi="en-US"/>
        </w:rPr>
        <w:t>Erythrobacter ani</w:t>
      </w:r>
      <w:r w:rsidRPr="00390EC3">
        <w:rPr>
          <w:rFonts w:ascii="Times New Roman" w:eastAsia="Calibri" w:hAnsi="Times New Roman" w:cs="Times New Roman"/>
          <w:b/>
          <w:iCs/>
          <w:noProof/>
          <w:snapToGrid w:val="0"/>
          <w:color w:val="000000"/>
          <w:sz w:val="20"/>
          <w:szCs w:val="20"/>
          <w:lang w:val="en-US" w:eastAsia="de-DE" w:bidi="en-US"/>
        </w:rPr>
        <w:t xml:space="preserve"> sp.nov., and </w:t>
      </w:r>
      <w:r w:rsidRPr="00390EC3">
        <w:rPr>
          <w:rFonts w:ascii="Times New Roman" w:eastAsia="Calibri" w:hAnsi="Times New Roman" w:cs="Times New Roman"/>
          <w:b/>
          <w:i/>
          <w:iCs/>
          <w:noProof/>
          <w:snapToGrid w:val="0"/>
          <w:color w:val="000000"/>
          <w:sz w:val="20"/>
          <w:szCs w:val="20"/>
          <w:lang w:val="en-US" w:eastAsia="de-DE" w:bidi="en-US"/>
        </w:rPr>
        <w:t xml:space="preserve">Erythrobacter crassostrea </w:t>
      </w:r>
      <w:r w:rsidRPr="00390EC3">
        <w:rPr>
          <w:rFonts w:ascii="Times New Roman" w:eastAsia="Calibri" w:hAnsi="Times New Roman" w:cs="Times New Roman"/>
          <w:b/>
          <w:iCs/>
          <w:noProof/>
          <w:snapToGrid w:val="0"/>
          <w:color w:val="000000"/>
          <w:sz w:val="20"/>
          <w:szCs w:val="20"/>
          <w:lang w:val="en-US" w:eastAsia="de-DE" w:bidi="en-US"/>
        </w:rPr>
        <w:t xml:space="preserve">sp.nov., three novel bacteria of two different genus </w:t>
      </w:r>
      <w:r w:rsidRPr="00390EC3">
        <w:rPr>
          <w:rFonts w:ascii="Times New Roman" w:eastAsia="Calibri" w:hAnsi="Times New Roman" w:cs="Times New Roman"/>
          <w:b/>
          <w:i/>
          <w:iCs/>
          <w:noProof/>
          <w:snapToGrid w:val="0"/>
          <w:color w:val="000000"/>
          <w:sz w:val="20"/>
          <w:szCs w:val="20"/>
          <w:lang w:val="en-US" w:eastAsia="de-DE" w:bidi="en-US"/>
        </w:rPr>
        <w:t xml:space="preserve">Winogradskyella </w:t>
      </w:r>
      <w:r w:rsidRPr="00390EC3">
        <w:rPr>
          <w:rFonts w:ascii="Times New Roman" w:eastAsia="Calibri" w:hAnsi="Times New Roman" w:cs="Times New Roman"/>
          <w:b/>
          <w:noProof/>
          <w:snapToGrid w:val="0"/>
          <w:color w:val="000000"/>
          <w:sz w:val="20"/>
          <w:szCs w:val="20"/>
          <w:lang w:val="en-US" w:eastAsia="de-DE" w:bidi="en-US"/>
        </w:rPr>
        <w:t>and</w:t>
      </w:r>
      <w:r w:rsidRPr="00390EC3">
        <w:rPr>
          <w:rFonts w:ascii="Times New Roman" w:eastAsia="Calibri" w:hAnsi="Times New Roman" w:cs="Times New Roman"/>
          <w:b/>
          <w:i/>
          <w:iCs/>
          <w:noProof/>
          <w:snapToGrid w:val="0"/>
          <w:color w:val="000000"/>
          <w:sz w:val="20"/>
          <w:szCs w:val="20"/>
          <w:lang w:val="en-US" w:eastAsia="de-DE" w:bidi="en-US"/>
        </w:rPr>
        <w:t xml:space="preserve"> Erythrobacter, </w:t>
      </w:r>
      <w:r w:rsidRPr="00390EC3">
        <w:rPr>
          <w:rFonts w:ascii="Times New Roman" w:eastAsia="Calibri" w:hAnsi="Times New Roman" w:cs="Times New Roman"/>
          <w:b/>
          <w:noProof/>
          <w:snapToGrid w:val="0"/>
          <w:color w:val="000000"/>
          <w:sz w:val="20"/>
          <w:szCs w:val="20"/>
          <w:lang w:val="en-US" w:eastAsia="de-DE" w:bidi="en-US"/>
        </w:rPr>
        <w:t xml:space="preserve">from </w:t>
      </w:r>
      <w:r w:rsidRPr="00390EC3">
        <w:rPr>
          <w:rFonts w:ascii="Times New Roman" w:eastAsia="Calibri" w:hAnsi="Times New Roman" w:cs="Times New Roman"/>
          <w:b/>
          <w:bCs/>
          <w:noProof/>
          <w:snapToGrid w:val="0"/>
          <w:color w:val="000000"/>
          <w:sz w:val="20"/>
          <w:szCs w:val="20"/>
          <w:lang w:val="en-US" w:eastAsia="de-DE" w:bidi="en-US"/>
        </w:rPr>
        <w:t>the</w:t>
      </w:r>
      <w:r w:rsidRPr="00390EC3">
        <w:rPr>
          <w:rFonts w:ascii="Times New Roman" w:eastAsia="Calibri" w:hAnsi="Times New Roman" w:cs="Times New Roman"/>
          <w:b/>
          <w:noProof/>
          <w:snapToGrid w:val="0"/>
          <w:color w:val="000000"/>
          <w:sz w:val="20"/>
          <w:szCs w:val="20"/>
          <w:lang w:val="en-US" w:eastAsia="de-DE" w:bidi="en-US"/>
        </w:rPr>
        <w:t xml:space="preserve"> hemolymph of Pacific Oyster </w:t>
      </w:r>
      <w:r w:rsidRPr="00390EC3">
        <w:rPr>
          <w:rFonts w:ascii="Times New Roman" w:eastAsia="Calibri" w:hAnsi="Times New Roman" w:cs="Times New Roman"/>
          <w:b/>
          <w:i/>
          <w:iCs/>
          <w:noProof/>
          <w:snapToGrid w:val="0"/>
          <w:color w:val="000000"/>
          <w:sz w:val="20"/>
          <w:szCs w:val="20"/>
          <w:lang w:val="en-US" w:eastAsia="de-DE" w:bidi="en-US"/>
        </w:rPr>
        <w:t>Crassostrea gigas</w:t>
      </w:r>
      <w:r w:rsidRPr="00390EC3">
        <w:rPr>
          <w:rFonts w:ascii="Times New Roman" w:eastAsia="Calibri" w:hAnsi="Times New Roman" w:cs="Times New Roman"/>
          <w:b/>
          <w:noProof/>
          <w:snapToGrid w:val="0"/>
          <w:color w:val="000000"/>
          <w:sz w:val="20"/>
          <w:szCs w:val="20"/>
          <w:lang w:val="en-US" w:eastAsia="de-DE" w:bidi="en-US"/>
        </w:rPr>
        <w:t>. Prediction of bioremediation</w:t>
      </w:r>
    </w:p>
    <w:p w:rsidR="001D48AA" w:rsidRPr="001D48AA" w:rsidRDefault="001D48AA" w:rsidP="001D48AA">
      <w:pPr>
        <w:adjustRightInd w:val="0"/>
        <w:snapToGrid w:val="0"/>
        <w:spacing w:after="360" w:line="260" w:lineRule="atLeast"/>
        <w:jc w:val="both"/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vertAlign w:val="superscript"/>
          <w:lang w:val="en-US" w:eastAsia="de-DE" w:bidi="en-US"/>
        </w:rPr>
      </w:pP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lang w:val="en-GB" w:eastAsia="de-DE" w:bidi="en-US"/>
        </w:rPr>
        <w:t xml:space="preserve">Hani Pira 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vertAlign w:val="superscript"/>
          <w:lang w:val="en-GB" w:eastAsia="de-DE" w:bidi="en-US"/>
        </w:rPr>
        <w:t>a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lang w:val="en-GB" w:eastAsia="de-DE" w:bidi="en-US"/>
        </w:rPr>
        <w:t>, Mathias Müsken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vertAlign w:val="superscript"/>
          <w:lang w:val="en-GB" w:eastAsia="de-DE" w:bidi="en-US"/>
        </w:rPr>
        <w:t xml:space="preserve"> b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lang w:val="en-GB" w:eastAsia="de-DE" w:bidi="en-US"/>
        </w:rPr>
        <w:t xml:space="preserve">, Peter J. Schupp 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vertAlign w:val="superscript"/>
          <w:lang w:val="en-GB" w:eastAsia="de-DE" w:bidi="en-US"/>
        </w:rPr>
        <w:t>c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lang w:val="en-US" w:eastAsia="de-DE" w:bidi="en-US"/>
        </w:rPr>
        <w:t xml:space="preserve"> and Joachim Wink 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vertAlign w:val="superscript"/>
          <w:lang w:val="en-US" w:eastAsia="de-DE" w:bidi="en-US"/>
        </w:rPr>
        <w:t>a</w:t>
      </w:r>
      <w:r w:rsidRPr="001D48AA">
        <w:rPr>
          <w:rFonts w:ascii="Times New Roman" w:eastAsia="Times New Roman" w:hAnsi="Times New Roman" w:cs="Times New Roman"/>
          <w:b/>
          <w:noProof/>
          <w:color w:val="000000"/>
          <w:sz w:val="20"/>
          <w:szCs w:val="20"/>
          <w:lang w:val="en-US" w:eastAsia="de-DE" w:bidi="en-US"/>
        </w:rPr>
        <w:t>*</w:t>
      </w:r>
    </w:p>
    <w:p w:rsidR="001D48AA" w:rsidRPr="001D48AA" w:rsidRDefault="001D48AA" w:rsidP="001D48AA">
      <w:pPr>
        <w:adjustRightInd w:val="0"/>
        <w:snapToGrid w:val="0"/>
        <w:spacing w:after="0" w:line="200" w:lineRule="atLeast"/>
        <w:jc w:val="both"/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GB" w:eastAsia="de-DE" w:bidi="en-US"/>
        </w:rPr>
      </w:pP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vertAlign w:val="superscript"/>
          <w:lang w:val="en-US" w:eastAsia="de-DE" w:bidi="en-US"/>
        </w:rPr>
        <w:t>a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ab/>
        <w:t xml:space="preserve">Microbial Strain Collection (MISG), Helmholtz Centre for Infection Research (HZI), 38124 Braunschweig, Germany; </w:t>
      </w:r>
      <w:hyperlink r:id="rId4" w:history="1">
        <w:r w:rsidRPr="001D48AA">
          <w:rPr>
            <w:rFonts w:ascii="Times New Roman" w:eastAsia="Times New Roman" w:hAnsi="Times New Roman" w:cs="Times New Roman"/>
            <w:noProof/>
            <w:color w:val="0000FF"/>
            <w:sz w:val="20"/>
            <w:szCs w:val="20"/>
            <w:u w:val="single"/>
            <w:lang w:val="en-US" w:eastAsia="de-DE" w:bidi="en-US"/>
          </w:rPr>
          <w:t>hani.pira</w:t>
        </w:r>
        <w:r w:rsidRPr="001D48AA">
          <w:rPr>
            <w:rFonts w:ascii="Times New Roman" w:eastAsia="Times New Roman" w:hAnsi="Times New Roman" w:cs="Times New Roman"/>
            <w:noProof/>
            <w:color w:val="0000FF"/>
            <w:sz w:val="20"/>
            <w:szCs w:val="20"/>
            <w:u w:val="single"/>
            <w:lang w:val="en-GB" w:eastAsia="de-DE" w:bidi="en-US"/>
          </w:rPr>
          <w:t xml:space="preserve">@helmholtz-hzi.de </w:t>
        </w:r>
        <w:r w:rsidRPr="001D48AA">
          <w:rPr>
            <w:rFonts w:ascii="Times New Roman" w:eastAsia="Times New Roman" w:hAnsi="Times New Roman" w:cs="Times New Roman"/>
            <w:noProof/>
            <w:color w:val="000000"/>
            <w:sz w:val="20"/>
            <w:szCs w:val="20"/>
            <w:u w:val="single"/>
            <w:lang w:val="en-US" w:eastAsia="de-DE" w:bidi="en-US"/>
          </w:rPr>
          <w:t>(H.P)</w:t>
        </w:r>
      </w:hyperlink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 xml:space="preserve">; </w:t>
      </w:r>
      <w:hyperlink r:id="rId5" w:history="1">
        <w:r w:rsidRPr="001D48AA">
          <w:rPr>
            <w:rFonts w:ascii="Times New Roman" w:eastAsia="Times New Roman" w:hAnsi="Times New Roman" w:cs="Times New Roman"/>
            <w:noProof/>
            <w:color w:val="0000FF"/>
            <w:sz w:val="20"/>
            <w:szCs w:val="20"/>
            <w:u w:val="single"/>
            <w:lang w:val="en-US" w:eastAsia="de-DE" w:bidi="en-US"/>
          </w:rPr>
          <w:t>Joachim.Wink@helmholtz-hzi.de</w:t>
        </w:r>
      </w:hyperlink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 xml:space="preserve"> (J.W).</w:t>
      </w:r>
    </w:p>
    <w:p w:rsidR="001D48AA" w:rsidRPr="001D48AA" w:rsidRDefault="001D48AA" w:rsidP="001D48AA">
      <w:pPr>
        <w:adjustRightInd w:val="0"/>
        <w:snapToGrid w:val="0"/>
        <w:spacing w:after="0" w:line="200" w:lineRule="atLeast"/>
        <w:jc w:val="both"/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GB" w:eastAsia="de-DE" w:bidi="en-US"/>
        </w:rPr>
      </w:pP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vertAlign w:val="superscript"/>
          <w:lang w:val="en-US" w:eastAsia="de-DE" w:bidi="en-US"/>
        </w:rPr>
        <w:t>b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ab/>
        <w:t>Central Facility for Microscopy, Helmholtz Centre for Infection Research (HZI), 38124 Braunschweig,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rtl/>
          <w:lang w:val="en-US" w:eastAsia="de-DE" w:bidi="en-US"/>
        </w:rPr>
        <w:t xml:space="preserve"> 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 xml:space="preserve">Germany; </w:t>
      </w:r>
      <w:hyperlink r:id="rId6" w:history="1">
        <w:r w:rsidRPr="001D48AA">
          <w:rPr>
            <w:rFonts w:ascii="Times New Roman" w:eastAsia="Times New Roman" w:hAnsi="Times New Roman" w:cs="Times New Roman"/>
            <w:noProof/>
            <w:color w:val="0000FF"/>
            <w:sz w:val="20"/>
            <w:szCs w:val="20"/>
            <w:u w:val="single"/>
            <w:lang w:val="en-US" w:eastAsia="de-DE" w:bidi="en-US"/>
          </w:rPr>
          <w:t>Mathias.Muesken@helmholtz-hzi.de</w:t>
        </w:r>
      </w:hyperlink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GB" w:eastAsia="de-DE" w:bidi="en-US"/>
        </w:rPr>
        <w:t>(M.M).</w:t>
      </w:r>
    </w:p>
    <w:p w:rsidR="001D48AA" w:rsidRPr="001D48AA" w:rsidRDefault="001D48AA" w:rsidP="001D48AA">
      <w:pPr>
        <w:adjustRightInd w:val="0"/>
        <w:snapToGrid w:val="0"/>
        <w:spacing w:after="0" w:line="200" w:lineRule="atLeast"/>
        <w:jc w:val="both"/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</w:pP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vertAlign w:val="superscript"/>
          <w:lang w:val="en-US" w:eastAsia="de-DE" w:bidi="en-US"/>
        </w:rPr>
        <w:t>c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ab/>
        <w:t>University Oldenburg, Institute for Chemistry and Biology of the Marine Environment, Oldenburg,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rtl/>
          <w:lang w:val="en-US" w:eastAsia="de-DE" w:bidi="en-US"/>
        </w:rPr>
        <w:t xml:space="preserve"> 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 xml:space="preserve">Germany; </w:t>
      </w:r>
      <w:hyperlink r:id="rId7" w:history="1">
        <w:r w:rsidRPr="001D48AA">
          <w:rPr>
            <w:rFonts w:ascii="Times New Roman" w:eastAsia="Times New Roman" w:hAnsi="Times New Roman" w:cs="Times New Roman"/>
            <w:noProof/>
            <w:color w:val="0000FF"/>
            <w:sz w:val="20"/>
            <w:szCs w:val="20"/>
            <w:u w:val="single"/>
            <w:lang w:val="en-GB" w:eastAsia="de-DE" w:bidi="en-US"/>
          </w:rPr>
          <w:t>peter.schupp@uni-oldenburg.de</w:t>
        </w:r>
      </w:hyperlink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 xml:space="preserve"> (PJ.S).</w:t>
      </w:r>
    </w:p>
    <w:p w:rsidR="001D48AA" w:rsidRPr="001D48AA" w:rsidRDefault="001D48AA" w:rsidP="001D48AA">
      <w:pPr>
        <w:adjustRightInd w:val="0"/>
        <w:snapToGrid w:val="0"/>
        <w:spacing w:after="0" w:line="200" w:lineRule="atLeast"/>
        <w:jc w:val="both"/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</w:pP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>*</w:t>
      </w:r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ab/>
        <w:t xml:space="preserve">Correspondence: </w:t>
      </w:r>
      <w:hyperlink r:id="rId8" w:history="1">
        <w:r w:rsidRPr="001D48AA">
          <w:rPr>
            <w:rFonts w:ascii="Times New Roman" w:eastAsia="Times New Roman" w:hAnsi="Times New Roman" w:cs="Times New Roman"/>
            <w:noProof/>
            <w:color w:val="0000FF"/>
            <w:sz w:val="20"/>
            <w:szCs w:val="20"/>
            <w:u w:val="single"/>
            <w:lang w:val="en-US" w:eastAsia="de-DE" w:bidi="en-US"/>
          </w:rPr>
          <w:t>Joachim.Wink@helmholtz-hzi.de</w:t>
        </w:r>
      </w:hyperlink>
      <w:r w:rsidRPr="001D48A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US" w:eastAsia="de-DE" w:bidi="en-US"/>
        </w:rPr>
        <w:t xml:space="preserve"> (J.W).</w:t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US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de-DE" w:bidi="en-US"/>
        </w:rPr>
      </w:pPr>
      <w:r w:rsidRPr="001D48AA"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GB" w:eastAsia="en-GB"/>
        </w:rPr>
        <w:lastRenderedPageBreak/>
        <w:drawing>
          <wp:inline distT="0" distB="0" distL="0" distR="0" wp14:anchorId="48F107AB" wp14:editId="61BFFF7D">
            <wp:extent cx="5760720" cy="4760595"/>
            <wp:effectExtent l="0" t="0" r="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6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Times New Roman" w:eastAsia="SimSun" w:hAnsi="Times New Roman" w:cs="Times New Roman"/>
          <w:b/>
          <w:bCs/>
          <w:noProof/>
          <w:color w:val="000000"/>
          <w:sz w:val="16"/>
          <w:szCs w:val="16"/>
          <w:lang w:val="en-US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</w:pPr>
      <w:r w:rsidRPr="001D48AA">
        <w:rPr>
          <w:rFonts w:ascii="Times New Roman" w:eastAsia="SimSun" w:hAnsi="Times New Roman" w:cs="Times New Roman"/>
          <w:b/>
          <w:bCs/>
          <w:noProof/>
          <w:color w:val="000000"/>
          <w:sz w:val="16"/>
          <w:szCs w:val="16"/>
          <w:lang w:val="en-US" w:eastAsia="zh-CN"/>
        </w:rPr>
        <w:t>Fig. S1.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 xml:space="preserve"> Phylogenomic tree inferred from GBDP distances based on genomic data between strain WH131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US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>,WH158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US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 xml:space="preserve"> and the closely related type strains based on Type (Strain) Genome Server (TYGS) (https://tygs.dsmz.de/). The number at the nodes are GBDP pseudo-bootstrap support values &gt; 60 % from 100 replications, with average branch support of 40.3%.</w:t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  <w:r w:rsidRPr="001D48AA"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GB" w:eastAsia="en-GB"/>
        </w:rPr>
        <w:lastRenderedPageBreak/>
        <w:drawing>
          <wp:inline distT="0" distB="0" distL="0" distR="0" wp14:anchorId="1DB94C7B" wp14:editId="68B7DE00">
            <wp:extent cx="5760720" cy="186944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8AA" w:rsidRPr="001D48AA" w:rsidRDefault="001D48AA" w:rsidP="001D48AA">
      <w:pPr>
        <w:spacing w:after="0" w:line="260" w:lineRule="atLeast"/>
        <w:jc w:val="both"/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</w:pPr>
      <w:r w:rsidRPr="001D48AA">
        <w:rPr>
          <w:rFonts w:ascii="Times New Roman" w:eastAsia="SimSun" w:hAnsi="Times New Roman" w:cs="Times New Roman"/>
          <w:b/>
          <w:bCs/>
          <w:noProof/>
          <w:color w:val="000000"/>
          <w:sz w:val="16"/>
          <w:szCs w:val="16"/>
          <w:lang w:val="en-US" w:eastAsia="zh-CN"/>
        </w:rPr>
        <w:t>Fig. S2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>.The profile of cellular polarlipid of strains (a) WHY3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US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>, (b) WH131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US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>, (c) WH158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US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>.</w:t>
      </w:r>
      <w:r w:rsidRPr="001D48AA">
        <w:rPr>
          <w:rFonts w:ascii="Times New Roman" w:eastAsia="Calibri" w:hAnsi="Times New Roman" w:cs="Times New Roman"/>
          <w:noProof/>
          <w:color w:val="000000"/>
          <w:sz w:val="16"/>
          <w:szCs w:val="16"/>
          <w:lang w:val="en-US" w:eastAsia="zh-CN"/>
        </w:rPr>
        <w:t xml:space="preserve"> 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>Diphosphatidylglycerol (DPG), phosphatidylcholine (PC), phosphatidylinositol (PI), phosphatidylglycerol (PG), phosphatidylethanolamine (PE), sphingoglycolipid (SGL), unidentified phospholipids (PL), unidentified glycolipid (GL), unidentified aminolipid (AL) and unidentified polar lipid (L).</w:t>
      </w: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adjustRightInd w:val="0"/>
        <w:snapToGrid w:val="0"/>
        <w:spacing w:after="0" w:line="260" w:lineRule="atLeast"/>
        <w:jc w:val="both"/>
        <w:rPr>
          <w:rFonts w:ascii="Times New Roman" w:eastAsia="Times New Roman" w:hAnsi="Times New Roman" w:cs="Times New Roman"/>
          <w:b/>
          <w:bCs/>
          <w:noProof/>
          <w:snapToGrid w:val="0"/>
          <w:color w:val="000000"/>
          <w:sz w:val="16"/>
          <w:szCs w:val="16"/>
          <w:lang w:val="en-US" w:eastAsia="de-DE" w:bidi="en-US"/>
        </w:rPr>
      </w:pPr>
      <w:r w:rsidRPr="001D48AA">
        <w:rPr>
          <w:rFonts w:ascii="Times New Roman" w:eastAsia="Times New Roman" w:hAnsi="Times New Roman" w:cs="Times New Roman"/>
          <w:b/>
          <w:bCs/>
          <w:noProof/>
          <w:snapToGrid w:val="0"/>
          <w:color w:val="000000"/>
          <w:sz w:val="16"/>
          <w:szCs w:val="16"/>
          <w:lang w:val="en-US" w:eastAsia="de-DE" w:bidi="en-US"/>
        </w:rPr>
        <w:lastRenderedPageBreak/>
        <w:t>Table S1</w:t>
      </w:r>
    </w:p>
    <w:p w:rsidR="001D48AA" w:rsidRPr="001D48AA" w:rsidRDefault="001D48AA" w:rsidP="001D48AA">
      <w:pPr>
        <w:adjustRightInd w:val="0"/>
        <w:snapToGrid w:val="0"/>
        <w:spacing w:after="0" w:line="260" w:lineRule="atLeast"/>
        <w:jc w:val="both"/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lang w:val="en-US" w:eastAsia="zh-CN" w:bidi="en-US"/>
        </w:rPr>
      </w:pPr>
      <w:r w:rsidRPr="001D48AA">
        <w:rPr>
          <w:rFonts w:ascii="Times New Roman" w:eastAsia="Times New Roman" w:hAnsi="Times New Roman" w:cs="Times New Roman"/>
          <w:noProof/>
          <w:snapToGrid w:val="0"/>
          <w:color w:val="000000"/>
          <w:sz w:val="16"/>
          <w:szCs w:val="16"/>
          <w:lang w:val="en-US" w:eastAsia="de-DE" w:bidi="en-US"/>
        </w:rPr>
        <w:t xml:space="preserve">Antibiotic susceptibility of 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lang w:val="en-US" w:eastAsia="zh-CN" w:bidi="en-US"/>
        </w:rPr>
        <w:t>strains WHA3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lang w:val="en-US" w:eastAsia="zh-CN" w:bidi="en-US"/>
        </w:rPr>
        <w:t>, WH131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T,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lang w:val="en-US" w:eastAsia="zh-CN" w:bidi="en-US"/>
        </w:rPr>
        <w:t xml:space="preserve"> and WH158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lang w:val="en-US" w:eastAsia="zh-CN" w:bidi="en-US"/>
        </w:rPr>
        <w:t xml:space="preserve"> for the most closely related type strains. Strains: 1,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 xml:space="preserve">Winogradskyella luteola 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>WHY3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lang w:val="en-US" w:eastAsia="zh-CN" w:bidi="en-US"/>
        </w:rPr>
        <w:t xml:space="preserve">; 2,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Winogradskyella flava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KCTC 52348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noProof/>
          <w:snapToGrid w:val="0"/>
          <w:color w:val="000000"/>
          <w:sz w:val="16"/>
          <w:szCs w:val="16"/>
          <w:lang w:val="en-US" w:eastAsia="zh-CN" w:bidi="en-US"/>
        </w:rPr>
        <w:t xml:space="preserve"> 3,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Winogradskyella ouciana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ZXX205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; 4,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Winogradskyella echinorum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KCTC 22026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; 5,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Erythrobacter ani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WH131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; 6,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Erythrobacter crassostrea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WH158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; 7,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Erythrobacter insulae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JBTF-M21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; 8,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Erythrobacter rubeus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KMU-140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; 9,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Erythrobacter longus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DSM 6997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; 10, </w:t>
      </w:r>
      <w:r w:rsidRPr="001D48AA">
        <w:rPr>
          <w:rFonts w:ascii="Times New Roman" w:eastAsia="SimSun" w:hAnsi="Times New Roman" w:cs="Times New Roman"/>
          <w:i/>
          <w:noProof/>
          <w:snapToGrid w:val="0"/>
          <w:color w:val="000000"/>
          <w:sz w:val="16"/>
          <w:szCs w:val="16"/>
          <w:lang w:val="en-US" w:eastAsia="zh-CN" w:bidi="en-US"/>
        </w:rPr>
        <w:t>Erythrobacter litoralis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 xml:space="preserve"> DSM8509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vertAlign w:val="superscript"/>
          <w:lang w:val="en-US" w:eastAsia="zh-CN" w:bidi="en-US"/>
        </w:rPr>
        <w:t>T</w:t>
      </w:r>
      <w:r w:rsidRPr="001D48AA">
        <w:rPr>
          <w:rFonts w:ascii="Times New Roman" w:eastAsia="SimSun" w:hAnsi="Times New Roman" w:cs="Times New Roman"/>
          <w:iCs/>
          <w:noProof/>
          <w:snapToGrid w:val="0"/>
          <w:color w:val="000000"/>
          <w:sz w:val="16"/>
          <w:szCs w:val="16"/>
          <w:lang w:val="en-US" w:eastAsia="zh-CN" w:bidi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699"/>
        <w:gridCol w:w="700"/>
        <w:gridCol w:w="697"/>
        <w:gridCol w:w="697"/>
        <w:gridCol w:w="687"/>
        <w:gridCol w:w="687"/>
        <w:gridCol w:w="688"/>
        <w:gridCol w:w="688"/>
        <w:gridCol w:w="688"/>
        <w:gridCol w:w="713"/>
      </w:tblGrid>
      <w:tr w:rsidR="001D48AA" w:rsidRPr="001D48AA" w:rsidTr="00786BCE">
        <w:trPr>
          <w:trHeight w:val="365"/>
        </w:trPr>
        <w:tc>
          <w:tcPr>
            <w:tcW w:w="212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E7E6E6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US" w:eastAsia="de-DE" w:bidi="en-US"/>
              </w:rPr>
              <w:t>Genus name</w:t>
            </w:r>
          </w:p>
          <w:p w:rsidR="001D48AA" w:rsidRPr="001D48AA" w:rsidRDefault="001D48AA" w:rsidP="001D48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</w:p>
          <w:p w:rsidR="001D48AA" w:rsidRPr="001D48AA" w:rsidRDefault="001D48AA" w:rsidP="001D48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bCs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Species name</w:t>
            </w:r>
          </w:p>
        </w:tc>
        <w:tc>
          <w:tcPr>
            <w:tcW w:w="279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napToGrid w:val="0"/>
                <w:color w:val="000000"/>
                <w:sz w:val="18"/>
                <w:szCs w:val="18"/>
                <w:lang w:val="en-US" w:eastAsia="de-DE" w:bidi="en-US"/>
              </w:rPr>
              <w:t xml:space="preserve">Winogradskyella </w:t>
            </w:r>
          </w:p>
        </w:tc>
        <w:tc>
          <w:tcPr>
            <w:tcW w:w="4151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color w:val="000000"/>
                <w:sz w:val="18"/>
                <w:szCs w:val="1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0CCA59A" wp14:editId="75F9EB98">
                      <wp:simplePos x="0" y="0"/>
                      <wp:positionH relativeFrom="column">
                        <wp:posOffset>167894</wp:posOffset>
                      </wp:positionH>
                      <wp:positionV relativeFrom="paragraph">
                        <wp:posOffset>227457</wp:posOffset>
                      </wp:positionV>
                      <wp:extent cx="213360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336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0046B02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.2pt,17.9pt" to="181.2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1D48AA"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napToGrid w:val="0"/>
                <w:color w:val="000000"/>
                <w:sz w:val="18"/>
                <w:szCs w:val="18"/>
                <w:lang w:val="en-US" w:eastAsia="de-DE" w:bidi="en-US"/>
              </w:rPr>
              <w:t>Erythrobacter</w:t>
            </w:r>
            <w:r w:rsidRPr="001D48AA"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color w:val="000000"/>
                <w:sz w:val="18"/>
                <w:szCs w:val="18"/>
                <w:lang w:val="en-GB" w:eastAsia="en-GB"/>
              </w:rPr>
              <w:t xml:space="preserve"> </w:t>
            </w:r>
          </w:p>
        </w:tc>
      </w:tr>
      <w:tr w:rsidR="001D48AA" w:rsidRPr="001D48AA" w:rsidTr="00786BCE">
        <w:trPr>
          <w:trHeight w:val="176"/>
        </w:trPr>
        <w:tc>
          <w:tcPr>
            <w:tcW w:w="212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E7E6E6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US" w:eastAsia="de-DE" w:bidi="en-US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color w:val="000000"/>
                <w:sz w:val="18"/>
                <w:szCs w:val="1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D020BB" wp14:editId="3E8458CF">
                      <wp:simplePos x="0" y="0"/>
                      <wp:positionH relativeFrom="column">
                        <wp:posOffset>-446405</wp:posOffset>
                      </wp:positionH>
                      <wp:positionV relativeFrom="paragraph">
                        <wp:posOffset>-10160</wp:posOffset>
                      </wp:positionV>
                      <wp:extent cx="1653436" cy="0"/>
                      <wp:effectExtent l="0" t="0" r="2349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53436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CE31C6E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15pt,-.8pt" to="95.05pt,-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b/>
                <w:noProof/>
                <w:snapToGrid w:val="0"/>
                <w:color w:val="000000"/>
                <w:sz w:val="18"/>
                <w:szCs w:val="18"/>
                <w:lang w:val="en-GB" w:eastAsia="de-DE" w:bidi="en-US"/>
              </w:rPr>
              <w:t>10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Susceptibility to: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Polymyxin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Gentamycin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Oxytetracycline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Ampicillin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Chloramphenicol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Spectinomycin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Kanamycin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Cephalosporin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Fusidic acid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Bacitracin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Thiostrepton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Trimethoprim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Erythromycin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Tetracycline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Vancomycin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Amikacin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Nalidixic acid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+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Penicillin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 xml:space="preserve">Streptomycin 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Lincomycin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⸸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-‡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Troleandomycin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Rifamycin SV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Minocycline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</w:tr>
      <w:tr w:rsidR="001D48AA" w:rsidRPr="001D48AA" w:rsidTr="00786BCE">
        <w:trPr>
          <w:trHeight w:val="293"/>
        </w:trPr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Aztreonam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  <w:r w:rsidRPr="001D48AA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sz w:val="16"/>
                <w:szCs w:val="16"/>
                <w:lang w:val="en-GB" w:eastAsia="de-DE" w:bidi="en-US"/>
              </w:rPr>
              <w:t>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+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ND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  <w:t>-**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-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D48AA" w:rsidRPr="001D48AA" w:rsidRDefault="001D48AA" w:rsidP="001D48AA">
            <w:pPr>
              <w:adjustRightInd w:val="0"/>
              <w:snapToGrid w:val="0"/>
              <w:spacing w:after="0" w:line="260" w:lineRule="atLeast"/>
              <w:jc w:val="center"/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lang w:val="en-US" w:eastAsia="de-DE" w:bidi="en-US"/>
              </w:rPr>
            </w:pPr>
            <w:r w:rsidRPr="001D48AA">
              <w:rPr>
                <w:rFonts w:ascii="Times New Roman" w:eastAsia="Calibri" w:hAnsi="Times New Roman" w:cs="Times New Roman"/>
                <w:noProof/>
                <w:snapToGrid w:val="0"/>
                <w:color w:val="000000"/>
                <w:sz w:val="16"/>
                <w:szCs w:val="16"/>
                <w:rtl/>
                <w:lang w:val="en-US" w:eastAsia="de-DE" w:bidi="en-US"/>
              </w:rPr>
              <w:t>+</w:t>
            </w:r>
          </w:p>
        </w:tc>
      </w:tr>
    </w:tbl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</w:pP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>+, positive; -, negative; ND, no data</w:t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4FE3D9" wp14:editId="71E4F630">
                <wp:simplePos x="0" y="0"/>
                <wp:positionH relativeFrom="column">
                  <wp:posOffset>567680</wp:posOffset>
                </wp:positionH>
                <wp:positionV relativeFrom="paragraph">
                  <wp:posOffset>360355</wp:posOffset>
                </wp:positionV>
                <wp:extent cx="368834" cy="330413"/>
                <wp:effectExtent l="0" t="0" r="1270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834" cy="3304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D48AA" w:rsidRPr="004B2464" w:rsidRDefault="001D48AA" w:rsidP="001D48AA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FE3D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4.7pt;margin-top:28.35pt;width:29.05pt;height: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" fillcolor="window" strokecolor="window" strokeweight="1pt">
                <v:textbox>
                  <w:txbxContent>
                    <w:p w:rsidR="001D48AA" w:rsidRPr="004B2464" w:rsidRDefault="001D48AA" w:rsidP="001D48AA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  <w:drawing>
          <wp:inline distT="0" distB="0" distL="0" distR="0" wp14:anchorId="77C5811A" wp14:editId="6EF6B169">
            <wp:extent cx="5148302" cy="2404686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083" cy="2419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0109CD" wp14:editId="07E1AC4E">
                <wp:simplePos x="0" y="0"/>
                <wp:positionH relativeFrom="column">
                  <wp:posOffset>558714</wp:posOffset>
                </wp:positionH>
                <wp:positionV relativeFrom="paragraph">
                  <wp:posOffset>321326</wp:posOffset>
                </wp:positionV>
                <wp:extent cx="368834" cy="330413"/>
                <wp:effectExtent l="0" t="0" r="12700" b="127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834" cy="3304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1D48AA" w:rsidRPr="004B2464" w:rsidRDefault="001D48AA" w:rsidP="001D48AA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109CD" id="Text Box 9" o:spid="_x0000_s1027" type="#_x0000_t202" style="position:absolute;left:0;text-align:left;margin-left:44pt;margin-top:25.3pt;width:29.05pt;height: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" fillcolor="window" strokecolor="window" strokeweight=".5pt">
                <v:textbox>
                  <w:txbxContent>
                    <w:p w:rsidR="001D48AA" w:rsidRPr="004B2464" w:rsidRDefault="001D48AA" w:rsidP="001D48AA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  <w:drawing>
          <wp:inline distT="0" distB="0" distL="0" distR="0" wp14:anchorId="779BF3F7" wp14:editId="34EB3D72">
            <wp:extent cx="5129362" cy="2443523"/>
            <wp:effectExtent l="0" t="0" r="0" b="0"/>
            <wp:docPr id="25" name="Picture 25" descr="U:\article HANI\WHY3-WH158-WH131\RAST nmpdr\WH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:\article HANI\WHY3-WH158-WH131\RAST nmpdr\WH13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997" cy="2453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A11BDA" wp14:editId="22B64114">
                <wp:simplePos x="0" y="0"/>
                <wp:positionH relativeFrom="column">
                  <wp:posOffset>558725</wp:posOffset>
                </wp:positionH>
                <wp:positionV relativeFrom="paragraph">
                  <wp:posOffset>395819</wp:posOffset>
                </wp:positionV>
                <wp:extent cx="368834" cy="330413"/>
                <wp:effectExtent l="0" t="0" r="12700" b="1270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834" cy="3304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1D48AA" w:rsidRPr="004B2464" w:rsidRDefault="001D48AA" w:rsidP="001D48AA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11BDA" id="Text Box 15" o:spid="_x0000_s1028" type="#_x0000_t202" style="position:absolute;left:0;text-align:left;margin-left:44pt;margin-top:31.15pt;width:29.05pt;height:2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" fillcolor="window" strokecolor="window" strokeweight=".5pt">
                <v:textbox>
                  <w:txbxContent>
                    <w:p w:rsidR="001D48AA" w:rsidRPr="004B2464" w:rsidRDefault="001D48AA" w:rsidP="001D48AA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(c)</w:t>
                      </w:r>
                    </w:p>
                  </w:txbxContent>
                </v:textbox>
              </v:shape>
            </w:pict>
          </mc:Fallback>
        </mc:AlternateContent>
      </w: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en-GB"/>
        </w:rPr>
        <w:drawing>
          <wp:inline distT="0" distB="0" distL="0" distR="0" wp14:anchorId="44EB6FA9" wp14:editId="1727869B">
            <wp:extent cx="5218849" cy="2489627"/>
            <wp:effectExtent l="0" t="0" r="1270" b="6350"/>
            <wp:docPr id="26" name="Picture 26" descr="U:\article HANI\WHY3-WH158-WH131\RAST nmpdr\WH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:\article HANI\WHY3-WH158-WH131\RAST nmpdr\WH15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378" cy="250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16"/>
          <w:szCs w:val="16"/>
          <w:lang w:val="en-GB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16"/>
          <w:szCs w:val="16"/>
          <w:lang w:val="en-GB" w:eastAsia="zh-CN"/>
        </w:rPr>
      </w:pPr>
      <w:r w:rsidRPr="001D48AA">
        <w:rPr>
          <w:rFonts w:ascii="Times New Roman" w:eastAsia="SimSun" w:hAnsi="Times New Roman" w:cs="Times New Roman"/>
          <w:b/>
          <w:bCs/>
          <w:noProof/>
          <w:color w:val="000000"/>
          <w:sz w:val="16"/>
          <w:szCs w:val="16"/>
          <w:lang w:val="en-US" w:eastAsia="zh-CN"/>
        </w:rPr>
        <w:t>Fig. S3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US" w:eastAsia="zh-CN"/>
        </w:rPr>
        <w:t xml:space="preserve">. 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RAST Subsystem category (https://rast.nmpdr.org) of the draft genome of strains (a), </w:t>
      </w:r>
      <w:r w:rsidRPr="001D48AA">
        <w:rPr>
          <w:rFonts w:ascii="Times New Roman" w:eastAsia="SimSun" w:hAnsi="Times New Roman" w:cs="Times New Roman"/>
          <w:i/>
          <w:iCs/>
          <w:noProof/>
          <w:color w:val="000000"/>
          <w:sz w:val="16"/>
          <w:szCs w:val="16"/>
          <w:lang w:val="en-GB" w:eastAsia="zh-CN"/>
        </w:rPr>
        <w:t xml:space="preserve">Winogradskyella luteola 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 WHY3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GB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>; (b)</w:t>
      </w:r>
      <w:r w:rsidRPr="001D48AA">
        <w:rPr>
          <w:rFonts w:ascii="Times New Roman" w:eastAsia="SimSun" w:hAnsi="Times New Roman" w:cs="Times New Roman"/>
          <w:i/>
          <w:iCs/>
          <w:noProof/>
          <w:color w:val="000000"/>
          <w:sz w:val="16"/>
          <w:szCs w:val="16"/>
          <w:lang w:val="en-GB" w:eastAsia="zh-CN"/>
        </w:rPr>
        <w:t>, Erythrobacter ani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 WH131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GB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; (c), </w:t>
      </w:r>
      <w:r w:rsidRPr="001D48AA">
        <w:rPr>
          <w:rFonts w:ascii="Times New Roman" w:eastAsia="SimSun" w:hAnsi="Times New Roman" w:cs="Times New Roman"/>
          <w:i/>
          <w:iCs/>
          <w:noProof/>
          <w:color w:val="000000"/>
          <w:sz w:val="16"/>
          <w:szCs w:val="16"/>
          <w:lang w:val="en-GB" w:eastAsia="zh-CN"/>
        </w:rPr>
        <w:t>Erythrobacter crassostrea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 WH158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GB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>.</w:t>
      </w:r>
    </w:p>
    <w:p w:rsid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</w:p>
    <w:p w:rsid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</w:p>
    <w:p w:rsid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</w:pPr>
      <w:r w:rsidRPr="001D48AA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val="en-GB" w:eastAsia="zh-CN"/>
        </w:rPr>
        <w:lastRenderedPageBreak/>
        <w:t>Table S2</w:t>
      </w:r>
    </w:p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</w:pP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RAST analysis result (https://rast.nmpdr.org) of the draft genome of strains 1, </w:t>
      </w:r>
      <w:r w:rsidRPr="001D48AA">
        <w:rPr>
          <w:rFonts w:ascii="Times New Roman" w:eastAsia="SimSun" w:hAnsi="Times New Roman" w:cs="Times New Roman"/>
          <w:i/>
          <w:iCs/>
          <w:noProof/>
          <w:color w:val="000000"/>
          <w:sz w:val="16"/>
          <w:szCs w:val="16"/>
          <w:lang w:val="en-GB" w:eastAsia="zh-CN"/>
        </w:rPr>
        <w:t xml:space="preserve">Winogradskyella luteola 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>WHY3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GB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; 2, </w:t>
      </w:r>
      <w:r w:rsidRPr="001D48AA">
        <w:rPr>
          <w:rFonts w:ascii="Times New Roman" w:eastAsia="SimSun" w:hAnsi="Times New Roman" w:cs="Times New Roman"/>
          <w:i/>
          <w:iCs/>
          <w:noProof/>
          <w:color w:val="000000"/>
          <w:sz w:val="16"/>
          <w:szCs w:val="16"/>
          <w:lang w:val="en-GB" w:eastAsia="zh-CN"/>
        </w:rPr>
        <w:t>Erythrobacter ani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 WH131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GB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; 3, </w:t>
      </w:r>
      <w:r w:rsidRPr="001D48AA">
        <w:rPr>
          <w:rFonts w:ascii="Times New Roman" w:eastAsia="SimSun" w:hAnsi="Times New Roman" w:cs="Times New Roman"/>
          <w:i/>
          <w:iCs/>
          <w:noProof/>
          <w:color w:val="000000"/>
          <w:sz w:val="16"/>
          <w:szCs w:val="16"/>
          <w:lang w:val="en-GB" w:eastAsia="zh-CN"/>
        </w:rPr>
        <w:t>Erythrobacter crassostrea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 xml:space="preserve"> WH158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vertAlign w:val="superscript"/>
          <w:lang w:val="en-GB" w:eastAsia="zh-CN"/>
        </w:rPr>
        <w:t>T</w:t>
      </w:r>
      <w:r w:rsidRPr="001D48AA">
        <w:rPr>
          <w:rFonts w:ascii="Times New Roman" w:eastAsia="SimSun" w:hAnsi="Times New Roman" w:cs="Times New Roman"/>
          <w:noProof/>
          <w:color w:val="000000"/>
          <w:sz w:val="16"/>
          <w:szCs w:val="16"/>
          <w:lang w:val="en-GB" w:eastAsia="zh-CN"/>
        </w:rPr>
        <w:t>.</w:t>
      </w: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8"/>
        <w:gridCol w:w="938"/>
        <w:gridCol w:w="938"/>
        <w:gridCol w:w="938"/>
      </w:tblGrid>
      <w:tr w:rsidR="001D48AA" w:rsidRPr="001D48AA" w:rsidTr="00786BCE">
        <w:trPr>
          <w:tblHeader/>
        </w:trPr>
        <w:tc>
          <w:tcPr>
            <w:tcW w:w="6632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  <w:t>Subsystem Feature</w:t>
            </w:r>
          </w:p>
        </w:tc>
        <w:tc>
          <w:tcPr>
            <w:tcW w:w="972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</w:tc>
        <w:tc>
          <w:tcPr>
            <w:tcW w:w="972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/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b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Cofactors, Vitamins, Prosthetic Groups, Pigments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Biotin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Cofactors, Vitamins, Prosthetic Groups, Pigments - no subcategory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Tetrapyrroles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Riboflavin, FMN, FAD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Pyridoxine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NAD and NADP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Folate and pterines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Coenzyme A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Quinone cofactors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Cell Wall and Capsule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Gram-Negative cell wall components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Cell Wall and Capsule - no subcategory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Capsular and extracellular polysacchrides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Gram-Positive cell wall components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Cell wall of Mycobacteria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Virulence, Disease, and Defense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Resistance to antibiotics and toxic compounds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Invasion and intracellular resistance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Potassium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Potassium metabolism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Photosynthesis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Light-harvesting complexes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Miscellaneous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Plant-Prokaryote DOE project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Miscellaneous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Phages, Prophages, Transposable elements, Plasmids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Phages, Prophages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Membrane Transport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Protein secretion system, Type II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Protein translocation across cytoplasmic membrane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Cation transporters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Uni- Sym- and Antiporters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Membrane Transport - no subcategory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TRAP transporters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Protein and nucleoprotein secretion system, Type IV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RNA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RNA processing and modification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Transcription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23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Nucleosides and Nucleotides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Pyrimidines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Purines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Nucleosides and Nucleotides - no subcategory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Detoxification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  <w:t xml:space="preserve">Protein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  <w:t xml:space="preserve">Protein folding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  <w:t xml:space="preserve">Selenoproteins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de-DE" w:eastAsia="de-DE" w:bidi="en-US"/>
              </w:rPr>
              <w:t xml:space="preserve">Protein biosynthesis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Protein processing and modification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Protein degradation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164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14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 xml:space="preserve">Cell Division and Cell Cycle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Motility and Chemotaxis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Flagellar motility in Prokaryota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17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Regulation and Cell signaling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Regulation and Cell signaling - no subcategory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Programmed Cell Death and Toxin-antitoxin Systems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Secondary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Biosynthesis of phenylpropanoids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Plant Hormones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Secondary Metabolism - no subcategory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Plant Alkaloids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DNA Metabolism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DNA repair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CRISPs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DNA Metabolism - no subcategory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DNA replication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DNA uptake, competence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Fatty Acids, Lipids, and Isoprenoids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Isoprenoids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Phospholipids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Triacylglycerols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Fatty acids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Fatty Acids, Lipids, and Isoprenoids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23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19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Nitrogen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Nitrogen Metabolism - no subcategory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Denitrification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Dormancy and Sporulation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Dormancy and Sporulation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Respiration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ATP synthases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Biotin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Electron accepting reactions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Electron donating reactions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Respiration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22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Stress Response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Osmotic stress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Oxidative stress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Detoxification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Stress Response - no subcategory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Periplasmic Stress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Metabolism of Aromatic Compounds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Peripheral pathways for catabolism of aromatic compounds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Metabolism of central aromatic intermediates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Metabolism of Aromatic Compounds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Amino Acids and Derivatives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Amino Acids and Derivatives - no subcategory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Glutamine, glutamate, aspartate, asparagine; ammonia assimilation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Histidine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Arginine; urea cycle, polyamines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Lysine, threonine, methionine, and cysteine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Branched-chain amino acids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Aromatic amino acids and derivatives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Proline and 4-hydroxyproline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 xml:space="preserve">Alanine, serine, and glycine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>169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>38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>214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17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>32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>158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>30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lastRenderedPageBreak/>
              <w:t xml:space="preserve">Sulfur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Sulfur Metabolism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Phosphorus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Phosphorus Metabolism - no subcategory 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16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Carbohydrates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Carbohydrates - no subcategory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Central carbohydrate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Di- and oligosaccharides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One-carbon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Organic acids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Fermentation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Sugar alcohols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Monosaccharides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CO2 fixation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Polysaccharides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136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68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4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3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5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9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</w:tr>
      <w:tr w:rsidR="001D48AA" w:rsidRPr="001D48AA" w:rsidTr="00786BCE"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 xml:space="preserve">Iron acquisition and metabolism 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Iron acquisition and metabolism - no subcategory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1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  <w:p w:rsidR="001D48AA" w:rsidRPr="001D48AA" w:rsidRDefault="001D48AA" w:rsidP="001D48AA">
            <w:pPr>
              <w:adjustRightInd w:val="0"/>
              <w:snapToGrid w:val="0"/>
              <w:spacing w:line="260" w:lineRule="atLeast"/>
              <w:jc w:val="center"/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</w:pPr>
            <w:r w:rsidRPr="001D48AA">
              <w:rPr>
                <w:rFonts w:ascii="Times New Roman" w:eastAsia="Times New Roman" w:hAnsi="Times New Roman"/>
                <w:noProof/>
                <w:snapToGrid w:val="0"/>
                <w:color w:val="000000"/>
                <w:lang w:val="en-US" w:eastAsia="de-DE" w:bidi="en-US"/>
              </w:rPr>
              <w:t>2</w:t>
            </w:r>
          </w:p>
        </w:tc>
      </w:tr>
    </w:tbl>
    <w:p w:rsidR="001D48AA" w:rsidRPr="001D48AA" w:rsidRDefault="001D48AA" w:rsidP="001D48AA">
      <w:pPr>
        <w:tabs>
          <w:tab w:val="left" w:pos="2278"/>
        </w:tabs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GB" w:eastAsia="zh-CN"/>
        </w:rPr>
      </w:pPr>
    </w:p>
    <w:p w:rsidR="001D48AA" w:rsidRPr="001D48AA" w:rsidRDefault="001D48AA" w:rsidP="001D48AA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val="en-US" w:eastAsia="zh-CN"/>
        </w:rPr>
      </w:pPr>
    </w:p>
    <w:p w:rsidR="00C64A5E" w:rsidRPr="001D48AA" w:rsidRDefault="00C64A5E">
      <w:pPr>
        <w:rPr>
          <w:lang w:val="en-GB"/>
        </w:rPr>
      </w:pPr>
      <w:bookmarkStart w:id="0" w:name="_GoBack"/>
      <w:bookmarkEnd w:id="0"/>
    </w:p>
    <w:sectPr w:rsidR="00C64A5E" w:rsidRPr="001D48A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3NTA3MDM1tTQ2NzJR0lEKTi0uzszPAykwrgUAlSrQbSwAAAA="/>
  </w:docVars>
  <w:rsids>
    <w:rsidRoot w:val="001D48AA"/>
    <w:rsid w:val="001D48AA"/>
    <w:rsid w:val="00390EC3"/>
    <w:rsid w:val="00570304"/>
    <w:rsid w:val="007B06EF"/>
    <w:rsid w:val="00C6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54040"/>
  <w15:chartTrackingRefBased/>
  <w15:docId w15:val="{60A87DB7-EEA3-4901-8432-297628F5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1D48AA"/>
  </w:style>
  <w:style w:type="table" w:customStyle="1" w:styleId="TableGrid2">
    <w:name w:val="Table Grid2"/>
    <w:basedOn w:val="TableNormal"/>
    <w:next w:val="TableGrid"/>
    <w:uiPriority w:val="39"/>
    <w:rsid w:val="001D48AA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D48AA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achim.Wink@helmholtz-hzi.de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hyperlink" Target="file:///\\neon\hpi19$\article%20HANI\Diversity%20format\peter.schupp@uni-oldenburg.de" TargetMode="Externa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thias.Muesken@helmholtz-hzi.de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Joachim.Wink@helmholtz-hzi.de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hyperlink" Target="mailto:hani.pira.com%20(H.P)" TargetMode="Externa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1241</Words>
  <Characters>7078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Helmholtz-Zentrum für Infektionsforschung GmbH</Company>
  <LinksUpToDate>false</LinksUpToDate>
  <CharactersWithSpaces>8303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Pira, Hani</dc:creator>
  <cp:keywords/>
  <dc:description/>
  <cp:lastModifiedBy>Pira, Hani</cp:lastModifiedBy>
  <cp:revision>2</cp:revision>
  <dcterms:created xsi:type="dcterms:W3CDTF">2022-05-20T10:36:00Z</dcterms:created>
  <dcterms:modified xsi:type="dcterms:W3CDTF">2022-05-20T10:36:00Z</dcterms:modified>
</cp:coreProperties>
</file>