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A0919" w14:textId="38E2D4DA" w:rsidR="000436F3" w:rsidRPr="00E76246" w:rsidRDefault="00E76246">
      <w:pPr>
        <w:rPr>
          <w:rFonts w:ascii="Arial" w:hAnsi="Arial" w:cs="Arial"/>
        </w:rPr>
      </w:pPr>
      <w:r w:rsidRPr="00E76246">
        <w:rPr>
          <w:rFonts w:ascii="Arial" w:hAnsi="Arial" w:cs="Arial"/>
          <w:noProof/>
        </w:rPr>
        <w:drawing>
          <wp:inline distT="0" distB="0" distL="0" distR="0" wp14:anchorId="422688F0" wp14:editId="162F1B4D">
            <wp:extent cx="5753100" cy="28860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45C63" w14:textId="10B29340" w:rsidR="00E76246" w:rsidRPr="00E76246" w:rsidRDefault="00E76246" w:rsidP="00E76246">
      <w:pPr>
        <w:spacing w:line="300" w:lineRule="auto"/>
        <w:rPr>
          <w:rFonts w:ascii="Arial" w:hAnsi="Arial" w:cs="Arial"/>
          <w:sz w:val="24"/>
          <w:szCs w:val="24"/>
        </w:rPr>
      </w:pPr>
      <w:r w:rsidRPr="00E76246">
        <w:rPr>
          <w:rFonts w:ascii="Arial" w:hAnsi="Arial" w:cs="Arial"/>
          <w:b/>
          <w:bCs/>
          <w:sz w:val="24"/>
          <w:szCs w:val="24"/>
        </w:rPr>
        <w:t xml:space="preserve">Figure S1. </w:t>
      </w:r>
      <w:r w:rsidRPr="00E76246">
        <w:rPr>
          <w:rFonts w:ascii="Arial" w:hAnsi="Arial" w:cs="Arial"/>
          <w:sz w:val="24"/>
          <w:szCs w:val="24"/>
        </w:rPr>
        <w:t xml:space="preserve">a) Heatmap showing the methylation profiles of two </w:t>
      </w:r>
      <m:oMath>
        <m:r>
          <w:rPr>
            <w:rFonts w:ascii="Cambria Math" w:hAnsi="Cambria Math" w:cs="Arial"/>
            <w:sz w:val="24"/>
            <w:szCs w:val="24"/>
          </w:rPr>
          <m:t>TED</m:t>
        </m:r>
      </m:oMath>
      <w:r w:rsidRPr="00E76246">
        <w:rPr>
          <w:rFonts w:ascii="Arial" w:hAnsi="Arial" w:cs="Arial"/>
          <w:sz w:val="24"/>
          <w:szCs w:val="24"/>
        </w:rPr>
        <w:t xml:space="preserve"> phenotypes by supervised clustering using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76246">
        <w:rPr>
          <w:rFonts w:ascii="Arial" w:hAnsi="Arial" w:cs="Arial"/>
          <w:sz w:val="24"/>
          <w:szCs w:val="24"/>
        </w:rPr>
        <w:t xml:space="preserve">enhancer signature in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76246">
        <w:rPr>
          <w:rFonts w:ascii="Arial" w:hAnsi="Arial" w:cs="Arial"/>
          <w:sz w:val="24"/>
          <w:szCs w:val="24"/>
        </w:rPr>
        <w:t xml:space="preserve">CCLE </w:t>
      </w:r>
      <w:r w:rsidR="002320AC">
        <w:rPr>
          <w:rFonts w:ascii="Arial" w:hAnsi="Arial" w:cs="Arial"/>
          <w:sz w:val="24"/>
          <w:szCs w:val="24"/>
        </w:rPr>
        <w:t>dataset</w:t>
      </w:r>
      <w:r w:rsidRPr="00E76246">
        <w:rPr>
          <w:rFonts w:ascii="Arial" w:hAnsi="Arial" w:cs="Arial"/>
          <w:sz w:val="24"/>
          <w:szCs w:val="24"/>
        </w:rPr>
        <w:t xml:space="preserve">. b) GSEA plot showing the activated pathways in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TED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+</m:t>
            </m:r>
          </m:sup>
        </m:sSup>
      </m:oMath>
      <w:r w:rsidRPr="00E76246">
        <w:rPr>
          <w:rFonts w:ascii="Arial" w:hAnsi="Arial" w:cs="Arial"/>
          <w:sz w:val="24"/>
          <w:szCs w:val="24"/>
        </w:rPr>
        <w:t xml:space="preserve"> against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TED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</m:sup>
        </m:sSup>
      </m:oMath>
      <w:r w:rsidRPr="00E76246">
        <w:rPr>
          <w:rFonts w:ascii="Arial" w:hAnsi="Arial" w:cs="Arial"/>
          <w:sz w:val="24"/>
          <w:szCs w:val="24"/>
        </w:rPr>
        <w:t xml:space="preserve"> from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76246">
        <w:rPr>
          <w:rFonts w:ascii="Arial" w:hAnsi="Arial" w:cs="Arial"/>
          <w:sz w:val="24"/>
          <w:szCs w:val="24"/>
        </w:rPr>
        <w:t xml:space="preserve">transcription level in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76246">
        <w:rPr>
          <w:rFonts w:ascii="Arial" w:hAnsi="Arial" w:cs="Arial"/>
          <w:sz w:val="24"/>
          <w:szCs w:val="24"/>
        </w:rPr>
        <w:t xml:space="preserve">CCLE </w:t>
      </w:r>
      <w:r w:rsidR="002320AC">
        <w:rPr>
          <w:rFonts w:ascii="Arial" w:hAnsi="Arial" w:cs="Arial"/>
          <w:sz w:val="24"/>
          <w:szCs w:val="24"/>
        </w:rPr>
        <w:t>dataset</w:t>
      </w:r>
      <w:r w:rsidRPr="00E76246">
        <w:rPr>
          <w:rFonts w:ascii="Arial" w:hAnsi="Arial" w:cs="Arial"/>
          <w:sz w:val="24"/>
          <w:szCs w:val="24"/>
        </w:rPr>
        <w:t>.</w:t>
      </w:r>
    </w:p>
    <w:p w14:paraId="710C8356" w14:textId="081779C6" w:rsidR="00E76246" w:rsidRPr="00E76246" w:rsidRDefault="00E76246">
      <w:pPr>
        <w:rPr>
          <w:rFonts w:ascii="Arial" w:hAnsi="Arial" w:cs="Arial"/>
        </w:rPr>
      </w:pPr>
    </w:p>
    <w:p w14:paraId="07A75A67" w14:textId="0EA78843" w:rsidR="00E76246" w:rsidRPr="00E76246" w:rsidRDefault="00E76246">
      <w:pPr>
        <w:rPr>
          <w:rFonts w:ascii="Arial" w:hAnsi="Arial" w:cs="Arial"/>
        </w:rPr>
      </w:pPr>
      <w:r w:rsidRPr="00E76246">
        <w:rPr>
          <w:rFonts w:ascii="Arial" w:hAnsi="Arial" w:cs="Arial"/>
          <w:noProof/>
        </w:rPr>
        <w:drawing>
          <wp:inline distT="0" distB="0" distL="0" distR="0" wp14:anchorId="46295D20" wp14:editId="0B3251EF">
            <wp:extent cx="5753100" cy="40862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6764E" w14:textId="18E666B5" w:rsidR="00E76246" w:rsidRPr="00E76246" w:rsidRDefault="00E76246" w:rsidP="00E76246">
      <w:pPr>
        <w:spacing w:line="300" w:lineRule="auto"/>
        <w:rPr>
          <w:rFonts w:ascii="Arial" w:hAnsi="Arial" w:cs="Arial"/>
          <w:b/>
          <w:bCs/>
          <w:sz w:val="24"/>
          <w:szCs w:val="24"/>
        </w:rPr>
      </w:pPr>
      <w:r w:rsidRPr="00E76246">
        <w:rPr>
          <w:rFonts w:ascii="Arial" w:hAnsi="Arial" w:cs="Arial"/>
          <w:b/>
          <w:bCs/>
          <w:sz w:val="24"/>
          <w:szCs w:val="24"/>
        </w:rPr>
        <w:t xml:space="preserve">Figure S2. </w:t>
      </w:r>
      <w:r w:rsidRPr="00E76246">
        <w:rPr>
          <w:rFonts w:ascii="Arial" w:hAnsi="Arial" w:cs="Arial"/>
          <w:sz w:val="24"/>
          <w:szCs w:val="24"/>
        </w:rPr>
        <w:t xml:space="preserve">Focal copy number deletion identified by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76246">
        <w:rPr>
          <w:rFonts w:ascii="Arial" w:hAnsi="Arial" w:cs="Arial"/>
          <w:sz w:val="24"/>
          <w:szCs w:val="24"/>
        </w:rPr>
        <w:t xml:space="preserve">GISTIC algorithm for a)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TED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+</m:t>
            </m:r>
          </m:sup>
        </m:sSup>
      </m:oMath>
      <w:r w:rsidRPr="00E76246">
        <w:rPr>
          <w:rFonts w:ascii="Arial" w:hAnsi="Arial" w:cs="Arial"/>
          <w:sz w:val="24"/>
          <w:szCs w:val="24"/>
        </w:rPr>
        <w:t xml:space="preserve"> and b)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TED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</m:sup>
        </m:sSup>
      </m:oMath>
      <w:r w:rsidRPr="00E76246">
        <w:rPr>
          <w:rFonts w:ascii="Arial" w:hAnsi="Arial" w:cs="Arial"/>
          <w:sz w:val="24"/>
          <w:szCs w:val="24"/>
        </w:rPr>
        <w:t xml:space="preserve">, respectively, in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76246">
        <w:rPr>
          <w:rFonts w:ascii="Arial" w:hAnsi="Arial" w:cs="Arial"/>
          <w:sz w:val="24"/>
          <w:szCs w:val="24"/>
        </w:rPr>
        <w:t>TCGA-KIRC cohort.</w:t>
      </w:r>
    </w:p>
    <w:p w14:paraId="4C231901" w14:textId="3A7328F8" w:rsidR="00E76246" w:rsidRPr="00E76246" w:rsidRDefault="00E76246">
      <w:pPr>
        <w:rPr>
          <w:rFonts w:ascii="Arial" w:hAnsi="Arial" w:cs="Arial"/>
        </w:rPr>
      </w:pPr>
    </w:p>
    <w:p w14:paraId="6EF79645" w14:textId="3B25E287" w:rsidR="00E76246" w:rsidRPr="00E76246" w:rsidRDefault="00E76246">
      <w:pPr>
        <w:rPr>
          <w:rFonts w:ascii="Arial" w:hAnsi="Arial" w:cs="Arial"/>
        </w:rPr>
      </w:pPr>
      <w:r w:rsidRPr="00E76246">
        <w:rPr>
          <w:rFonts w:ascii="Arial" w:hAnsi="Arial" w:cs="Arial"/>
          <w:noProof/>
        </w:rPr>
        <w:drawing>
          <wp:inline distT="0" distB="0" distL="0" distR="0" wp14:anchorId="41CECEBE" wp14:editId="6A9587B6">
            <wp:extent cx="5753100" cy="41338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4B53" w14:textId="1D1A28FA" w:rsidR="00E76246" w:rsidRPr="00E76246" w:rsidRDefault="00E76246" w:rsidP="00E76246">
      <w:pPr>
        <w:spacing w:line="300" w:lineRule="auto"/>
        <w:rPr>
          <w:rFonts w:ascii="Arial" w:hAnsi="Arial" w:cs="Arial"/>
          <w:b/>
          <w:bCs/>
          <w:sz w:val="24"/>
          <w:szCs w:val="24"/>
        </w:rPr>
      </w:pPr>
      <w:r w:rsidRPr="00E76246">
        <w:rPr>
          <w:rFonts w:ascii="Arial" w:hAnsi="Arial" w:cs="Arial"/>
          <w:b/>
          <w:bCs/>
          <w:sz w:val="24"/>
          <w:szCs w:val="24"/>
        </w:rPr>
        <w:t xml:space="preserve">Figure S3. </w:t>
      </w:r>
      <w:r w:rsidRPr="00E76246">
        <w:rPr>
          <w:rFonts w:ascii="Arial" w:hAnsi="Arial" w:cs="Arial"/>
          <w:sz w:val="24"/>
          <w:szCs w:val="24"/>
        </w:rPr>
        <w:t xml:space="preserve">Heatmap showing the methylation profiles of two </w:t>
      </w:r>
      <m:oMath>
        <m:r>
          <w:rPr>
            <w:rFonts w:ascii="Cambria Math" w:hAnsi="Cambria Math" w:cs="Arial"/>
            <w:sz w:val="24"/>
            <w:szCs w:val="24"/>
          </w:rPr>
          <m:t>TED</m:t>
        </m:r>
      </m:oMath>
      <w:r w:rsidRPr="00E76246">
        <w:rPr>
          <w:rFonts w:ascii="Arial" w:hAnsi="Arial" w:cs="Arial"/>
          <w:sz w:val="24"/>
          <w:szCs w:val="24"/>
        </w:rPr>
        <w:t xml:space="preserve"> phenotypes by supervised clustering using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76246">
        <w:rPr>
          <w:rFonts w:ascii="Arial" w:hAnsi="Arial" w:cs="Arial"/>
          <w:sz w:val="24"/>
          <w:szCs w:val="24"/>
        </w:rPr>
        <w:t>enhancer signature in</w:t>
      </w:r>
      <w:r w:rsidR="00913D06">
        <w:rPr>
          <w:rFonts w:ascii="Arial" w:hAnsi="Arial" w:cs="Arial"/>
          <w:sz w:val="24"/>
          <w:szCs w:val="24"/>
        </w:rPr>
        <w:t xml:space="preserve"> the</w:t>
      </w:r>
      <w:r w:rsidRPr="00E76246">
        <w:rPr>
          <w:rFonts w:ascii="Arial" w:hAnsi="Arial" w:cs="Arial"/>
          <w:sz w:val="24"/>
          <w:szCs w:val="24"/>
        </w:rPr>
        <w:t xml:space="preserve"> immunotherapy arm of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="00E01259">
        <w:rPr>
          <w:rFonts w:ascii="Arial" w:hAnsi="Arial" w:cs="Arial"/>
          <w:sz w:val="24"/>
          <w:szCs w:val="24"/>
        </w:rPr>
        <w:t>BIONIKK</w:t>
      </w:r>
      <w:r w:rsidRPr="00E76246">
        <w:rPr>
          <w:rFonts w:ascii="Arial" w:hAnsi="Arial" w:cs="Arial"/>
          <w:sz w:val="24"/>
          <w:szCs w:val="24"/>
        </w:rPr>
        <w:t xml:space="preserve"> cohort.</w:t>
      </w:r>
    </w:p>
    <w:p w14:paraId="3770375A" w14:textId="700693E6" w:rsidR="00E76246" w:rsidRPr="00E76246" w:rsidRDefault="00E76246">
      <w:pPr>
        <w:rPr>
          <w:rFonts w:ascii="Arial" w:hAnsi="Arial" w:cs="Arial"/>
        </w:rPr>
      </w:pPr>
    </w:p>
    <w:p w14:paraId="4764DCA9" w14:textId="492DDCF2" w:rsidR="00E76246" w:rsidRPr="00E76246" w:rsidRDefault="009E75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D895083" wp14:editId="6CD88331">
            <wp:extent cx="5753100" cy="40957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2DD79" w14:textId="411ACCA0" w:rsidR="00E76246" w:rsidRPr="00E76246" w:rsidRDefault="00E76246" w:rsidP="00E76246">
      <w:pPr>
        <w:spacing w:line="300" w:lineRule="auto"/>
        <w:rPr>
          <w:rFonts w:ascii="Arial" w:hAnsi="Arial" w:cs="Arial"/>
          <w:b/>
          <w:bCs/>
          <w:sz w:val="24"/>
          <w:szCs w:val="24"/>
        </w:rPr>
      </w:pPr>
      <w:r w:rsidRPr="00E76246">
        <w:rPr>
          <w:rFonts w:ascii="Arial" w:hAnsi="Arial" w:cs="Arial"/>
          <w:b/>
          <w:bCs/>
          <w:sz w:val="24"/>
          <w:szCs w:val="24"/>
        </w:rPr>
        <w:t xml:space="preserve">Figure S4. </w:t>
      </w:r>
      <w:r w:rsidRPr="00E76246">
        <w:rPr>
          <w:rFonts w:ascii="Arial" w:hAnsi="Arial" w:cs="Arial"/>
          <w:sz w:val="24"/>
          <w:szCs w:val="24"/>
        </w:rPr>
        <w:t xml:space="preserve">Focal copy number deletion identified by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76246">
        <w:rPr>
          <w:rFonts w:ascii="Arial" w:hAnsi="Arial" w:cs="Arial"/>
          <w:sz w:val="24"/>
          <w:szCs w:val="24"/>
        </w:rPr>
        <w:t xml:space="preserve">GISTIC algorithm for a)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TED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+</m:t>
            </m:r>
          </m:sup>
        </m:sSup>
      </m:oMath>
      <w:r w:rsidRPr="00E76246">
        <w:rPr>
          <w:rFonts w:ascii="Arial" w:hAnsi="Arial" w:cs="Arial"/>
          <w:sz w:val="24"/>
          <w:szCs w:val="24"/>
        </w:rPr>
        <w:t xml:space="preserve"> and b)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TED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</m:sup>
        </m:sSup>
      </m:oMath>
      <w:r w:rsidRPr="00E76246">
        <w:rPr>
          <w:rFonts w:ascii="Arial" w:hAnsi="Arial" w:cs="Arial"/>
          <w:sz w:val="24"/>
          <w:szCs w:val="24"/>
        </w:rPr>
        <w:t>, respectively, in</w:t>
      </w:r>
      <w:r w:rsidR="00913D06">
        <w:rPr>
          <w:rFonts w:ascii="Arial" w:hAnsi="Arial" w:cs="Arial"/>
          <w:sz w:val="24"/>
          <w:szCs w:val="24"/>
        </w:rPr>
        <w:t xml:space="preserve"> the</w:t>
      </w:r>
      <w:r w:rsidRPr="00E76246">
        <w:rPr>
          <w:rFonts w:ascii="Arial" w:hAnsi="Arial" w:cs="Arial"/>
          <w:sz w:val="24"/>
          <w:szCs w:val="24"/>
        </w:rPr>
        <w:t xml:space="preserve"> immunotherapy arm of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="00E01259">
        <w:rPr>
          <w:rFonts w:ascii="Arial" w:hAnsi="Arial" w:cs="Arial"/>
          <w:sz w:val="24"/>
          <w:szCs w:val="24"/>
        </w:rPr>
        <w:t>BIONIKK</w:t>
      </w:r>
      <w:r w:rsidRPr="00E76246">
        <w:rPr>
          <w:rFonts w:ascii="Arial" w:hAnsi="Arial" w:cs="Arial"/>
          <w:sz w:val="24"/>
          <w:szCs w:val="24"/>
        </w:rPr>
        <w:t xml:space="preserve"> cohort.</w:t>
      </w:r>
    </w:p>
    <w:p w14:paraId="5A4AFBCD" w14:textId="649F77D3" w:rsidR="00E76246" w:rsidRPr="00E76246" w:rsidRDefault="00E76246">
      <w:pPr>
        <w:rPr>
          <w:rFonts w:ascii="Arial" w:hAnsi="Arial" w:cs="Arial"/>
        </w:rPr>
      </w:pPr>
    </w:p>
    <w:p w14:paraId="54C4B417" w14:textId="3D1D130E" w:rsidR="00E76246" w:rsidRPr="00E76246" w:rsidRDefault="00EA07B6" w:rsidP="00EA07B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E04C082" wp14:editId="7BFF82FE">
            <wp:extent cx="4629150" cy="7043359"/>
            <wp:effectExtent l="0" t="0" r="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365" cy="704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D30CF" w14:textId="4C055951" w:rsidR="00E76246" w:rsidRPr="00E76246" w:rsidRDefault="00E76246" w:rsidP="00E76246">
      <w:pPr>
        <w:spacing w:line="300" w:lineRule="auto"/>
        <w:rPr>
          <w:rFonts w:ascii="Arial" w:hAnsi="Arial" w:cs="Arial"/>
          <w:b/>
          <w:bCs/>
          <w:sz w:val="24"/>
          <w:szCs w:val="24"/>
        </w:rPr>
      </w:pPr>
      <w:r w:rsidRPr="00E76246">
        <w:rPr>
          <w:rFonts w:ascii="Arial" w:hAnsi="Arial" w:cs="Arial"/>
          <w:b/>
          <w:bCs/>
          <w:sz w:val="24"/>
          <w:szCs w:val="24"/>
        </w:rPr>
        <w:t xml:space="preserve">Figure S5. </w:t>
      </w:r>
      <w:r w:rsidR="00EA07B6" w:rsidRPr="00EA07B6">
        <w:rPr>
          <w:rFonts w:ascii="Arial" w:hAnsi="Arial" w:cs="Arial"/>
          <w:sz w:val="24"/>
          <w:szCs w:val="24"/>
        </w:rPr>
        <w:t xml:space="preserve">a) </w:t>
      </w:r>
      <w:r w:rsidRPr="00E76246">
        <w:rPr>
          <w:rFonts w:ascii="Arial" w:hAnsi="Arial" w:cs="Arial"/>
          <w:sz w:val="24"/>
          <w:szCs w:val="24"/>
        </w:rPr>
        <w:t xml:space="preserve">Genomic location from transcription </w:t>
      </w:r>
      <w:proofErr w:type="gramStart"/>
      <w:r w:rsidRPr="00E76246">
        <w:rPr>
          <w:rFonts w:ascii="Arial" w:hAnsi="Arial" w:cs="Arial"/>
          <w:sz w:val="24"/>
          <w:szCs w:val="24"/>
        </w:rPr>
        <w:t>start</w:t>
      </w:r>
      <w:proofErr w:type="gramEnd"/>
      <w:r w:rsidRPr="00E76246">
        <w:rPr>
          <w:rFonts w:ascii="Arial" w:hAnsi="Arial" w:cs="Arial"/>
          <w:sz w:val="24"/>
          <w:szCs w:val="24"/>
        </w:rPr>
        <w:t xml:space="preserve"> site (TSS) demonstrated by GREAT analysis for 875 consensus hypomethylated probes from meta-analysis.</w:t>
      </w:r>
      <w:r w:rsidR="00EA07B6">
        <w:rPr>
          <w:rFonts w:ascii="Arial" w:hAnsi="Arial" w:cs="Arial"/>
          <w:sz w:val="24"/>
          <w:szCs w:val="24"/>
        </w:rPr>
        <w:t xml:space="preserve"> b) </w:t>
      </w:r>
      <w:r w:rsidR="00EA07B6" w:rsidRPr="0014144D">
        <w:rPr>
          <w:rFonts w:ascii="Arial" w:hAnsi="Arial" w:cs="Arial"/>
          <w:sz w:val="24"/>
          <w:szCs w:val="24"/>
        </w:rPr>
        <w:t>Scatter plot showing Pearson’s correlation between</w:t>
      </w:r>
      <w:r w:rsidR="00913D06">
        <w:rPr>
          <w:rFonts w:ascii="Arial" w:hAnsi="Arial" w:cs="Arial"/>
          <w:sz w:val="24"/>
          <w:szCs w:val="24"/>
        </w:rPr>
        <w:t xml:space="preserve"> the</w:t>
      </w:r>
      <w:r w:rsidR="00EA07B6" w:rsidRPr="0014144D">
        <w:rPr>
          <w:rFonts w:ascii="Arial" w:hAnsi="Arial" w:cs="Arial"/>
          <w:sz w:val="24"/>
          <w:szCs w:val="24"/>
        </w:rPr>
        <w:t xml:space="preserve"> </w:t>
      </w:r>
      <w:r w:rsidR="00EA07B6">
        <w:rPr>
          <w:rFonts w:ascii="Arial" w:hAnsi="Arial" w:cs="Arial"/>
          <w:i/>
          <w:iCs/>
          <w:sz w:val="24"/>
          <w:szCs w:val="24"/>
        </w:rPr>
        <w:t>JAK3</w:t>
      </w:r>
      <w:r w:rsidR="00EA07B6" w:rsidRPr="0014144D">
        <w:rPr>
          <w:rFonts w:ascii="Arial" w:hAnsi="Arial" w:cs="Arial"/>
          <w:sz w:val="24"/>
          <w:szCs w:val="24"/>
        </w:rPr>
        <w:t xml:space="preserve"> associated promoter probe of cg</w:t>
      </w:r>
      <w:r w:rsidR="00EA07B6">
        <w:rPr>
          <w:rFonts w:ascii="Arial" w:hAnsi="Arial" w:cs="Arial"/>
          <w:sz w:val="24"/>
          <w:szCs w:val="24"/>
        </w:rPr>
        <w:t>04557677</w:t>
      </w:r>
      <w:r w:rsidR="00EA07B6" w:rsidRPr="0014144D">
        <w:rPr>
          <w:rFonts w:ascii="Arial" w:hAnsi="Arial" w:cs="Arial"/>
          <w:sz w:val="24"/>
          <w:szCs w:val="24"/>
        </w:rPr>
        <w:t xml:space="preserve"> and gene expression in</w:t>
      </w:r>
      <w:r w:rsidR="00913D06">
        <w:rPr>
          <w:rFonts w:ascii="Arial" w:hAnsi="Arial" w:cs="Arial"/>
          <w:sz w:val="24"/>
          <w:szCs w:val="24"/>
        </w:rPr>
        <w:t xml:space="preserve"> the</w:t>
      </w:r>
      <w:r w:rsidR="00EA07B6" w:rsidRPr="0014144D">
        <w:rPr>
          <w:rFonts w:ascii="Arial" w:hAnsi="Arial" w:cs="Arial"/>
          <w:sz w:val="24"/>
          <w:szCs w:val="24"/>
        </w:rPr>
        <w:t xml:space="preserve"> TCGA-KIRC cohort. </w:t>
      </w:r>
      <w:r w:rsidR="00B04DE7">
        <w:rPr>
          <w:rFonts w:ascii="Arial" w:hAnsi="Arial" w:cs="Arial"/>
          <w:sz w:val="24"/>
          <w:szCs w:val="24"/>
        </w:rPr>
        <w:t>c</w:t>
      </w:r>
      <w:r w:rsidR="00EA07B6" w:rsidRPr="0014144D">
        <w:rPr>
          <w:rFonts w:ascii="Arial" w:hAnsi="Arial" w:cs="Arial"/>
          <w:sz w:val="24"/>
          <w:szCs w:val="24"/>
        </w:rPr>
        <w:t xml:space="preserve">) Boxplot showing distribution of </w:t>
      </w:r>
      <w:r w:rsidR="00EA07B6">
        <w:rPr>
          <w:rFonts w:ascii="Arial" w:hAnsi="Arial" w:cs="Arial"/>
          <w:i/>
          <w:iCs/>
          <w:sz w:val="24"/>
          <w:szCs w:val="24"/>
        </w:rPr>
        <w:t>JAK3</w:t>
      </w:r>
      <w:r w:rsidR="00EA07B6" w:rsidRPr="0014144D">
        <w:rPr>
          <w:rFonts w:ascii="Arial" w:hAnsi="Arial" w:cs="Arial"/>
          <w:sz w:val="24"/>
          <w:szCs w:val="24"/>
        </w:rPr>
        <w:t xml:space="preserve"> expression between cg</w:t>
      </w:r>
      <w:r w:rsidR="00EA07B6">
        <w:rPr>
          <w:rFonts w:ascii="Arial" w:hAnsi="Arial" w:cs="Arial"/>
          <w:sz w:val="24"/>
          <w:szCs w:val="24"/>
        </w:rPr>
        <w:t>04557677</w:t>
      </w:r>
      <w:r w:rsidR="00EA07B6" w:rsidRPr="0014144D">
        <w:rPr>
          <w:rFonts w:ascii="Arial" w:hAnsi="Arial" w:cs="Arial"/>
          <w:sz w:val="24"/>
          <w:szCs w:val="24"/>
        </w:rPr>
        <w:t xml:space="preserve"> methylated and unmethylated samples in</w:t>
      </w:r>
      <w:r w:rsidR="00913D06">
        <w:rPr>
          <w:rFonts w:ascii="Arial" w:hAnsi="Arial" w:cs="Arial"/>
          <w:sz w:val="24"/>
          <w:szCs w:val="24"/>
        </w:rPr>
        <w:t xml:space="preserve"> the</w:t>
      </w:r>
      <w:r w:rsidR="00EA07B6" w:rsidRPr="0014144D">
        <w:rPr>
          <w:rFonts w:ascii="Arial" w:hAnsi="Arial" w:cs="Arial"/>
          <w:sz w:val="24"/>
          <w:szCs w:val="24"/>
        </w:rPr>
        <w:t xml:space="preserve"> TCGA-KIRC cohort.</w:t>
      </w:r>
    </w:p>
    <w:p w14:paraId="280694CA" w14:textId="55EE8D20" w:rsidR="00E76246" w:rsidRDefault="00E76246">
      <w:pPr>
        <w:rPr>
          <w:rFonts w:ascii="Arial" w:hAnsi="Arial" w:cs="Arial"/>
        </w:rPr>
      </w:pPr>
    </w:p>
    <w:p w14:paraId="3BA8E6C8" w14:textId="31062C08" w:rsidR="00D34209" w:rsidRDefault="009E7546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A5191F3" wp14:editId="10D40666">
            <wp:extent cx="5753100" cy="406717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E9DC6" w14:textId="2644056E" w:rsidR="00D34209" w:rsidRPr="00A53756" w:rsidRDefault="00D34209" w:rsidP="00D34209">
      <w:pPr>
        <w:spacing w:line="300" w:lineRule="auto"/>
        <w:rPr>
          <w:rFonts w:ascii="Arial" w:hAnsi="Arial" w:cs="Arial"/>
          <w:b/>
          <w:bCs/>
          <w:sz w:val="24"/>
          <w:szCs w:val="24"/>
        </w:rPr>
      </w:pPr>
      <w:r w:rsidRPr="00A53756">
        <w:rPr>
          <w:rFonts w:ascii="Arial" w:hAnsi="Arial" w:cs="Arial" w:hint="eastAsia"/>
          <w:b/>
          <w:bCs/>
          <w:sz w:val="24"/>
          <w:szCs w:val="24"/>
        </w:rPr>
        <w:t>F</w:t>
      </w:r>
      <w:r w:rsidRPr="00A53756">
        <w:rPr>
          <w:rFonts w:ascii="Arial" w:hAnsi="Arial" w:cs="Arial"/>
          <w:b/>
          <w:bCs/>
          <w:sz w:val="24"/>
          <w:szCs w:val="24"/>
        </w:rPr>
        <w:t xml:space="preserve">igure S6. </w:t>
      </w:r>
      <w:r w:rsidRPr="00E17D8C">
        <w:rPr>
          <w:rFonts w:ascii="Arial" w:hAnsi="Arial" w:cs="Arial"/>
          <w:sz w:val="24"/>
          <w:szCs w:val="24"/>
        </w:rPr>
        <w:t>Box</w:t>
      </w:r>
      <w:r w:rsidR="00913D06">
        <w:rPr>
          <w:rFonts w:ascii="Arial" w:hAnsi="Arial" w:cs="Arial"/>
          <w:sz w:val="24"/>
          <w:szCs w:val="24"/>
        </w:rPr>
        <w:t xml:space="preserve"> </w:t>
      </w:r>
      <w:r w:rsidRPr="00E17D8C">
        <w:rPr>
          <w:rFonts w:ascii="Arial" w:hAnsi="Arial" w:cs="Arial"/>
          <w:sz w:val="24"/>
          <w:szCs w:val="24"/>
        </w:rPr>
        <w:t>violin plot</w:t>
      </w:r>
      <w:r>
        <w:rPr>
          <w:rFonts w:ascii="Arial" w:hAnsi="Arial" w:cs="Arial"/>
          <w:sz w:val="24"/>
          <w:szCs w:val="24"/>
        </w:rPr>
        <w:t>s</w:t>
      </w:r>
      <w:r w:rsidRPr="00E17D8C">
        <w:rPr>
          <w:rFonts w:ascii="Arial" w:hAnsi="Arial" w:cs="Arial"/>
          <w:sz w:val="24"/>
          <w:szCs w:val="24"/>
        </w:rPr>
        <w:t xml:space="preserve"> showing</w:t>
      </w:r>
      <w:r>
        <w:rPr>
          <w:rFonts w:ascii="Arial" w:hAnsi="Arial" w:cs="Arial"/>
          <w:sz w:val="24"/>
          <w:szCs w:val="24"/>
        </w:rPr>
        <w:t xml:space="preserve"> the distribution of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methylation level of</w:t>
      </w:r>
      <w:r w:rsidR="00913D06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</w:t>
      </w:r>
      <w:r w:rsidRPr="000745DD">
        <w:rPr>
          <w:rFonts w:ascii="Arial" w:hAnsi="Arial" w:cs="Arial"/>
          <w:i/>
          <w:iCs/>
          <w:sz w:val="24"/>
          <w:szCs w:val="24"/>
        </w:rPr>
        <w:t>TET1</w:t>
      </w:r>
      <w:r>
        <w:rPr>
          <w:rFonts w:ascii="Arial" w:hAnsi="Arial" w:cs="Arial"/>
          <w:sz w:val="24"/>
          <w:szCs w:val="24"/>
        </w:rPr>
        <w:t xml:space="preserve"> associated promoter probe (</w:t>
      </w:r>
      <w:r w:rsidRPr="000745DD">
        <w:rPr>
          <w:rFonts w:ascii="Arial" w:hAnsi="Arial" w:cs="Arial"/>
          <w:i/>
          <w:iCs/>
          <w:sz w:val="24"/>
          <w:szCs w:val="24"/>
        </w:rPr>
        <w:t>i.e.</w:t>
      </w:r>
      <w:r>
        <w:rPr>
          <w:rFonts w:ascii="Arial" w:hAnsi="Arial" w:cs="Arial"/>
          <w:sz w:val="24"/>
          <w:szCs w:val="24"/>
        </w:rPr>
        <w:t xml:space="preserve">, </w:t>
      </w:r>
      <w:r w:rsidRPr="00483696">
        <w:rPr>
          <w:rFonts w:ascii="Arial" w:hAnsi="Arial" w:cs="Arial"/>
          <w:sz w:val="24"/>
          <w:szCs w:val="24"/>
        </w:rPr>
        <w:t>cg23602092</w:t>
      </w:r>
      <w:r>
        <w:rPr>
          <w:rFonts w:ascii="Arial" w:hAnsi="Arial" w:cs="Arial"/>
          <w:sz w:val="24"/>
          <w:szCs w:val="24"/>
        </w:rPr>
        <w:t xml:space="preserve">) in </w:t>
      </w:r>
      <w:r w:rsidR="002320AC">
        <w:rPr>
          <w:rFonts w:ascii="Arial" w:hAnsi="Arial" w:cs="Arial"/>
          <w:sz w:val="24"/>
          <w:szCs w:val="24"/>
        </w:rPr>
        <w:t>four</w:t>
      </w:r>
      <w:r>
        <w:rPr>
          <w:rFonts w:ascii="Arial" w:hAnsi="Arial" w:cs="Arial"/>
          <w:sz w:val="24"/>
          <w:szCs w:val="24"/>
        </w:rPr>
        <w:t xml:space="preserve"> cohorts</w:t>
      </w:r>
      <w:r w:rsidR="002320AC">
        <w:rPr>
          <w:rFonts w:ascii="Arial" w:hAnsi="Arial" w:cs="Arial"/>
          <w:sz w:val="24"/>
          <w:szCs w:val="24"/>
        </w:rPr>
        <w:t xml:space="preserve"> and one cell line dataset</w:t>
      </w:r>
      <w:r>
        <w:rPr>
          <w:rFonts w:ascii="Arial" w:hAnsi="Arial" w:cs="Arial"/>
          <w:sz w:val="24"/>
          <w:szCs w:val="24"/>
        </w:rPr>
        <w:t xml:space="preserve"> with DNA methylation profiles where three of them had available normal samples.</w:t>
      </w:r>
    </w:p>
    <w:p w14:paraId="4B203817" w14:textId="77777777" w:rsidR="00D34209" w:rsidRPr="00D34209" w:rsidRDefault="00D34209">
      <w:pPr>
        <w:rPr>
          <w:rFonts w:ascii="Arial" w:hAnsi="Arial" w:cs="Arial"/>
        </w:rPr>
      </w:pPr>
    </w:p>
    <w:p w14:paraId="2D327933" w14:textId="569DD45C" w:rsidR="00E76246" w:rsidRPr="00E76246" w:rsidRDefault="00E76246">
      <w:pPr>
        <w:rPr>
          <w:rFonts w:ascii="Arial" w:hAnsi="Arial" w:cs="Arial"/>
        </w:rPr>
      </w:pPr>
      <w:r w:rsidRPr="00E76246">
        <w:rPr>
          <w:rFonts w:ascii="Arial" w:hAnsi="Arial" w:cs="Arial"/>
          <w:noProof/>
        </w:rPr>
        <w:lastRenderedPageBreak/>
        <w:drawing>
          <wp:inline distT="0" distB="0" distL="0" distR="0" wp14:anchorId="3EDDBC9A" wp14:editId="46920F9F">
            <wp:extent cx="5753100" cy="47339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60AD4" w14:textId="1EED6222" w:rsidR="00E76246" w:rsidRPr="00E76246" w:rsidRDefault="00E76246" w:rsidP="00E76246">
      <w:pPr>
        <w:spacing w:line="300" w:lineRule="auto"/>
        <w:rPr>
          <w:rFonts w:ascii="Arial" w:hAnsi="Arial" w:cs="Arial"/>
          <w:b/>
          <w:bCs/>
          <w:sz w:val="24"/>
          <w:szCs w:val="24"/>
        </w:rPr>
      </w:pPr>
      <w:r w:rsidRPr="00E76246">
        <w:rPr>
          <w:rFonts w:ascii="Arial" w:hAnsi="Arial" w:cs="Arial"/>
          <w:b/>
          <w:bCs/>
          <w:sz w:val="24"/>
          <w:szCs w:val="24"/>
        </w:rPr>
        <w:t>Figure S</w:t>
      </w:r>
      <w:r w:rsidR="00D34209">
        <w:rPr>
          <w:rFonts w:ascii="Arial" w:hAnsi="Arial" w:cs="Arial"/>
          <w:b/>
          <w:bCs/>
          <w:sz w:val="24"/>
          <w:szCs w:val="24"/>
        </w:rPr>
        <w:t>7</w:t>
      </w:r>
      <w:r w:rsidRPr="00E76246">
        <w:rPr>
          <w:rFonts w:ascii="Arial" w:hAnsi="Arial" w:cs="Arial"/>
          <w:b/>
          <w:bCs/>
          <w:sz w:val="24"/>
          <w:szCs w:val="24"/>
        </w:rPr>
        <w:t xml:space="preserve">. </w:t>
      </w:r>
      <w:r w:rsidRPr="00E76246">
        <w:rPr>
          <w:rFonts w:ascii="Arial" w:hAnsi="Arial" w:cs="Arial"/>
          <w:sz w:val="24"/>
          <w:szCs w:val="24"/>
        </w:rPr>
        <w:t xml:space="preserve">a) Heatmap showing the methylation profiles of two </w:t>
      </w:r>
      <m:oMath>
        <m:r>
          <w:rPr>
            <w:rFonts w:ascii="Cambria Math" w:hAnsi="Cambria Math" w:cs="Arial"/>
            <w:sz w:val="24"/>
            <w:szCs w:val="24"/>
          </w:rPr>
          <m:t>TED</m:t>
        </m:r>
      </m:oMath>
      <w:r w:rsidRPr="00E76246">
        <w:rPr>
          <w:rFonts w:ascii="Arial" w:hAnsi="Arial" w:cs="Arial"/>
          <w:sz w:val="24"/>
          <w:szCs w:val="24"/>
        </w:rPr>
        <w:t xml:space="preserve"> phenotypes by unsupervised clustering of enhancer probes in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="00E01259">
        <w:rPr>
          <w:rFonts w:ascii="Arial" w:hAnsi="Arial" w:cs="Arial"/>
          <w:sz w:val="24"/>
          <w:szCs w:val="24"/>
        </w:rPr>
        <w:t>BIONIKK</w:t>
      </w:r>
      <w:r w:rsidRPr="00E76246">
        <w:rPr>
          <w:rFonts w:ascii="Arial" w:hAnsi="Arial" w:cs="Arial"/>
          <w:sz w:val="24"/>
          <w:szCs w:val="24"/>
        </w:rPr>
        <w:t xml:space="preserve"> cohort; samples were combined from both immunotherapy and target therapy arms. Kaplan-Meier survival curves showing the survival rate of two </w:t>
      </w:r>
      <m:oMath>
        <m:r>
          <w:rPr>
            <w:rFonts w:ascii="Cambria Math" w:hAnsi="Cambria Math" w:cs="Arial"/>
            <w:sz w:val="24"/>
            <w:szCs w:val="24"/>
          </w:rPr>
          <m:t>TED</m:t>
        </m:r>
      </m:oMath>
      <w:r w:rsidRPr="00E76246">
        <w:rPr>
          <w:rFonts w:ascii="Arial" w:hAnsi="Arial" w:cs="Arial"/>
          <w:sz w:val="24"/>
          <w:szCs w:val="24"/>
        </w:rPr>
        <w:t xml:space="preserve"> phenotypes in view of b) OS, c) PFS</w:t>
      </w:r>
      <w:r w:rsidR="00913D06">
        <w:rPr>
          <w:rFonts w:ascii="Arial" w:hAnsi="Arial" w:cs="Arial"/>
          <w:sz w:val="24"/>
          <w:szCs w:val="24"/>
        </w:rPr>
        <w:t>,</w:t>
      </w:r>
      <w:r w:rsidRPr="00E76246">
        <w:rPr>
          <w:rFonts w:ascii="Arial" w:hAnsi="Arial" w:cs="Arial"/>
          <w:sz w:val="24"/>
          <w:szCs w:val="24"/>
        </w:rPr>
        <w:t xml:space="preserve"> and d) TST.</w:t>
      </w:r>
    </w:p>
    <w:p w14:paraId="7FE8B040" w14:textId="62933DD3" w:rsidR="00E76246" w:rsidRDefault="00E76246">
      <w:pPr>
        <w:rPr>
          <w:rFonts w:ascii="Arial" w:hAnsi="Arial" w:cs="Arial"/>
        </w:rPr>
      </w:pPr>
    </w:p>
    <w:p w14:paraId="45B7B772" w14:textId="011FD665" w:rsidR="002F00D7" w:rsidRPr="002F00D7" w:rsidRDefault="002F00D7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20F57AE" wp14:editId="15D40065">
            <wp:extent cx="5753100" cy="46196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4C5D5" w14:textId="7B5D3516" w:rsidR="002F00D7" w:rsidRPr="00E76246" w:rsidRDefault="00642136" w:rsidP="002F00D7">
      <w:pPr>
        <w:spacing w:line="300" w:lineRule="auto"/>
        <w:rPr>
          <w:rFonts w:ascii="Arial" w:hAnsi="Arial" w:cs="Arial"/>
          <w:b/>
          <w:bCs/>
          <w:sz w:val="24"/>
          <w:szCs w:val="24"/>
        </w:rPr>
      </w:pPr>
      <w:r w:rsidRPr="00642136">
        <w:rPr>
          <w:rFonts w:ascii="Arial" w:hAnsi="Arial" w:cs="Arial" w:hint="eastAsia"/>
          <w:b/>
          <w:bCs/>
          <w:sz w:val="24"/>
          <w:szCs w:val="24"/>
        </w:rPr>
        <w:t>F</w:t>
      </w:r>
      <w:r w:rsidRPr="00642136">
        <w:rPr>
          <w:rFonts w:ascii="Arial" w:hAnsi="Arial" w:cs="Arial"/>
          <w:b/>
          <w:bCs/>
          <w:sz w:val="24"/>
          <w:szCs w:val="24"/>
        </w:rPr>
        <w:t>igure S8.</w:t>
      </w:r>
      <w:r w:rsidR="002F00D7">
        <w:rPr>
          <w:rFonts w:ascii="Arial" w:hAnsi="Arial" w:cs="Arial"/>
          <w:b/>
          <w:bCs/>
          <w:sz w:val="24"/>
          <w:szCs w:val="24"/>
        </w:rPr>
        <w:t xml:space="preserve"> </w:t>
      </w:r>
      <w:r w:rsidR="002F00D7" w:rsidRPr="00E76246">
        <w:rPr>
          <w:rFonts w:ascii="Arial" w:hAnsi="Arial" w:cs="Arial"/>
          <w:sz w:val="24"/>
          <w:szCs w:val="24"/>
        </w:rPr>
        <w:t xml:space="preserve">a) Heatmap showing the methylation profiles of two </w:t>
      </w:r>
      <m:oMath>
        <m:r>
          <w:rPr>
            <w:rFonts w:ascii="Cambria Math" w:hAnsi="Cambria Math" w:cs="Arial"/>
            <w:sz w:val="24"/>
            <w:szCs w:val="24"/>
          </w:rPr>
          <m:t>TED</m:t>
        </m:r>
      </m:oMath>
      <w:r w:rsidR="002F00D7" w:rsidRPr="00E76246">
        <w:rPr>
          <w:rFonts w:ascii="Arial" w:hAnsi="Arial" w:cs="Arial"/>
          <w:sz w:val="24"/>
          <w:szCs w:val="24"/>
        </w:rPr>
        <w:t xml:space="preserve"> phenotypes by unsupervised clustering of enhancer probes in </w:t>
      </w:r>
      <w:r w:rsidR="00913D06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2F00D7">
        <w:rPr>
          <w:rFonts w:ascii="Arial" w:hAnsi="Arial" w:cs="Arial"/>
          <w:sz w:val="24"/>
          <w:szCs w:val="24"/>
        </w:rPr>
        <w:t>Beuselinck</w:t>
      </w:r>
      <w:proofErr w:type="spellEnd"/>
      <w:r w:rsidR="002F00D7" w:rsidRPr="00E76246">
        <w:rPr>
          <w:rFonts w:ascii="Arial" w:hAnsi="Arial" w:cs="Arial"/>
          <w:sz w:val="24"/>
          <w:szCs w:val="24"/>
        </w:rPr>
        <w:t xml:space="preserve"> cohort</w:t>
      </w:r>
      <w:r w:rsidR="002F00D7">
        <w:rPr>
          <w:rFonts w:ascii="Arial" w:hAnsi="Arial" w:cs="Arial"/>
          <w:sz w:val="24"/>
          <w:szCs w:val="24"/>
        </w:rPr>
        <w:t xml:space="preserve"> in which </w:t>
      </w:r>
      <w:r w:rsidR="002F00D7" w:rsidRPr="002F00D7">
        <w:rPr>
          <w:rFonts w:ascii="Arial" w:hAnsi="Arial" w:cs="Arial"/>
          <w:sz w:val="24"/>
          <w:szCs w:val="24"/>
        </w:rPr>
        <w:t>102 patients developed metastatic ccRCC and were treated with the first-line TKI of sunitinib</w:t>
      </w:r>
      <w:r w:rsidR="002F00D7">
        <w:rPr>
          <w:rFonts w:ascii="Arial" w:hAnsi="Arial" w:cs="Arial"/>
          <w:sz w:val="24"/>
          <w:szCs w:val="24"/>
        </w:rPr>
        <w:t>.</w:t>
      </w:r>
      <w:r w:rsidR="002F00D7" w:rsidRPr="00E76246">
        <w:rPr>
          <w:rFonts w:ascii="Arial" w:hAnsi="Arial" w:cs="Arial"/>
          <w:sz w:val="24"/>
          <w:szCs w:val="24"/>
        </w:rPr>
        <w:t xml:space="preserve"> Kaplan-Meier survival curves showing the survival rate of two </w:t>
      </w:r>
      <m:oMath>
        <m:r>
          <w:rPr>
            <w:rFonts w:ascii="Cambria Math" w:hAnsi="Cambria Math" w:cs="Arial"/>
            <w:sz w:val="24"/>
            <w:szCs w:val="24"/>
          </w:rPr>
          <m:t>TED</m:t>
        </m:r>
      </m:oMath>
      <w:r w:rsidR="002F00D7" w:rsidRPr="00E76246">
        <w:rPr>
          <w:rFonts w:ascii="Arial" w:hAnsi="Arial" w:cs="Arial"/>
          <w:sz w:val="24"/>
          <w:szCs w:val="24"/>
        </w:rPr>
        <w:t xml:space="preserve"> phenotypes in view of b) OS</w:t>
      </w:r>
      <w:r w:rsidR="002F00D7">
        <w:rPr>
          <w:rFonts w:ascii="Arial" w:hAnsi="Arial" w:cs="Arial"/>
          <w:sz w:val="24"/>
          <w:szCs w:val="24"/>
        </w:rPr>
        <w:t xml:space="preserve"> and</w:t>
      </w:r>
      <w:r w:rsidR="002F00D7" w:rsidRPr="00E76246">
        <w:rPr>
          <w:rFonts w:ascii="Arial" w:hAnsi="Arial" w:cs="Arial"/>
          <w:sz w:val="24"/>
          <w:szCs w:val="24"/>
        </w:rPr>
        <w:t xml:space="preserve"> c) PFS.</w:t>
      </w:r>
    </w:p>
    <w:p w14:paraId="077F94DA" w14:textId="03D673AB" w:rsidR="00642136" w:rsidRPr="002F00D7" w:rsidRDefault="00642136">
      <w:pPr>
        <w:rPr>
          <w:rFonts w:ascii="Arial" w:hAnsi="Arial" w:cs="Arial"/>
          <w:b/>
          <w:bCs/>
          <w:sz w:val="24"/>
          <w:szCs w:val="24"/>
        </w:rPr>
      </w:pPr>
    </w:p>
    <w:p w14:paraId="34D9FF9B" w14:textId="77777777" w:rsidR="00642136" w:rsidRPr="00E76246" w:rsidRDefault="00642136">
      <w:pPr>
        <w:rPr>
          <w:rFonts w:ascii="Arial" w:hAnsi="Arial" w:cs="Arial"/>
        </w:rPr>
      </w:pPr>
    </w:p>
    <w:p w14:paraId="4BA5FF36" w14:textId="15B3EEE2" w:rsidR="00E76246" w:rsidRPr="00E76246" w:rsidRDefault="00343726" w:rsidP="0014301B">
      <w:pPr>
        <w:keepNext/>
        <w:keepLines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CBFD68E" wp14:editId="57F60F40">
            <wp:extent cx="5753100" cy="2257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11715" w14:textId="1B18C217" w:rsidR="00E76246" w:rsidRPr="00E76246" w:rsidRDefault="00E76246" w:rsidP="0014301B">
      <w:pPr>
        <w:keepNext/>
        <w:keepLines/>
        <w:spacing w:line="300" w:lineRule="auto"/>
        <w:rPr>
          <w:rFonts w:ascii="Arial" w:hAnsi="Arial" w:cs="Arial"/>
          <w:b/>
          <w:bCs/>
          <w:sz w:val="24"/>
          <w:szCs w:val="24"/>
        </w:rPr>
      </w:pPr>
      <w:r w:rsidRPr="00E76246">
        <w:rPr>
          <w:rFonts w:ascii="Arial" w:hAnsi="Arial" w:cs="Arial"/>
          <w:b/>
          <w:bCs/>
          <w:sz w:val="24"/>
          <w:szCs w:val="24"/>
        </w:rPr>
        <w:t>Figure S</w:t>
      </w:r>
      <w:r w:rsidR="00642136">
        <w:rPr>
          <w:rFonts w:ascii="Arial" w:hAnsi="Arial" w:cs="Arial"/>
          <w:b/>
          <w:bCs/>
          <w:sz w:val="24"/>
          <w:szCs w:val="24"/>
        </w:rPr>
        <w:t>9</w:t>
      </w:r>
      <w:r w:rsidRPr="00E76246">
        <w:rPr>
          <w:rFonts w:ascii="Arial" w:hAnsi="Arial" w:cs="Arial"/>
          <w:b/>
          <w:bCs/>
          <w:sz w:val="24"/>
          <w:szCs w:val="24"/>
        </w:rPr>
        <w:t xml:space="preserve">. </w:t>
      </w:r>
      <w:r w:rsidRPr="00E76246">
        <w:rPr>
          <w:rFonts w:ascii="Arial" w:hAnsi="Arial" w:cs="Arial"/>
          <w:sz w:val="24"/>
          <w:szCs w:val="24"/>
        </w:rPr>
        <w:t xml:space="preserve">a) Heatmap showing the regulon activity landscape of three regulon phenotypes identified by unsupervised clustering in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76246">
        <w:rPr>
          <w:rFonts w:ascii="Arial" w:hAnsi="Arial" w:cs="Arial"/>
          <w:sz w:val="24"/>
          <w:szCs w:val="24"/>
        </w:rPr>
        <w:t xml:space="preserve">target therapy arm of </w:t>
      </w:r>
      <w:r w:rsidR="00913D06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E76246">
        <w:rPr>
          <w:rFonts w:ascii="Arial" w:hAnsi="Arial" w:cs="Arial"/>
          <w:sz w:val="24"/>
          <w:szCs w:val="24"/>
        </w:rPr>
        <w:t>CheckMate</w:t>
      </w:r>
      <w:proofErr w:type="spellEnd"/>
      <w:r w:rsidRPr="00E76246">
        <w:rPr>
          <w:rFonts w:ascii="Arial" w:hAnsi="Arial" w:cs="Arial"/>
          <w:sz w:val="24"/>
          <w:szCs w:val="24"/>
        </w:rPr>
        <w:t xml:space="preserve"> cohort. Kaplan-Meier survival curves showing the overall survival rate of different regulon phenotypes in</w:t>
      </w:r>
      <w:r w:rsidR="00913D06">
        <w:rPr>
          <w:rFonts w:ascii="Arial" w:hAnsi="Arial" w:cs="Arial"/>
          <w:sz w:val="24"/>
          <w:szCs w:val="24"/>
        </w:rPr>
        <w:t xml:space="preserve"> the</w:t>
      </w:r>
      <w:r w:rsidRPr="00E76246">
        <w:rPr>
          <w:rFonts w:ascii="Arial" w:hAnsi="Arial" w:cs="Arial"/>
          <w:sz w:val="24"/>
          <w:szCs w:val="24"/>
        </w:rPr>
        <w:t xml:space="preserve"> target therapy arm of</w:t>
      </w:r>
      <w:r w:rsidR="00913D06">
        <w:rPr>
          <w:rFonts w:ascii="Arial" w:hAnsi="Arial" w:cs="Arial"/>
          <w:sz w:val="24"/>
          <w:szCs w:val="24"/>
        </w:rPr>
        <w:t xml:space="preserve"> the</w:t>
      </w:r>
      <w:r w:rsidRPr="00E762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6246">
        <w:rPr>
          <w:rFonts w:ascii="Arial" w:hAnsi="Arial" w:cs="Arial"/>
          <w:sz w:val="24"/>
          <w:szCs w:val="24"/>
        </w:rPr>
        <w:t>CheckMate</w:t>
      </w:r>
      <w:proofErr w:type="spellEnd"/>
      <w:r w:rsidRPr="00E76246">
        <w:rPr>
          <w:rFonts w:ascii="Arial" w:hAnsi="Arial" w:cs="Arial"/>
          <w:sz w:val="24"/>
          <w:szCs w:val="24"/>
        </w:rPr>
        <w:t xml:space="preserve"> cohort.</w:t>
      </w:r>
    </w:p>
    <w:p w14:paraId="491F1C48" w14:textId="32E00568" w:rsidR="00E76246" w:rsidRDefault="00E76246">
      <w:pPr>
        <w:rPr>
          <w:rFonts w:ascii="Arial" w:hAnsi="Arial" w:cs="Arial"/>
        </w:rPr>
      </w:pPr>
    </w:p>
    <w:p w14:paraId="573C2E30" w14:textId="31C1318B" w:rsidR="00343726" w:rsidRDefault="00343726" w:rsidP="0034372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35614BD" wp14:editId="7077BE27">
            <wp:extent cx="3810000" cy="43815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A3910" w14:textId="5966A6EE" w:rsidR="00343726" w:rsidRDefault="00343726" w:rsidP="00343726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igure S</w:t>
      </w:r>
      <w:r w:rsidR="00642136">
        <w:rPr>
          <w:rFonts w:ascii="Arial" w:hAnsi="Arial" w:cs="Arial"/>
          <w:b/>
          <w:bCs/>
          <w:sz w:val="24"/>
          <w:szCs w:val="24"/>
        </w:rPr>
        <w:t>10</w:t>
      </w:r>
      <w:r w:rsidRPr="00842A65">
        <w:rPr>
          <w:rFonts w:ascii="Arial" w:hAnsi="Arial" w:cs="Arial"/>
          <w:sz w:val="24"/>
          <w:szCs w:val="24"/>
        </w:rPr>
        <w:t>. Heatmap showing</w:t>
      </w:r>
      <w:r>
        <w:rPr>
          <w:rFonts w:ascii="Arial" w:hAnsi="Arial" w:cs="Arial"/>
          <w:sz w:val="24"/>
          <w:szCs w:val="24"/>
        </w:rPr>
        <w:t xml:space="preserve"> the regulon activity landscape (top panel) and regulon status (bottom panel) of three regulon phenotypes identified by unsupervised clustering in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CCLE </w:t>
      </w:r>
      <w:r w:rsidR="002320AC">
        <w:rPr>
          <w:rFonts w:ascii="Arial" w:hAnsi="Arial" w:cs="Arial"/>
          <w:sz w:val="24"/>
          <w:szCs w:val="24"/>
        </w:rPr>
        <w:t>dataset</w:t>
      </w:r>
      <w:r>
        <w:rPr>
          <w:rFonts w:ascii="Arial" w:hAnsi="Arial" w:cs="Arial"/>
          <w:sz w:val="24"/>
          <w:szCs w:val="24"/>
        </w:rPr>
        <w:t xml:space="preserve">. The proportions of active status for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seven regulons </w:t>
      </w:r>
      <w:r w:rsidR="00913D06">
        <w:rPr>
          <w:rFonts w:ascii="Arial" w:hAnsi="Arial" w:cs="Arial"/>
          <w:sz w:val="24"/>
          <w:szCs w:val="24"/>
        </w:rPr>
        <w:lastRenderedPageBreak/>
        <w:t xml:space="preserve">are </w:t>
      </w:r>
      <w:r>
        <w:rPr>
          <w:rFonts w:ascii="Arial" w:hAnsi="Arial" w:cs="Arial"/>
          <w:sz w:val="24"/>
          <w:szCs w:val="24"/>
        </w:rPr>
        <w:t xml:space="preserve">marked </w:t>
      </w:r>
      <w:r w:rsidR="00913D06">
        <w:rPr>
          <w:rFonts w:ascii="Arial" w:hAnsi="Arial" w:cs="Arial"/>
          <w:sz w:val="24"/>
          <w:szCs w:val="24"/>
        </w:rPr>
        <w:t xml:space="preserve">to the </w:t>
      </w:r>
      <w:r>
        <w:rPr>
          <w:rFonts w:ascii="Arial" w:hAnsi="Arial" w:cs="Arial"/>
          <w:sz w:val="24"/>
          <w:szCs w:val="24"/>
        </w:rPr>
        <w:t xml:space="preserve">right </w:t>
      </w:r>
      <w:r w:rsidR="00913D06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 xml:space="preserve"> the status heatmap.</w:t>
      </w:r>
    </w:p>
    <w:p w14:paraId="5B966348" w14:textId="735E938D" w:rsidR="00343726" w:rsidRDefault="00343726" w:rsidP="00343726">
      <w:pPr>
        <w:rPr>
          <w:rFonts w:ascii="Arial" w:hAnsi="Arial" w:cs="Arial"/>
        </w:rPr>
      </w:pPr>
    </w:p>
    <w:p w14:paraId="0E4F7552" w14:textId="5056C9AB" w:rsidR="00CC3063" w:rsidRDefault="00CC3063" w:rsidP="0034372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1100398" wp14:editId="19540DFB">
            <wp:extent cx="5753100" cy="39909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C2D57" w14:textId="053BD3BF" w:rsidR="00CC3063" w:rsidRPr="00E17D8C" w:rsidRDefault="00CC3063" w:rsidP="00CC3063">
      <w:pPr>
        <w:spacing w:line="300" w:lineRule="auto"/>
        <w:rPr>
          <w:rFonts w:ascii="Arial" w:hAnsi="Arial" w:cs="Arial"/>
          <w:sz w:val="24"/>
          <w:szCs w:val="24"/>
        </w:rPr>
      </w:pPr>
      <w:r w:rsidRPr="00E17D8C">
        <w:rPr>
          <w:rFonts w:ascii="Arial" w:hAnsi="Arial" w:cs="Arial"/>
          <w:b/>
          <w:bCs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sz w:val="24"/>
          <w:szCs w:val="24"/>
        </w:rPr>
        <w:t>S1</w:t>
      </w:r>
      <w:r w:rsidR="00642136">
        <w:rPr>
          <w:rFonts w:ascii="Arial" w:hAnsi="Arial" w:cs="Arial"/>
          <w:b/>
          <w:bCs/>
          <w:sz w:val="24"/>
          <w:szCs w:val="24"/>
        </w:rPr>
        <w:t>1</w:t>
      </w:r>
      <w:r w:rsidRPr="00E17D8C">
        <w:rPr>
          <w:rFonts w:ascii="Arial" w:hAnsi="Arial" w:cs="Arial"/>
          <w:sz w:val="24"/>
          <w:szCs w:val="24"/>
        </w:rPr>
        <w:t xml:space="preserve">. a) Volcano plot showing the differentially expressed genes between two </w:t>
      </w:r>
      <m:oMath>
        <m:r>
          <w:rPr>
            <w:rFonts w:ascii="Cambria Math" w:hAnsi="Cambria Math" w:cs="Arial"/>
            <w:sz w:val="24"/>
            <w:szCs w:val="24"/>
          </w:rPr>
          <m:t>TED</m:t>
        </m:r>
      </m:oMath>
      <w:r w:rsidRPr="00E17D8C">
        <w:rPr>
          <w:rFonts w:ascii="Arial" w:hAnsi="Arial" w:cs="Arial"/>
          <w:sz w:val="24"/>
          <w:szCs w:val="24"/>
        </w:rPr>
        <w:t xml:space="preserve"> phenotypes in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17D8C">
        <w:rPr>
          <w:rFonts w:ascii="Arial" w:hAnsi="Arial" w:cs="Arial"/>
          <w:sz w:val="24"/>
          <w:szCs w:val="24"/>
        </w:rPr>
        <w:t>TCGA-KIRC cohort; the top 150 significantly up/down-regulated genes were marked in red and green, respectively, according to the recommendation of CMap analysis. Density and boxplots showing the distribution of estimated IC</w:t>
      </w:r>
      <w:r w:rsidRPr="00E17D8C">
        <w:rPr>
          <w:rFonts w:ascii="Arial" w:hAnsi="Arial" w:cs="Arial"/>
          <w:sz w:val="24"/>
          <w:szCs w:val="24"/>
          <w:vertAlign w:val="subscript"/>
        </w:rPr>
        <w:t>50</w:t>
      </w:r>
      <w:r w:rsidRPr="00E17D8C">
        <w:rPr>
          <w:rFonts w:ascii="Arial" w:hAnsi="Arial" w:cs="Arial"/>
          <w:sz w:val="24"/>
          <w:szCs w:val="24"/>
        </w:rPr>
        <w:t xml:space="preserve"> for two HDAC inhibitors, including</w:t>
      </w:r>
      <w:r w:rsidRPr="00E17D8C">
        <w:rPr>
          <w:rFonts w:ascii="Arial" w:hAnsi="Arial" w:cs="Arial"/>
          <w:i/>
          <w:iCs/>
          <w:sz w:val="24"/>
          <w:szCs w:val="24"/>
        </w:rPr>
        <w:t xml:space="preserve"> </w:t>
      </w:r>
      <w:r w:rsidRPr="00E17D8C">
        <w:rPr>
          <w:rFonts w:ascii="Arial" w:hAnsi="Arial" w:cs="Arial"/>
          <w:sz w:val="24"/>
          <w:szCs w:val="24"/>
        </w:rPr>
        <w:t>c) entinostat and d) vorinostat</w:t>
      </w:r>
      <w:r w:rsidR="00913D06">
        <w:rPr>
          <w:rFonts w:ascii="Arial" w:hAnsi="Arial" w:cs="Arial"/>
          <w:sz w:val="24"/>
          <w:szCs w:val="24"/>
        </w:rPr>
        <w:t>,</w:t>
      </w:r>
      <w:r w:rsidRPr="00E17D8C">
        <w:rPr>
          <w:rFonts w:ascii="Arial" w:hAnsi="Arial" w:cs="Arial"/>
          <w:sz w:val="24"/>
          <w:szCs w:val="24"/>
        </w:rPr>
        <w:t xml:space="preserve"> between two </w:t>
      </w:r>
      <m:oMath>
        <m:r>
          <w:rPr>
            <w:rFonts w:ascii="Cambria Math" w:hAnsi="Cambria Math" w:cs="Arial"/>
            <w:sz w:val="24"/>
            <w:szCs w:val="24"/>
          </w:rPr>
          <m:t>TED</m:t>
        </m:r>
      </m:oMath>
      <w:r w:rsidRPr="00E17D8C">
        <w:rPr>
          <w:rFonts w:ascii="Arial" w:hAnsi="Arial" w:cs="Arial"/>
          <w:sz w:val="24"/>
          <w:szCs w:val="24"/>
        </w:rPr>
        <w:t xml:space="preserve"> phenotypes for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17D8C">
        <w:rPr>
          <w:rFonts w:ascii="Arial" w:hAnsi="Arial" w:cs="Arial"/>
          <w:sz w:val="24"/>
          <w:szCs w:val="24"/>
        </w:rPr>
        <w:t xml:space="preserve">TCGA-KIRC cohort; for </w:t>
      </w:r>
      <w:r w:rsidR="00913D06">
        <w:rPr>
          <w:rFonts w:ascii="Arial" w:hAnsi="Arial" w:cs="Arial"/>
          <w:sz w:val="24"/>
          <w:szCs w:val="24"/>
        </w:rPr>
        <w:t xml:space="preserve">the </w:t>
      </w:r>
      <w:r w:rsidRPr="00E17D8C">
        <w:rPr>
          <w:rFonts w:ascii="Arial" w:hAnsi="Arial" w:cs="Arial"/>
          <w:sz w:val="24"/>
          <w:szCs w:val="24"/>
        </w:rPr>
        <w:t xml:space="preserve">immunotherapy arm of </w:t>
      </w:r>
      <w:r w:rsidR="00913D06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E17D8C">
        <w:rPr>
          <w:rFonts w:ascii="Arial" w:hAnsi="Arial" w:cs="Arial"/>
          <w:sz w:val="24"/>
          <w:szCs w:val="24"/>
        </w:rPr>
        <w:t>CheckMate</w:t>
      </w:r>
      <w:proofErr w:type="spellEnd"/>
      <w:r w:rsidRPr="00E17D8C">
        <w:rPr>
          <w:rFonts w:ascii="Arial" w:hAnsi="Arial" w:cs="Arial"/>
          <w:sz w:val="24"/>
          <w:szCs w:val="24"/>
        </w:rPr>
        <w:t xml:space="preserve"> cohort, density and boxplots of entinostat and vorinostat among three regulon phenotypes were displayed in e) and f), respectively.</w:t>
      </w:r>
    </w:p>
    <w:p w14:paraId="2C838F5F" w14:textId="77777777" w:rsidR="00CC3063" w:rsidRPr="00CC3063" w:rsidRDefault="00CC3063" w:rsidP="00343726">
      <w:pPr>
        <w:rPr>
          <w:rFonts w:ascii="Arial" w:hAnsi="Arial" w:cs="Arial"/>
        </w:rPr>
      </w:pPr>
    </w:p>
    <w:sectPr w:rsidR="00CC3063" w:rsidRPr="00CC3063" w:rsidSect="00E7624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2083C" w14:textId="77777777" w:rsidR="00080CB7" w:rsidRDefault="00080CB7" w:rsidP="00E76246">
      <w:r>
        <w:separator/>
      </w:r>
    </w:p>
  </w:endnote>
  <w:endnote w:type="continuationSeparator" w:id="0">
    <w:p w14:paraId="73BFB159" w14:textId="77777777" w:rsidR="00080CB7" w:rsidRDefault="00080CB7" w:rsidP="00E76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58D79" w14:textId="77777777" w:rsidR="00080CB7" w:rsidRDefault="00080CB7" w:rsidP="00E76246">
      <w:r>
        <w:separator/>
      </w:r>
    </w:p>
  </w:footnote>
  <w:footnote w:type="continuationSeparator" w:id="0">
    <w:p w14:paraId="735507A2" w14:textId="77777777" w:rsidR="00080CB7" w:rsidRDefault="00080CB7" w:rsidP="00E76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67"/>
    <w:rsid w:val="000436F3"/>
    <w:rsid w:val="00080CB7"/>
    <w:rsid w:val="0014301B"/>
    <w:rsid w:val="001F0FDC"/>
    <w:rsid w:val="002320AC"/>
    <w:rsid w:val="002F00D7"/>
    <w:rsid w:val="00343726"/>
    <w:rsid w:val="003577A1"/>
    <w:rsid w:val="004D19FC"/>
    <w:rsid w:val="00591927"/>
    <w:rsid w:val="00642136"/>
    <w:rsid w:val="008E5200"/>
    <w:rsid w:val="00913D06"/>
    <w:rsid w:val="00931F7D"/>
    <w:rsid w:val="009945E3"/>
    <w:rsid w:val="009E7546"/>
    <w:rsid w:val="00B04DE7"/>
    <w:rsid w:val="00B64ACE"/>
    <w:rsid w:val="00B90E42"/>
    <w:rsid w:val="00CC3063"/>
    <w:rsid w:val="00D34209"/>
    <w:rsid w:val="00D87CB3"/>
    <w:rsid w:val="00DB6167"/>
    <w:rsid w:val="00E01259"/>
    <w:rsid w:val="00E76246"/>
    <w:rsid w:val="00EA07B6"/>
    <w:rsid w:val="00F2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5DFAD"/>
  <w15:chartTrackingRefBased/>
  <w15:docId w15:val="{72F1D6A0-FCFB-48D8-8E11-B700DCFE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0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62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6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62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9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Xiaofan</dc:creator>
  <cp:keywords/>
  <dc:description/>
  <cp:lastModifiedBy>Lu Xiaofan</cp:lastModifiedBy>
  <cp:revision>4</cp:revision>
  <dcterms:created xsi:type="dcterms:W3CDTF">2022-05-06T16:32:00Z</dcterms:created>
  <dcterms:modified xsi:type="dcterms:W3CDTF">2022-05-19T13:15:00Z</dcterms:modified>
</cp:coreProperties>
</file>