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1871" w14:textId="16B37E2F" w:rsidR="00582B1E" w:rsidRPr="00A6246B" w:rsidRDefault="00A6246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6246B">
        <w:rPr>
          <w:rFonts w:ascii="Times New Roman" w:hAnsi="Times New Roman" w:cs="Times New Roman"/>
          <w:b/>
          <w:bCs/>
          <w:sz w:val="24"/>
          <w:szCs w:val="32"/>
        </w:rPr>
        <w:t xml:space="preserve">The Mechanism Underlying </w:t>
      </w:r>
      <w:proofErr w:type="gramStart"/>
      <w:r w:rsidRPr="00A6246B">
        <w:rPr>
          <w:rFonts w:ascii="Times New Roman" w:hAnsi="Times New Roman" w:cs="Times New Roman"/>
          <w:b/>
          <w:bCs/>
          <w:sz w:val="24"/>
          <w:szCs w:val="32"/>
        </w:rPr>
        <w:t>The</w:t>
      </w:r>
      <w:proofErr w:type="gramEnd"/>
      <w:r w:rsidRPr="00A6246B">
        <w:rPr>
          <w:rFonts w:ascii="Times New Roman" w:hAnsi="Times New Roman" w:cs="Times New Roman"/>
          <w:b/>
          <w:bCs/>
          <w:sz w:val="24"/>
          <w:szCs w:val="32"/>
        </w:rPr>
        <w:t xml:space="preserve"> Physiological Meaning of The Dynamic Arterial Elastance in Sepsis or Septic Shock: Role of The Static Arterial Elastance Ratio</w:t>
      </w:r>
    </w:p>
    <w:p w14:paraId="7EFC98DA" w14:textId="63EA0F40" w:rsidR="00A6246B" w:rsidRPr="00A6246B" w:rsidRDefault="00A6246B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6246B">
        <w:rPr>
          <w:rFonts w:ascii="Times New Roman" w:hAnsi="Times New Roman" w:cs="Times New Roman"/>
          <w:b/>
          <w:bCs/>
          <w:sz w:val="24"/>
          <w:szCs w:val="32"/>
        </w:rPr>
        <w:t>Supplementary Figure S1</w:t>
      </w:r>
    </w:p>
    <w:p w14:paraId="2557ECC8" w14:textId="564C030E" w:rsidR="00A6246B" w:rsidRPr="00A6246B" w:rsidRDefault="00A6246B">
      <w:pPr>
        <w:rPr>
          <w:rFonts w:ascii="Times New Roman" w:hAnsi="Times New Roman" w:cs="Times New Roman"/>
          <w:sz w:val="24"/>
          <w:szCs w:val="32"/>
        </w:rPr>
      </w:pPr>
      <w:r w:rsidRPr="00A6246B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4C9FFF92" wp14:editId="495F9713">
            <wp:extent cx="5943600" cy="3343275"/>
            <wp:effectExtent l="0" t="0" r="0" b="952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46B" w:rsidRPr="00A624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NjYyMjcztDAzNrRU0lEKTi0uzszPAykwrAUAbRgdlCwAAAA="/>
  </w:docVars>
  <w:rsids>
    <w:rsidRoot w:val="005D00EA"/>
    <w:rsid w:val="00582B1E"/>
    <w:rsid w:val="005D00EA"/>
    <w:rsid w:val="00A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30500"/>
  <w15:chartTrackingRefBased/>
  <w15:docId w15:val="{52BE0AE1-2DB8-4E7E-A7B3-37DE3EE7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Pongdhep Theerawit</dc:creator>
  <cp:keywords/>
  <dc:description/>
  <cp:lastModifiedBy>Pongdhep Theerawit</cp:lastModifiedBy>
  <cp:revision>2</cp:revision>
  <dcterms:created xsi:type="dcterms:W3CDTF">2021-10-18T12:20:00Z</dcterms:created>
  <dcterms:modified xsi:type="dcterms:W3CDTF">2021-10-18T12:21:00Z</dcterms:modified>
</cp:coreProperties>
</file>