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LightGrid"/>
        <w:tblW w:w="14298" w:type="dxa"/>
        <w:tblInd w:w="-400" w:type="dxa"/>
        <w:tblLayout w:type="fixed"/>
        <w:tblLook w:val="04A0"/>
      </w:tblPr>
      <w:tblGrid>
        <w:gridCol w:w="1902"/>
        <w:gridCol w:w="1257"/>
        <w:gridCol w:w="1078"/>
        <w:gridCol w:w="2229"/>
        <w:gridCol w:w="1839"/>
        <w:gridCol w:w="2106"/>
        <w:gridCol w:w="3887"/>
      </w:tblGrid>
      <w:tr w:rsidR="0063635E" w:rsidRPr="00FC5659" w:rsidTr="00FC5659">
        <w:trPr>
          <w:cnfStyle w:val="100000000000"/>
          <w:trHeight w:val="68"/>
        </w:trPr>
        <w:tc>
          <w:tcPr>
            <w:cnfStyle w:val="001000000000"/>
            <w:tcW w:w="1902" w:type="dxa"/>
          </w:tcPr>
          <w:p w:rsidR="0063635E" w:rsidRPr="00FC5659" w:rsidRDefault="0063635E" w:rsidP="00D45D3B">
            <w:pPr>
              <w:spacing w:line="360" w:lineRule="auto"/>
              <w:rPr>
                <w:rFonts w:asciiTheme="majorBidi" w:hAnsiTheme="majorBidi"/>
                <w:sz w:val="28"/>
                <w:szCs w:val="28"/>
              </w:rPr>
            </w:pPr>
            <w:r w:rsidRPr="00FC5659">
              <w:rPr>
                <w:rFonts w:asciiTheme="majorBidi" w:hAnsiTheme="majorBidi"/>
                <w:sz w:val="28"/>
                <w:szCs w:val="28"/>
              </w:rPr>
              <w:t xml:space="preserve">Title of the study </w:t>
            </w:r>
          </w:p>
        </w:tc>
        <w:tc>
          <w:tcPr>
            <w:tcW w:w="1257" w:type="dxa"/>
          </w:tcPr>
          <w:p w:rsidR="0063635E" w:rsidRPr="00FC5659" w:rsidRDefault="0063635E" w:rsidP="00D45D3B">
            <w:pPr>
              <w:spacing w:line="360" w:lineRule="auto"/>
              <w:cnfStyle w:val="100000000000"/>
              <w:rPr>
                <w:rFonts w:asciiTheme="majorBidi" w:hAnsiTheme="majorBidi"/>
                <w:sz w:val="28"/>
                <w:szCs w:val="28"/>
              </w:rPr>
            </w:pPr>
            <w:r w:rsidRPr="00FC5659">
              <w:rPr>
                <w:rFonts w:asciiTheme="majorBidi" w:hAnsiTheme="majorBidi"/>
                <w:sz w:val="28"/>
                <w:szCs w:val="28"/>
              </w:rPr>
              <w:t>Author</w:t>
            </w:r>
          </w:p>
        </w:tc>
        <w:tc>
          <w:tcPr>
            <w:tcW w:w="1078" w:type="dxa"/>
          </w:tcPr>
          <w:p w:rsidR="0063635E" w:rsidRPr="00FC5659" w:rsidRDefault="0063635E" w:rsidP="00D45D3B">
            <w:pPr>
              <w:spacing w:line="360" w:lineRule="auto"/>
              <w:cnfStyle w:val="100000000000"/>
              <w:rPr>
                <w:rFonts w:asciiTheme="majorBidi" w:hAnsiTheme="majorBidi"/>
                <w:sz w:val="28"/>
                <w:szCs w:val="28"/>
              </w:rPr>
            </w:pPr>
            <w:r w:rsidRPr="00FC5659">
              <w:rPr>
                <w:rFonts w:asciiTheme="majorBidi" w:hAnsiTheme="majorBidi"/>
                <w:sz w:val="28"/>
                <w:szCs w:val="28"/>
              </w:rPr>
              <w:t>Year</w:t>
            </w:r>
          </w:p>
        </w:tc>
        <w:tc>
          <w:tcPr>
            <w:tcW w:w="2229" w:type="dxa"/>
          </w:tcPr>
          <w:p w:rsidR="0063635E" w:rsidRPr="00FC5659" w:rsidRDefault="0063635E" w:rsidP="00D45D3B">
            <w:pPr>
              <w:spacing w:line="360" w:lineRule="auto"/>
              <w:cnfStyle w:val="100000000000"/>
              <w:rPr>
                <w:rFonts w:asciiTheme="majorBidi" w:hAnsiTheme="majorBidi"/>
                <w:sz w:val="28"/>
                <w:szCs w:val="28"/>
              </w:rPr>
            </w:pPr>
            <w:r w:rsidRPr="00FC5659">
              <w:rPr>
                <w:rFonts w:asciiTheme="majorBidi" w:hAnsiTheme="majorBidi"/>
                <w:sz w:val="28"/>
                <w:szCs w:val="28"/>
              </w:rPr>
              <w:t>Aim</w:t>
            </w:r>
          </w:p>
        </w:tc>
        <w:tc>
          <w:tcPr>
            <w:tcW w:w="1839" w:type="dxa"/>
          </w:tcPr>
          <w:p w:rsidR="0063635E" w:rsidRPr="00FC5659" w:rsidRDefault="0063635E" w:rsidP="00D45D3B">
            <w:pPr>
              <w:spacing w:line="360" w:lineRule="auto"/>
              <w:cnfStyle w:val="100000000000"/>
              <w:rPr>
                <w:rFonts w:asciiTheme="majorBidi" w:hAnsiTheme="majorBidi"/>
                <w:sz w:val="28"/>
                <w:szCs w:val="28"/>
              </w:rPr>
            </w:pPr>
            <w:r w:rsidRPr="00FC5659">
              <w:rPr>
                <w:rFonts w:asciiTheme="majorBidi" w:hAnsiTheme="majorBidi"/>
                <w:sz w:val="28"/>
                <w:szCs w:val="28"/>
              </w:rPr>
              <w:t xml:space="preserve">Methods  </w:t>
            </w:r>
          </w:p>
        </w:tc>
        <w:tc>
          <w:tcPr>
            <w:tcW w:w="2106" w:type="dxa"/>
          </w:tcPr>
          <w:p w:rsidR="0063635E" w:rsidRPr="00FC5659" w:rsidRDefault="0063635E" w:rsidP="00D45D3B">
            <w:pPr>
              <w:spacing w:line="360" w:lineRule="auto"/>
              <w:cnfStyle w:val="100000000000"/>
              <w:rPr>
                <w:rFonts w:asciiTheme="majorBidi" w:hAnsiTheme="majorBidi"/>
                <w:sz w:val="28"/>
                <w:szCs w:val="28"/>
              </w:rPr>
            </w:pPr>
            <w:r w:rsidRPr="00FC5659">
              <w:rPr>
                <w:rFonts w:asciiTheme="majorBidi" w:hAnsiTheme="majorBidi"/>
                <w:sz w:val="28"/>
                <w:szCs w:val="28"/>
              </w:rPr>
              <w:t xml:space="preserve">Measurements </w:t>
            </w:r>
          </w:p>
        </w:tc>
        <w:tc>
          <w:tcPr>
            <w:tcW w:w="3887" w:type="dxa"/>
          </w:tcPr>
          <w:p w:rsidR="0063635E" w:rsidRPr="00FC5659" w:rsidRDefault="0063635E" w:rsidP="00D45D3B">
            <w:pPr>
              <w:spacing w:line="360" w:lineRule="auto"/>
              <w:cnfStyle w:val="100000000000"/>
              <w:rPr>
                <w:rFonts w:asciiTheme="majorBidi" w:hAnsiTheme="majorBidi"/>
                <w:sz w:val="28"/>
                <w:szCs w:val="28"/>
              </w:rPr>
            </w:pPr>
            <w:r w:rsidRPr="00FC5659">
              <w:rPr>
                <w:rFonts w:asciiTheme="majorBidi" w:hAnsiTheme="majorBidi"/>
                <w:sz w:val="28"/>
                <w:szCs w:val="28"/>
              </w:rPr>
              <w:t xml:space="preserve">Results </w:t>
            </w:r>
          </w:p>
        </w:tc>
      </w:tr>
      <w:tr w:rsidR="0063635E" w:rsidRPr="004B2DD9" w:rsidTr="00FC5659">
        <w:trPr>
          <w:cnfStyle w:val="000000100000"/>
          <w:trHeight w:val="267"/>
        </w:trPr>
        <w:tc>
          <w:tcPr>
            <w:cnfStyle w:val="001000000000"/>
            <w:tcW w:w="1902" w:type="dxa"/>
          </w:tcPr>
          <w:p w:rsidR="0063635E" w:rsidRPr="0063635E" w:rsidRDefault="0063635E" w:rsidP="0063635E">
            <w:pPr>
              <w:pStyle w:val="NoSpacing"/>
              <w:spacing w:line="360" w:lineRule="auto"/>
              <w:rPr>
                <w:rFonts w:asciiTheme="majorBidi" w:eastAsiaTheme="minorHAnsi" w:hAnsiTheme="majorBidi"/>
                <w:sz w:val="24"/>
                <w:szCs w:val="24"/>
              </w:rPr>
            </w:pPr>
            <w:r w:rsidRPr="0063635E">
              <w:rPr>
                <w:rFonts w:asciiTheme="majorBidi" w:eastAsiaTheme="minorHAnsi" w:hAnsiTheme="majorBidi"/>
                <w:sz w:val="24"/>
                <w:szCs w:val="24"/>
              </w:rPr>
              <w:t>Conflict, health care and professional perseverance: A qualitative study in the West Bank</w:t>
            </w:r>
          </w:p>
        </w:tc>
        <w:tc>
          <w:tcPr>
            <w:tcW w:w="1257" w:type="dxa"/>
          </w:tcPr>
          <w:p w:rsidR="0063635E" w:rsidRPr="009212DE" w:rsidRDefault="00457D10" w:rsidP="0063635E">
            <w:pPr>
              <w:numPr>
                <w:ilvl w:val="0"/>
                <w:numId w:val="1"/>
              </w:numPr>
              <w:shd w:val="clear" w:color="auto" w:fill="FFFFFF"/>
              <w:spacing w:beforeAutospacing="1" w:line="360" w:lineRule="auto"/>
              <w:ind w:left="0"/>
              <w:cnfStyle w:val="000000100000"/>
              <w:rPr>
                <w:rFonts w:asciiTheme="majorBidi" w:hAnsiTheme="majorBidi" w:cstheme="majorBidi"/>
                <w:sz w:val="24"/>
                <w:szCs w:val="24"/>
              </w:rPr>
            </w:pPr>
            <w:hyperlink r:id="rId8" w:history="1">
              <w:r w:rsidR="0063635E" w:rsidRPr="0063635E">
                <w:rPr>
                  <w:rFonts w:asciiTheme="majorBidi" w:hAnsiTheme="majorBidi" w:cstheme="majorBidi"/>
                  <w:sz w:val="24"/>
                  <w:szCs w:val="24"/>
                </w:rPr>
                <w:t>Cindy Sousa</w:t>
              </w:r>
            </w:hyperlink>
          </w:p>
          <w:p w:rsidR="0063635E" w:rsidRPr="009212DE" w:rsidRDefault="00457D10" w:rsidP="0063635E">
            <w:pPr>
              <w:numPr>
                <w:ilvl w:val="0"/>
                <w:numId w:val="1"/>
              </w:numPr>
              <w:shd w:val="clear" w:color="auto" w:fill="FFFFFF"/>
              <w:spacing w:beforeAutospacing="1" w:afterAutospacing="1" w:line="360" w:lineRule="auto"/>
              <w:ind w:left="0"/>
              <w:cnfStyle w:val="000000100000"/>
              <w:rPr>
                <w:rFonts w:asciiTheme="majorBidi" w:hAnsiTheme="majorBidi" w:cstheme="majorBidi"/>
                <w:sz w:val="24"/>
                <w:szCs w:val="24"/>
              </w:rPr>
            </w:pPr>
            <w:hyperlink r:id="rId9" w:history="1">
              <w:r w:rsidR="0063635E" w:rsidRPr="0063635E">
                <w:rPr>
                  <w:rFonts w:asciiTheme="majorBidi" w:hAnsiTheme="majorBidi" w:cstheme="majorBidi"/>
                  <w:sz w:val="24"/>
                  <w:szCs w:val="24"/>
                </w:rPr>
                <w:t xml:space="preserve">Amy </w:t>
              </w:r>
              <w:proofErr w:type="spellStart"/>
              <w:r w:rsidR="0063635E" w:rsidRPr="0063635E">
                <w:rPr>
                  <w:rFonts w:asciiTheme="majorBidi" w:hAnsiTheme="majorBidi" w:cstheme="majorBidi"/>
                  <w:sz w:val="24"/>
                  <w:szCs w:val="24"/>
                </w:rPr>
                <w:t>Hagopian</w:t>
              </w:r>
              <w:proofErr w:type="spellEnd"/>
            </w:hyperlink>
          </w:p>
          <w:p w:rsidR="0063635E" w:rsidRPr="0063635E" w:rsidRDefault="0063635E" w:rsidP="0063635E">
            <w:pPr>
              <w:pStyle w:val="NoSpacing"/>
              <w:spacing w:line="360" w:lineRule="auto"/>
              <w:cnfStyle w:val="000000100000"/>
              <w:rPr>
                <w:rFonts w:asciiTheme="majorBidi" w:hAnsiTheme="majorBidi" w:cstheme="majorBidi"/>
                <w:sz w:val="24"/>
                <w:szCs w:val="24"/>
              </w:rPr>
            </w:pPr>
          </w:p>
        </w:tc>
        <w:tc>
          <w:tcPr>
            <w:tcW w:w="1078" w:type="dxa"/>
          </w:tcPr>
          <w:p w:rsidR="0063635E" w:rsidRPr="009212DE" w:rsidRDefault="0063635E" w:rsidP="0063635E">
            <w:pPr>
              <w:numPr>
                <w:ilvl w:val="0"/>
                <w:numId w:val="2"/>
              </w:numPr>
              <w:shd w:val="clear" w:color="auto" w:fill="FFFFFF"/>
              <w:spacing w:before="100" w:beforeAutospacing="1" w:after="120" w:line="360" w:lineRule="auto"/>
              <w:ind w:left="0"/>
              <w:cnfStyle w:val="000000100000"/>
              <w:rPr>
                <w:rFonts w:asciiTheme="majorBidi" w:hAnsiTheme="majorBidi" w:cstheme="majorBidi"/>
                <w:sz w:val="24"/>
                <w:szCs w:val="24"/>
              </w:rPr>
            </w:pPr>
            <w:r w:rsidRPr="009212DE">
              <w:rPr>
                <w:rFonts w:asciiTheme="majorBidi" w:hAnsiTheme="majorBidi" w:cstheme="majorBidi"/>
                <w:sz w:val="24"/>
                <w:szCs w:val="24"/>
              </w:rPr>
              <w:t>May 2011</w:t>
            </w:r>
          </w:p>
          <w:p w:rsidR="0063635E" w:rsidRPr="0063635E" w:rsidRDefault="0063635E" w:rsidP="0063635E">
            <w:pPr>
              <w:pStyle w:val="NoSpacing"/>
              <w:spacing w:line="360" w:lineRule="auto"/>
              <w:cnfStyle w:val="000000100000"/>
              <w:rPr>
                <w:rFonts w:asciiTheme="majorBidi" w:hAnsiTheme="majorBidi" w:cstheme="majorBidi"/>
                <w:sz w:val="24"/>
                <w:szCs w:val="24"/>
              </w:rPr>
            </w:pPr>
          </w:p>
        </w:tc>
        <w:tc>
          <w:tcPr>
            <w:tcW w:w="222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This paper explores the challenges experienced by health care workers in West Bank, Palestine, as well as their strategies of persistence.</w:t>
            </w:r>
          </w:p>
        </w:tc>
        <w:tc>
          <w:tcPr>
            <w:tcW w:w="183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Research activities included participant observation and interviews with health care providers, which were then </w:t>
            </w:r>
            <w:r w:rsidR="00AD0A78" w:rsidRPr="0063635E">
              <w:rPr>
                <w:rFonts w:asciiTheme="majorBidi" w:hAnsiTheme="majorBidi" w:cstheme="majorBidi"/>
                <w:sz w:val="24"/>
                <w:szCs w:val="24"/>
              </w:rPr>
              <w:t>analyzed</w:t>
            </w:r>
            <w:bookmarkStart w:id="0" w:name="_GoBack"/>
            <w:bookmarkEnd w:id="0"/>
            <w:r w:rsidRPr="0063635E">
              <w:rPr>
                <w:rFonts w:asciiTheme="majorBidi" w:hAnsiTheme="majorBidi" w:cstheme="majorBidi"/>
                <w:sz w:val="24"/>
                <w:szCs w:val="24"/>
              </w:rPr>
              <w:t xml:space="preserve"> for common themes</w:t>
            </w:r>
          </w:p>
        </w:tc>
        <w:tc>
          <w:tcPr>
            <w:tcW w:w="2106" w:type="dxa"/>
          </w:tcPr>
          <w:p w:rsidR="0063635E" w:rsidRPr="0063635E" w:rsidRDefault="00B72E75" w:rsidP="0063635E">
            <w:pPr>
              <w:pStyle w:val="NoSpacing"/>
              <w:spacing w:line="360" w:lineRule="auto"/>
              <w:cnfStyle w:val="000000100000"/>
              <w:rPr>
                <w:rFonts w:asciiTheme="majorBidi" w:hAnsiTheme="majorBidi" w:cstheme="majorBidi"/>
                <w:sz w:val="24"/>
                <w:szCs w:val="24"/>
              </w:rPr>
            </w:pPr>
            <w:r>
              <w:t xml:space="preserve">Data collection included participant observation, analysis of secondary data, and semi-structured interviews with key informants. The majority of data collection occurred in the West Bank during the summer of 2007, with follow-up in 2008 and 2009. Various measures were employed to enhance the </w:t>
            </w:r>
            <w:proofErr w:type="spellStart"/>
            <w:r>
              <w:t>rigour</w:t>
            </w:r>
            <w:proofErr w:type="spellEnd"/>
            <w:r>
              <w:t xml:space="preserve"> of the research (e.g., member checking </w:t>
            </w:r>
            <w:r>
              <w:lastRenderedPageBreak/>
              <w:t>and triangulation of data), as suggested by scholars of qualitative health research (Devers 1999).</w:t>
            </w:r>
          </w:p>
        </w:tc>
        <w:tc>
          <w:tcPr>
            <w:tcW w:w="388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lastRenderedPageBreak/>
              <w:t>Results demonstrated that the Israeli military occupation of the West Bank considerably impacts civilians’ access to both urgent and preventive care. While attempting to deliver care, providers encountered disruptions, harassment and violence, which interrupted care and contributed to job stress. Professional perseverance was evident, but its influence was limited by enduring constraints. This study thus underscores the importance of accountability to international law regarding the rights of civilians to health care in conflict zones. Health professionals may play a particular role in advocating for just and dignified resolutions to conflicts.</w:t>
            </w:r>
          </w:p>
        </w:tc>
      </w:tr>
      <w:tr w:rsidR="0063635E" w:rsidRPr="0063635E" w:rsidTr="00FC5659">
        <w:trPr>
          <w:cnfStyle w:val="000000010000"/>
          <w:trHeight w:val="1054"/>
        </w:trPr>
        <w:tc>
          <w:tcPr>
            <w:cnfStyle w:val="001000000000"/>
            <w:tcW w:w="1902" w:type="dxa"/>
          </w:tcPr>
          <w:p w:rsidR="0063635E" w:rsidRPr="0063635E" w:rsidRDefault="0063635E" w:rsidP="0063635E">
            <w:pPr>
              <w:spacing w:line="360" w:lineRule="auto"/>
              <w:rPr>
                <w:rFonts w:asciiTheme="majorBidi" w:eastAsiaTheme="minorHAnsi" w:hAnsiTheme="majorBidi"/>
                <w:sz w:val="24"/>
                <w:szCs w:val="24"/>
              </w:rPr>
            </w:pPr>
            <w:r w:rsidRPr="0063635E">
              <w:rPr>
                <w:rFonts w:asciiTheme="majorBidi" w:eastAsiaTheme="minorHAnsi" w:hAnsiTheme="majorBidi"/>
                <w:sz w:val="24"/>
                <w:szCs w:val="24"/>
              </w:rPr>
              <w:lastRenderedPageBreak/>
              <w:t>Access to healthcare for children in Palestine</w:t>
            </w:r>
          </w:p>
        </w:tc>
        <w:tc>
          <w:tcPr>
            <w:tcW w:w="1257"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Tony Waterston,</w:t>
            </w:r>
            <w:r w:rsidRPr="0063635E">
              <w:rPr>
                <w:rFonts w:asciiTheme="majorBidi" w:hAnsiTheme="majorBidi" w:cstheme="majorBidi"/>
                <w:sz w:val="24"/>
                <w:szCs w:val="24"/>
                <w:rtl/>
              </w:rPr>
              <w:t xml:space="preserve"> </w:t>
            </w:r>
            <w:r w:rsidRPr="0063635E">
              <w:rPr>
                <w:rFonts w:asciiTheme="majorBidi" w:hAnsiTheme="majorBidi" w:cstheme="majorBidi"/>
                <w:sz w:val="24"/>
                <w:szCs w:val="24"/>
              </w:rPr>
              <w:t>Dina Nasser</w:t>
            </w:r>
          </w:p>
        </w:tc>
        <w:tc>
          <w:tcPr>
            <w:tcW w:w="1078"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November 2017</w:t>
            </w:r>
          </w:p>
        </w:tc>
        <w:tc>
          <w:tcPr>
            <w:tcW w:w="2229" w:type="dxa"/>
          </w:tcPr>
          <w:p w:rsidR="0063635E" w:rsidRPr="0063635E" w:rsidRDefault="0063635E" w:rsidP="0063635E">
            <w:pPr>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The aim of this </w:t>
            </w:r>
            <w:r w:rsidR="00AD0A78">
              <w:rPr>
                <w:rFonts w:asciiTheme="majorBidi" w:hAnsiTheme="majorBidi" w:cstheme="majorBidi"/>
                <w:sz w:val="24"/>
                <w:szCs w:val="24"/>
              </w:rPr>
              <w:t>program</w:t>
            </w:r>
            <w:r w:rsidRPr="0063635E">
              <w:rPr>
                <w:rFonts w:asciiTheme="majorBidi" w:hAnsiTheme="majorBidi" w:cstheme="majorBidi"/>
                <w:sz w:val="24"/>
                <w:szCs w:val="24"/>
              </w:rPr>
              <w:t xml:space="preserve"> was to improve the quality of </w:t>
            </w:r>
            <w:r w:rsidR="00AD0A78" w:rsidRPr="0063635E">
              <w:rPr>
                <w:rFonts w:asciiTheme="majorBidi" w:hAnsiTheme="majorBidi" w:cstheme="majorBidi"/>
                <w:sz w:val="24"/>
                <w:szCs w:val="24"/>
              </w:rPr>
              <w:t>pediatric</w:t>
            </w:r>
            <w:r w:rsidRPr="0063635E">
              <w:rPr>
                <w:rFonts w:asciiTheme="majorBidi" w:hAnsiTheme="majorBidi" w:cstheme="majorBidi"/>
                <w:sz w:val="24"/>
                <w:szCs w:val="24"/>
              </w:rPr>
              <w:t xml:space="preserve"> primary care which was widely considered to be imperfect</w:t>
            </w:r>
          </w:p>
        </w:tc>
        <w:tc>
          <w:tcPr>
            <w:tcW w:w="1839"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Review </w:t>
            </w:r>
          </w:p>
        </w:tc>
        <w:tc>
          <w:tcPr>
            <w:tcW w:w="2106"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Case study </w:t>
            </w:r>
          </w:p>
          <w:p w:rsidR="0063635E" w:rsidRPr="0063635E" w:rsidRDefault="0063635E" w:rsidP="0063635E">
            <w:pPr>
              <w:pStyle w:val="NoSpacing"/>
              <w:spacing w:line="360" w:lineRule="auto"/>
              <w:cnfStyle w:val="000000010000"/>
              <w:rPr>
                <w:rFonts w:asciiTheme="majorBidi" w:hAnsiTheme="majorBidi" w:cstheme="majorBidi"/>
                <w:sz w:val="24"/>
                <w:szCs w:val="24"/>
              </w:rPr>
            </w:pPr>
          </w:p>
        </w:tc>
        <w:tc>
          <w:tcPr>
            <w:tcW w:w="3887"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Access to healthcare for children in Palestine is constrained as a result of the requirement for visas to travel into Jerusalem where specialist hospitals are sited, by difficulties with ambulance transfers, by shortages of equipment in hospitals and by lack of trained staff. Palestinian health workers are developing new initiatives in healthcare and show a high level of resilience, despite the very considerable stress affecting most citizens</w:t>
            </w:r>
          </w:p>
        </w:tc>
      </w:tr>
      <w:tr w:rsidR="0063635E" w:rsidRPr="0063635E" w:rsidTr="00FC5659">
        <w:trPr>
          <w:cnfStyle w:val="000000100000"/>
          <w:trHeight w:val="1181"/>
        </w:trPr>
        <w:tc>
          <w:tcPr>
            <w:cnfStyle w:val="001000000000"/>
            <w:tcW w:w="1902" w:type="dxa"/>
          </w:tcPr>
          <w:p w:rsidR="0063635E" w:rsidRPr="0063635E" w:rsidRDefault="0063635E" w:rsidP="0063635E">
            <w:pPr>
              <w:spacing w:line="360" w:lineRule="auto"/>
              <w:rPr>
                <w:rFonts w:asciiTheme="majorBidi" w:eastAsiaTheme="minorHAnsi" w:hAnsiTheme="majorBidi"/>
                <w:sz w:val="24"/>
                <w:szCs w:val="24"/>
              </w:rPr>
            </w:pPr>
            <w:r w:rsidRPr="0063635E">
              <w:rPr>
                <w:rFonts w:asciiTheme="majorBidi" w:eastAsiaTheme="minorHAnsi" w:hAnsiTheme="majorBidi"/>
                <w:sz w:val="24"/>
                <w:szCs w:val="24"/>
              </w:rPr>
              <w:lastRenderedPageBreak/>
              <w:t>Cancer registration and healthcare access in West Bank, Palestine: a GIS analysis of childhood cancer, 1998–2007</w:t>
            </w:r>
          </w:p>
        </w:tc>
        <w:tc>
          <w:tcPr>
            <w:tcW w:w="125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M. </w:t>
            </w:r>
            <w:proofErr w:type="spellStart"/>
            <w:r w:rsidRPr="0063635E">
              <w:rPr>
                <w:rFonts w:asciiTheme="majorBidi" w:hAnsiTheme="majorBidi" w:cstheme="majorBidi"/>
                <w:sz w:val="24"/>
                <w:szCs w:val="24"/>
              </w:rPr>
              <w:t>Rami</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Bailony</w:t>
            </w:r>
            <w:proofErr w:type="spellEnd"/>
            <w:r w:rsidRPr="0063635E">
              <w:rPr>
                <w:rFonts w:asciiTheme="majorBidi" w:hAnsiTheme="majorBidi" w:cstheme="majorBidi"/>
                <w:sz w:val="24"/>
                <w:szCs w:val="24"/>
              </w:rPr>
              <w:t xml:space="preserve"> , Mohammad K. </w:t>
            </w:r>
            <w:proofErr w:type="spellStart"/>
            <w:r w:rsidRPr="0063635E">
              <w:rPr>
                <w:rFonts w:asciiTheme="majorBidi" w:hAnsiTheme="majorBidi" w:cstheme="majorBidi"/>
                <w:sz w:val="24"/>
                <w:szCs w:val="24"/>
              </w:rPr>
              <w:t>Hararah</w:t>
            </w:r>
            <w:proofErr w:type="spellEnd"/>
            <w:r w:rsidRPr="0063635E">
              <w:rPr>
                <w:rFonts w:asciiTheme="majorBidi" w:hAnsiTheme="majorBidi" w:cstheme="majorBidi"/>
                <w:sz w:val="24"/>
                <w:szCs w:val="24"/>
              </w:rPr>
              <w:t xml:space="preserve"> , Abdel </w:t>
            </w:r>
            <w:proofErr w:type="spellStart"/>
            <w:r w:rsidRPr="0063635E">
              <w:rPr>
                <w:rFonts w:asciiTheme="majorBidi" w:hAnsiTheme="majorBidi" w:cstheme="majorBidi"/>
                <w:sz w:val="24"/>
                <w:szCs w:val="24"/>
              </w:rPr>
              <w:t>Razzaq</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Salhab</w:t>
            </w:r>
            <w:proofErr w:type="spellEnd"/>
            <w:r w:rsidRPr="0063635E">
              <w:rPr>
                <w:rFonts w:asciiTheme="majorBidi" w:hAnsiTheme="majorBidi" w:cstheme="majorBidi"/>
                <w:sz w:val="24"/>
                <w:szCs w:val="24"/>
              </w:rPr>
              <w:t xml:space="preserve"> , Ibrahim </w:t>
            </w:r>
            <w:proofErr w:type="spellStart"/>
            <w:r w:rsidRPr="0063635E">
              <w:rPr>
                <w:rFonts w:asciiTheme="majorBidi" w:hAnsiTheme="majorBidi" w:cstheme="majorBidi"/>
                <w:sz w:val="24"/>
                <w:szCs w:val="24"/>
              </w:rPr>
              <w:t>Ghannam</w:t>
            </w:r>
            <w:proofErr w:type="spellEnd"/>
            <w:r w:rsidRPr="0063635E">
              <w:rPr>
                <w:rFonts w:asciiTheme="majorBidi" w:hAnsiTheme="majorBidi" w:cstheme="majorBidi"/>
                <w:sz w:val="24"/>
                <w:szCs w:val="24"/>
              </w:rPr>
              <w:t xml:space="preserve"> , </w:t>
            </w:r>
            <w:proofErr w:type="spellStart"/>
            <w:r w:rsidRPr="0063635E">
              <w:rPr>
                <w:rFonts w:asciiTheme="majorBidi" w:hAnsiTheme="majorBidi" w:cstheme="majorBidi"/>
                <w:sz w:val="24"/>
                <w:szCs w:val="24"/>
              </w:rPr>
              <w:t>Ziad</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Abdeen</w:t>
            </w:r>
            <w:proofErr w:type="spellEnd"/>
            <w:r w:rsidRPr="0063635E">
              <w:rPr>
                <w:rFonts w:asciiTheme="majorBidi" w:hAnsiTheme="majorBidi" w:cstheme="majorBidi"/>
                <w:sz w:val="24"/>
                <w:szCs w:val="24"/>
              </w:rPr>
              <w:t xml:space="preserve"> and Jess </w:t>
            </w:r>
            <w:proofErr w:type="spellStart"/>
            <w:r w:rsidRPr="0063635E">
              <w:rPr>
                <w:rFonts w:asciiTheme="majorBidi" w:hAnsiTheme="majorBidi" w:cstheme="majorBidi"/>
                <w:sz w:val="24"/>
                <w:szCs w:val="24"/>
              </w:rPr>
              <w:t>Ghannam</w:t>
            </w:r>
            <w:proofErr w:type="spellEnd"/>
          </w:p>
        </w:tc>
        <w:tc>
          <w:tcPr>
            <w:tcW w:w="1078"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2010</w:t>
            </w:r>
          </w:p>
        </w:tc>
        <w:tc>
          <w:tcPr>
            <w:tcW w:w="2229" w:type="dxa"/>
          </w:tcPr>
          <w:p w:rsidR="0063635E" w:rsidRPr="0063635E" w:rsidRDefault="00AD0A78"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Explore</w:t>
            </w:r>
            <w:r w:rsidR="0063635E" w:rsidRPr="0063635E">
              <w:rPr>
                <w:rFonts w:asciiTheme="majorBidi" w:hAnsiTheme="majorBidi" w:cstheme="majorBidi"/>
                <w:sz w:val="24"/>
                <w:szCs w:val="24"/>
              </w:rPr>
              <w:t xml:space="preserve"> the potential of geographic information systems (GIS) to add value to the understanding of childhood cancer patterns in the West Bank, despite a variety of obstacles to disease registration.</w:t>
            </w:r>
          </w:p>
        </w:tc>
        <w:tc>
          <w:tcPr>
            <w:tcW w:w="183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Statistical analysis </w:t>
            </w:r>
          </w:p>
        </w:tc>
        <w:tc>
          <w:tcPr>
            <w:tcW w:w="2106"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geographic information systems (GIS)</w:t>
            </w:r>
          </w:p>
        </w:tc>
        <w:tc>
          <w:tcPr>
            <w:tcW w:w="388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Our study reveals that the application of geographic information systems (GIS) tools to registry data in LMIC can help to identify geographical patterns in cancer registration and healthcare accessibility, generating priorities for future health research and policy in resource-limited areas.</w:t>
            </w:r>
          </w:p>
        </w:tc>
      </w:tr>
      <w:tr w:rsidR="0063635E" w:rsidRPr="0063635E" w:rsidTr="00FC5659">
        <w:trPr>
          <w:cnfStyle w:val="000000010000"/>
          <w:trHeight w:val="562"/>
        </w:trPr>
        <w:tc>
          <w:tcPr>
            <w:cnfStyle w:val="001000000000"/>
            <w:tcW w:w="1902" w:type="dxa"/>
          </w:tcPr>
          <w:p w:rsidR="0063635E" w:rsidRPr="0063635E" w:rsidRDefault="0063635E" w:rsidP="0063635E">
            <w:pPr>
              <w:spacing w:line="360" w:lineRule="auto"/>
              <w:rPr>
                <w:rFonts w:asciiTheme="majorBidi" w:eastAsiaTheme="minorHAnsi" w:hAnsiTheme="majorBidi"/>
                <w:sz w:val="24"/>
                <w:szCs w:val="24"/>
              </w:rPr>
            </w:pPr>
            <w:r w:rsidRPr="0063635E">
              <w:rPr>
                <w:rFonts w:asciiTheme="majorBidi" w:eastAsiaTheme="minorHAnsi" w:hAnsiTheme="majorBidi"/>
                <w:sz w:val="24"/>
                <w:szCs w:val="24"/>
              </w:rPr>
              <w:t xml:space="preserve">Maternal and child access to care and intensity of conflict in the occupied </w:t>
            </w:r>
            <w:r w:rsidRPr="0063635E">
              <w:rPr>
                <w:rFonts w:asciiTheme="majorBidi" w:eastAsiaTheme="minorHAnsi" w:hAnsiTheme="majorBidi"/>
                <w:sz w:val="24"/>
                <w:szCs w:val="24"/>
              </w:rPr>
              <w:lastRenderedPageBreak/>
              <w:t>Palestinian territory: a pseudo longitudinal analysis (2000–2014)</w:t>
            </w:r>
          </w:p>
        </w:tc>
        <w:tc>
          <w:tcPr>
            <w:tcW w:w="1257"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proofErr w:type="spellStart"/>
            <w:r w:rsidRPr="0063635E">
              <w:rPr>
                <w:rFonts w:asciiTheme="majorBidi" w:hAnsiTheme="majorBidi" w:cstheme="majorBidi"/>
                <w:sz w:val="24"/>
                <w:szCs w:val="24"/>
              </w:rPr>
              <w:lastRenderedPageBreak/>
              <w:t>Tiziana</w:t>
            </w:r>
            <w:proofErr w:type="spellEnd"/>
            <w:r w:rsidRPr="0063635E">
              <w:rPr>
                <w:rFonts w:asciiTheme="majorBidi" w:hAnsiTheme="majorBidi" w:cstheme="majorBidi"/>
                <w:sz w:val="24"/>
                <w:szCs w:val="24"/>
              </w:rPr>
              <w:t xml:space="preserve"> Leone , Diego </w:t>
            </w:r>
            <w:proofErr w:type="spellStart"/>
            <w:r w:rsidRPr="0063635E">
              <w:rPr>
                <w:rFonts w:asciiTheme="majorBidi" w:hAnsiTheme="majorBidi" w:cstheme="majorBidi"/>
                <w:sz w:val="24"/>
                <w:szCs w:val="24"/>
              </w:rPr>
              <w:t>Alburez</w:t>
            </w:r>
            <w:proofErr w:type="spellEnd"/>
            <w:r w:rsidRPr="0063635E">
              <w:rPr>
                <w:rFonts w:asciiTheme="majorBidi" w:hAnsiTheme="majorBidi" w:cstheme="majorBidi"/>
                <w:sz w:val="24"/>
                <w:szCs w:val="24"/>
              </w:rPr>
              <w:t xml:space="preserve">-Gutierrez, </w:t>
            </w:r>
            <w:proofErr w:type="spellStart"/>
            <w:r w:rsidRPr="0063635E">
              <w:rPr>
                <w:rFonts w:asciiTheme="majorBidi" w:hAnsiTheme="majorBidi" w:cstheme="majorBidi"/>
                <w:sz w:val="24"/>
                <w:szCs w:val="24"/>
              </w:rPr>
              <w:t>Rula</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lastRenderedPageBreak/>
              <w:t>Ghandour</w:t>
            </w:r>
            <w:proofErr w:type="spellEnd"/>
            <w:r w:rsidRPr="0063635E">
              <w:rPr>
                <w:rFonts w:asciiTheme="majorBidi" w:hAnsiTheme="majorBidi" w:cstheme="majorBidi"/>
                <w:sz w:val="24"/>
                <w:szCs w:val="24"/>
              </w:rPr>
              <w:t xml:space="preserve"> , Ernestina Coast and Rita Giacaman</w:t>
            </w:r>
          </w:p>
        </w:tc>
        <w:tc>
          <w:tcPr>
            <w:tcW w:w="1078"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lastRenderedPageBreak/>
              <w:t>2019</w:t>
            </w:r>
          </w:p>
        </w:tc>
        <w:tc>
          <w:tcPr>
            <w:tcW w:w="2229"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To establish the relationship between intensity of conflict and maternal and child health care access in </w:t>
            </w:r>
            <w:proofErr w:type="gramStart"/>
            <w:r w:rsidRPr="0063635E">
              <w:rPr>
                <w:rFonts w:asciiTheme="majorBidi" w:hAnsiTheme="majorBidi" w:cstheme="majorBidi"/>
                <w:sz w:val="24"/>
                <w:szCs w:val="24"/>
              </w:rPr>
              <w:t>the oPt</w:t>
            </w:r>
            <w:proofErr w:type="gramEnd"/>
            <w:r w:rsidRPr="0063635E">
              <w:rPr>
                <w:rFonts w:asciiTheme="majorBidi" w:hAnsiTheme="majorBidi" w:cstheme="majorBidi"/>
                <w:sz w:val="24"/>
                <w:szCs w:val="24"/>
              </w:rPr>
              <w:t xml:space="preserve"> </w:t>
            </w:r>
            <w:r w:rsidRPr="0063635E">
              <w:rPr>
                <w:rFonts w:asciiTheme="majorBidi" w:hAnsiTheme="majorBidi" w:cstheme="majorBidi"/>
                <w:sz w:val="24"/>
                <w:szCs w:val="24"/>
              </w:rPr>
              <w:lastRenderedPageBreak/>
              <w:t>between the Second Palestinian Uprising (Intifada) of 2000–2004 and 2014.</w:t>
            </w:r>
          </w:p>
        </w:tc>
        <w:tc>
          <w:tcPr>
            <w:tcW w:w="1839"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lastRenderedPageBreak/>
              <w:t xml:space="preserve">Retrospective study: Data for this study come from four surveys carried out by the </w:t>
            </w:r>
            <w:r w:rsidRPr="0063635E">
              <w:rPr>
                <w:rFonts w:asciiTheme="majorBidi" w:hAnsiTheme="majorBidi" w:cstheme="majorBidi"/>
                <w:sz w:val="24"/>
                <w:szCs w:val="24"/>
              </w:rPr>
              <w:lastRenderedPageBreak/>
              <w:t>Palestinian Central Bureau of Statistics (PCBS) between 2004 and 2014.</w:t>
            </w:r>
          </w:p>
        </w:tc>
        <w:tc>
          <w:tcPr>
            <w:tcW w:w="2106" w:type="dxa"/>
          </w:tcPr>
          <w:p w:rsidR="0063635E" w:rsidRPr="0063635E" w:rsidRDefault="0063635E" w:rsidP="0063635E">
            <w:pPr>
              <w:pStyle w:val="NoSpacing"/>
              <w:spacing w:line="360" w:lineRule="auto"/>
              <w:cnfStyle w:val="000000010000"/>
              <w:rPr>
                <w:rFonts w:asciiTheme="majorBidi" w:hAnsiTheme="majorBidi" w:cstheme="majorBidi"/>
                <w:sz w:val="24"/>
                <w:szCs w:val="24"/>
                <w:rtl/>
              </w:rPr>
            </w:pPr>
            <w:r w:rsidRPr="0063635E">
              <w:rPr>
                <w:rFonts w:asciiTheme="majorBidi" w:hAnsiTheme="majorBidi" w:cstheme="majorBidi"/>
                <w:sz w:val="24"/>
                <w:szCs w:val="24"/>
              </w:rPr>
              <w:lastRenderedPageBreak/>
              <w:t>analyses pooled data from household surveys covering a fifteen-year period (2000–2014) of children</w:t>
            </w:r>
          </w:p>
        </w:tc>
        <w:tc>
          <w:tcPr>
            <w:tcW w:w="3887"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This study shows how locality is the strongest factor when looking at the impact of conflict in the </w:t>
            </w:r>
            <w:proofErr w:type="spellStart"/>
            <w:r w:rsidRPr="0063635E">
              <w:rPr>
                <w:rFonts w:asciiTheme="majorBidi" w:hAnsiTheme="majorBidi" w:cstheme="majorBidi"/>
                <w:sz w:val="24"/>
                <w:szCs w:val="24"/>
              </w:rPr>
              <w:t>oPt.</w:t>
            </w:r>
            <w:proofErr w:type="spellEnd"/>
            <w:r w:rsidRPr="0063635E">
              <w:rPr>
                <w:rFonts w:asciiTheme="majorBidi" w:hAnsiTheme="majorBidi" w:cstheme="majorBidi"/>
                <w:sz w:val="24"/>
                <w:szCs w:val="24"/>
              </w:rPr>
              <w:t xml:space="preserve"> Preventative services (ANC and vaccinations) are the most affected by conflict. We recommend a greater use </w:t>
            </w:r>
            <w:r w:rsidRPr="0063635E">
              <w:rPr>
                <w:rFonts w:asciiTheme="majorBidi" w:hAnsiTheme="majorBidi" w:cstheme="majorBidi"/>
                <w:sz w:val="24"/>
                <w:szCs w:val="24"/>
              </w:rPr>
              <w:lastRenderedPageBreak/>
              <w:t>of community health care to improve access to maternal and child care when barriers impede access to health facilities during times of conflict.</w:t>
            </w:r>
          </w:p>
        </w:tc>
      </w:tr>
      <w:tr w:rsidR="0063635E" w:rsidRPr="0063635E" w:rsidTr="00FC5659">
        <w:trPr>
          <w:cnfStyle w:val="000000100000"/>
          <w:trHeight w:val="311"/>
        </w:trPr>
        <w:tc>
          <w:tcPr>
            <w:cnfStyle w:val="001000000000"/>
            <w:tcW w:w="1902" w:type="dxa"/>
          </w:tcPr>
          <w:p w:rsidR="0063635E" w:rsidRPr="0063635E" w:rsidRDefault="0063635E" w:rsidP="0063635E">
            <w:pPr>
              <w:spacing w:line="360" w:lineRule="auto"/>
              <w:rPr>
                <w:rFonts w:asciiTheme="majorBidi" w:eastAsiaTheme="minorHAnsi" w:hAnsiTheme="majorBidi"/>
                <w:sz w:val="24"/>
                <w:szCs w:val="24"/>
              </w:rPr>
            </w:pPr>
            <w:r w:rsidRPr="0063635E">
              <w:rPr>
                <w:rFonts w:asciiTheme="majorBidi" w:eastAsiaTheme="minorHAnsi" w:hAnsiTheme="majorBidi"/>
                <w:sz w:val="24"/>
                <w:szCs w:val="24"/>
              </w:rPr>
              <w:lastRenderedPageBreak/>
              <w:t>Mental health needs and services in the West Bank, Palestine</w:t>
            </w:r>
          </w:p>
        </w:tc>
        <w:tc>
          <w:tcPr>
            <w:tcW w:w="125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Mohammad Marie , Ben Hannigan and Aled Jones</w:t>
            </w:r>
          </w:p>
        </w:tc>
        <w:tc>
          <w:tcPr>
            <w:tcW w:w="1078"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2016</w:t>
            </w:r>
          </w:p>
        </w:tc>
        <w:tc>
          <w:tcPr>
            <w:tcW w:w="222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To examine the mental health needs of Palestinians and the availability of services, before making recommendations for policy, development and practice.</w:t>
            </w:r>
          </w:p>
        </w:tc>
        <w:tc>
          <w:tcPr>
            <w:tcW w:w="183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Literature review study </w:t>
            </w:r>
          </w:p>
        </w:tc>
        <w:tc>
          <w:tcPr>
            <w:tcW w:w="2106"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CINAHL, PubMed, and Science Direct were used to search for materials.</w:t>
            </w:r>
          </w:p>
        </w:tc>
        <w:tc>
          <w:tcPr>
            <w:tcW w:w="388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Evidence from this review is that there is a necessity to increase the availability and quality of mental health care. Mental health policy and services in Palestine need development in order to better meet the needs of service users and professionals. It is essential to raise awareness of mental health and increase the integration of mental health services with other areas of health care. Civilians need their basic human needs met, including having freedom of movement and seeing an </w:t>
            </w:r>
            <w:r w:rsidRPr="0063635E">
              <w:rPr>
                <w:rFonts w:asciiTheme="majorBidi" w:hAnsiTheme="majorBidi" w:cstheme="majorBidi"/>
                <w:sz w:val="24"/>
                <w:szCs w:val="24"/>
              </w:rPr>
              <w:lastRenderedPageBreak/>
              <w:t>end to the occupation. There is a need to enhance the resilience and capacity of community mental health teams. There is a need to increase resources and offer more support, up-to-date training and supervision to mental health teams.</w:t>
            </w:r>
          </w:p>
        </w:tc>
      </w:tr>
      <w:tr w:rsidR="0063635E" w:rsidRPr="0063635E" w:rsidTr="00FC5659">
        <w:trPr>
          <w:cnfStyle w:val="000000010000"/>
          <w:trHeight w:val="1186"/>
        </w:trPr>
        <w:tc>
          <w:tcPr>
            <w:cnfStyle w:val="001000000000"/>
            <w:tcW w:w="1902" w:type="dxa"/>
          </w:tcPr>
          <w:p w:rsidR="0063635E" w:rsidRPr="0063635E" w:rsidRDefault="0063635E" w:rsidP="0063635E">
            <w:pPr>
              <w:spacing w:line="360" w:lineRule="auto"/>
              <w:rPr>
                <w:rFonts w:asciiTheme="majorBidi" w:eastAsiaTheme="minorHAnsi" w:hAnsiTheme="majorBidi"/>
                <w:sz w:val="24"/>
                <w:szCs w:val="24"/>
              </w:rPr>
            </w:pPr>
            <w:r w:rsidRPr="0063635E">
              <w:rPr>
                <w:rFonts w:asciiTheme="majorBidi" w:eastAsiaTheme="minorHAnsi" w:hAnsiTheme="majorBidi"/>
                <w:sz w:val="24"/>
                <w:szCs w:val="24"/>
              </w:rPr>
              <w:lastRenderedPageBreak/>
              <w:t>Health and dignity of Palestine refugees at stake: a need for international response to sustain crucial life services at UNRWA</w:t>
            </w:r>
          </w:p>
        </w:tc>
        <w:tc>
          <w:tcPr>
            <w:tcW w:w="1257"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Akiko Kitamura, </w:t>
            </w:r>
            <w:proofErr w:type="spellStart"/>
            <w:r w:rsidRPr="0063635E">
              <w:rPr>
                <w:rFonts w:asciiTheme="majorBidi" w:hAnsiTheme="majorBidi" w:cstheme="majorBidi"/>
                <w:sz w:val="24"/>
                <w:szCs w:val="24"/>
              </w:rPr>
              <w:t>Masamine</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Jimba</w:t>
            </w:r>
            <w:proofErr w:type="spellEnd"/>
            <w:r w:rsidRPr="0063635E">
              <w:rPr>
                <w:rFonts w:asciiTheme="majorBidi" w:hAnsiTheme="majorBidi" w:cstheme="majorBidi"/>
                <w:sz w:val="24"/>
                <w:szCs w:val="24"/>
              </w:rPr>
              <w:t xml:space="preserve">, Julia </w:t>
            </w:r>
            <w:proofErr w:type="spellStart"/>
            <w:r w:rsidRPr="0063635E">
              <w:rPr>
                <w:rFonts w:asciiTheme="majorBidi" w:hAnsiTheme="majorBidi" w:cstheme="majorBidi"/>
                <w:sz w:val="24"/>
                <w:szCs w:val="24"/>
              </w:rPr>
              <w:t>McCahey</w:t>
            </w:r>
            <w:proofErr w:type="spellEnd"/>
            <w:r w:rsidRPr="0063635E">
              <w:rPr>
                <w:rFonts w:asciiTheme="majorBidi" w:hAnsiTheme="majorBidi" w:cstheme="majorBidi"/>
                <w:sz w:val="24"/>
                <w:szCs w:val="24"/>
              </w:rPr>
              <w:t xml:space="preserve">, Gloria </w:t>
            </w:r>
            <w:proofErr w:type="spellStart"/>
            <w:r w:rsidRPr="0063635E">
              <w:rPr>
                <w:rFonts w:asciiTheme="majorBidi" w:hAnsiTheme="majorBidi" w:cstheme="majorBidi"/>
                <w:sz w:val="24"/>
                <w:szCs w:val="24"/>
              </w:rPr>
              <w:t>Paolucci</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Sayed</w:t>
            </w:r>
            <w:proofErr w:type="spellEnd"/>
            <w:r w:rsidRPr="0063635E">
              <w:rPr>
                <w:rFonts w:asciiTheme="majorBidi" w:hAnsiTheme="majorBidi" w:cstheme="majorBidi"/>
                <w:sz w:val="24"/>
                <w:szCs w:val="24"/>
              </w:rPr>
              <w:t xml:space="preserve"> Shah, </w:t>
            </w:r>
            <w:proofErr w:type="spellStart"/>
            <w:r w:rsidRPr="0063635E">
              <w:rPr>
                <w:rFonts w:asciiTheme="majorBidi" w:hAnsiTheme="majorBidi" w:cstheme="majorBidi"/>
                <w:sz w:val="24"/>
                <w:szCs w:val="24"/>
              </w:rPr>
              <w:t>Majed</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Hababeh</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Yousef</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lastRenderedPageBreak/>
              <w:t>Shahin</w:t>
            </w:r>
            <w:proofErr w:type="spellEnd"/>
            <w:r w:rsidRPr="0063635E">
              <w:rPr>
                <w:rFonts w:asciiTheme="majorBidi" w:hAnsiTheme="majorBidi" w:cstheme="majorBidi"/>
                <w:sz w:val="24"/>
                <w:szCs w:val="24"/>
              </w:rPr>
              <w:t xml:space="preserve">, Akihiro </w:t>
            </w:r>
            <w:proofErr w:type="spellStart"/>
            <w:r w:rsidRPr="0063635E">
              <w:rPr>
                <w:rFonts w:asciiTheme="majorBidi" w:hAnsiTheme="majorBidi" w:cstheme="majorBidi"/>
                <w:sz w:val="24"/>
                <w:szCs w:val="24"/>
              </w:rPr>
              <w:t>Seita</w:t>
            </w:r>
            <w:proofErr w:type="spellEnd"/>
          </w:p>
        </w:tc>
        <w:tc>
          <w:tcPr>
            <w:tcW w:w="1078"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lastRenderedPageBreak/>
              <w:t>2018</w:t>
            </w:r>
          </w:p>
        </w:tc>
        <w:tc>
          <w:tcPr>
            <w:tcW w:w="2229"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Using a historical and health policy perspective, this Health Policy examines UNRWA strategies that facilitate continuous provision of health-care services for Palestine refugees. Given the increasingly volatile environment faced </w:t>
            </w:r>
            <w:r w:rsidRPr="0063635E">
              <w:rPr>
                <w:rFonts w:asciiTheme="majorBidi" w:hAnsiTheme="majorBidi" w:cstheme="majorBidi"/>
                <w:sz w:val="24"/>
                <w:szCs w:val="24"/>
              </w:rPr>
              <w:lastRenderedPageBreak/>
              <w:t>by this population, a multifaceted international response is needed to enable UNRWA to deliver sustainable services to Palestine refugees and avert further loss of life, dignity, and hope, pending a just and lasting solution to their plight in accordance with applicable international law and UN General Assembly resolutions.</w:t>
            </w:r>
          </w:p>
        </w:tc>
        <w:tc>
          <w:tcPr>
            <w:tcW w:w="1839"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lastRenderedPageBreak/>
              <w:t>Health Policy</w:t>
            </w:r>
          </w:p>
        </w:tc>
        <w:tc>
          <w:tcPr>
            <w:tcW w:w="2106"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We extracted epidemiological data </w:t>
            </w:r>
            <w:proofErr w:type="spellStart"/>
            <w:r w:rsidRPr="0063635E">
              <w:rPr>
                <w:rFonts w:asciiTheme="majorBidi" w:hAnsiTheme="majorBidi" w:cstheme="majorBidi"/>
                <w:sz w:val="24"/>
                <w:szCs w:val="24"/>
              </w:rPr>
              <w:t>analysed</w:t>
            </w:r>
            <w:proofErr w:type="spellEnd"/>
            <w:r w:rsidRPr="0063635E">
              <w:rPr>
                <w:rFonts w:asciiTheme="majorBidi" w:hAnsiTheme="majorBidi" w:cstheme="majorBidi"/>
                <w:sz w:val="24"/>
                <w:szCs w:val="24"/>
              </w:rPr>
              <w:t xml:space="preserve"> in this Health Policy from the UN Relief and Works Agency for Palestine Refugees in the Near East (UNRWA) Department of Health annual reports dating back </w:t>
            </w:r>
            <w:r w:rsidRPr="0063635E">
              <w:rPr>
                <w:rFonts w:asciiTheme="majorBidi" w:hAnsiTheme="majorBidi" w:cstheme="majorBidi"/>
                <w:sz w:val="24"/>
                <w:szCs w:val="24"/>
              </w:rPr>
              <w:lastRenderedPageBreak/>
              <w:t xml:space="preserve">to the 1950s, medical records, and other field reporting systems of UNRWA. Between June 27, 2018 and Sept 6, 2018, we identified relevant data with search engines such as PubMed and the Cochrane Library, and references from articles using selected search terms for studies published, abstracts, books, web reports, and </w:t>
            </w:r>
            <w:r w:rsidRPr="0063635E">
              <w:rPr>
                <w:rFonts w:asciiTheme="majorBidi" w:hAnsiTheme="majorBidi" w:cstheme="majorBidi"/>
                <w:sz w:val="24"/>
                <w:szCs w:val="24"/>
              </w:rPr>
              <w:lastRenderedPageBreak/>
              <w:t>unpublished materials, and included them in our analysis when they related directly to the history of UNRWA health policies and previous activities of the agency.</w:t>
            </w:r>
          </w:p>
        </w:tc>
        <w:tc>
          <w:tcPr>
            <w:tcW w:w="3887" w:type="dxa"/>
          </w:tcPr>
          <w:p w:rsidR="0063635E" w:rsidRPr="0063635E" w:rsidRDefault="0063635E" w:rsidP="0063635E">
            <w:pPr>
              <w:pStyle w:val="NoSpacing"/>
              <w:spacing w:line="360" w:lineRule="auto"/>
              <w:cnfStyle w:val="000000010000"/>
              <w:rPr>
                <w:rFonts w:asciiTheme="majorBidi" w:hAnsiTheme="majorBidi" w:cstheme="majorBidi"/>
                <w:sz w:val="24"/>
                <w:szCs w:val="24"/>
                <w:rtl/>
              </w:rPr>
            </w:pPr>
            <w:r w:rsidRPr="0063635E">
              <w:rPr>
                <w:rFonts w:asciiTheme="majorBidi" w:hAnsiTheme="majorBidi" w:cstheme="majorBidi"/>
                <w:sz w:val="24"/>
                <w:szCs w:val="24"/>
              </w:rPr>
              <w:lastRenderedPageBreak/>
              <w:t>UNRWA demands that the situation of Palestine refugees be further examined, and that the international community and civil societies break through the silence and support UNRWA in upholding the fundamental human rights and dignity of Palestine refugees</w:t>
            </w:r>
          </w:p>
        </w:tc>
      </w:tr>
      <w:tr w:rsidR="0063635E" w:rsidRPr="0063635E" w:rsidTr="00FC5659">
        <w:trPr>
          <w:cnfStyle w:val="000000100000"/>
          <w:trHeight w:val="1018"/>
        </w:trPr>
        <w:tc>
          <w:tcPr>
            <w:cnfStyle w:val="001000000000"/>
            <w:tcW w:w="1902" w:type="dxa"/>
          </w:tcPr>
          <w:p w:rsidR="0063635E" w:rsidRPr="0063635E" w:rsidRDefault="0063635E" w:rsidP="0063635E">
            <w:pPr>
              <w:spacing w:line="360" w:lineRule="auto"/>
              <w:rPr>
                <w:rFonts w:asciiTheme="majorBidi" w:eastAsiaTheme="minorHAnsi" w:hAnsiTheme="majorBidi"/>
                <w:sz w:val="24"/>
                <w:szCs w:val="24"/>
              </w:rPr>
            </w:pPr>
            <w:r w:rsidRPr="0063635E">
              <w:rPr>
                <w:rFonts w:asciiTheme="majorBidi" w:eastAsiaTheme="minorHAnsi" w:hAnsiTheme="majorBidi"/>
                <w:sz w:val="24"/>
                <w:szCs w:val="24"/>
              </w:rPr>
              <w:lastRenderedPageBreak/>
              <w:t xml:space="preserve">The limitations on choice: Palestinian women’s childbirth location, dissatisfaction with the place of birth and </w:t>
            </w:r>
            <w:r w:rsidRPr="0063635E">
              <w:rPr>
                <w:rFonts w:asciiTheme="majorBidi" w:eastAsiaTheme="minorHAnsi" w:hAnsiTheme="majorBidi"/>
                <w:sz w:val="24"/>
                <w:szCs w:val="24"/>
              </w:rPr>
              <w:lastRenderedPageBreak/>
              <w:t>determinants</w:t>
            </w:r>
          </w:p>
        </w:tc>
        <w:tc>
          <w:tcPr>
            <w:tcW w:w="125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lastRenderedPageBreak/>
              <w:t xml:space="preserve">Rita Giacaman, </w:t>
            </w:r>
            <w:proofErr w:type="spellStart"/>
            <w:r w:rsidRPr="0063635E">
              <w:rPr>
                <w:rFonts w:asciiTheme="majorBidi" w:hAnsiTheme="majorBidi" w:cstheme="majorBidi"/>
                <w:sz w:val="24"/>
                <w:szCs w:val="24"/>
              </w:rPr>
              <w:t>Niveen</w:t>
            </w:r>
            <w:proofErr w:type="spellEnd"/>
            <w:r w:rsidRPr="0063635E">
              <w:rPr>
                <w:rFonts w:asciiTheme="majorBidi" w:hAnsiTheme="majorBidi" w:cstheme="majorBidi"/>
                <w:sz w:val="24"/>
                <w:szCs w:val="24"/>
              </w:rPr>
              <w:t xml:space="preserve"> M. E. Abu-</w:t>
            </w:r>
            <w:proofErr w:type="spellStart"/>
            <w:r w:rsidRPr="0063635E">
              <w:rPr>
                <w:rFonts w:asciiTheme="majorBidi" w:hAnsiTheme="majorBidi" w:cstheme="majorBidi"/>
                <w:sz w:val="24"/>
                <w:szCs w:val="24"/>
              </w:rPr>
              <w:t>Rmeileh</w:t>
            </w:r>
            <w:proofErr w:type="spellEnd"/>
            <w:r w:rsidRPr="0063635E">
              <w:rPr>
                <w:rFonts w:asciiTheme="majorBidi" w:hAnsiTheme="majorBidi" w:cstheme="majorBidi"/>
                <w:sz w:val="24"/>
                <w:szCs w:val="24"/>
              </w:rPr>
              <w:t>, Laura Wick</w:t>
            </w:r>
          </w:p>
        </w:tc>
        <w:tc>
          <w:tcPr>
            <w:tcW w:w="1078" w:type="dxa"/>
          </w:tcPr>
          <w:p w:rsidR="0063635E" w:rsidRPr="0063635E" w:rsidRDefault="00FC5659" w:rsidP="0063635E">
            <w:pPr>
              <w:spacing w:line="360" w:lineRule="auto"/>
              <w:cnfStyle w:val="000000100000"/>
              <w:rPr>
                <w:rFonts w:asciiTheme="majorBidi" w:hAnsiTheme="majorBidi" w:cstheme="majorBidi"/>
                <w:sz w:val="24"/>
                <w:szCs w:val="24"/>
              </w:rPr>
            </w:pPr>
            <w:r>
              <w:rPr>
                <w:rFonts w:asciiTheme="majorBidi" w:hAnsiTheme="majorBidi" w:cstheme="majorBidi"/>
                <w:sz w:val="24"/>
                <w:szCs w:val="24"/>
              </w:rPr>
              <w:t>2007</w:t>
            </w:r>
          </w:p>
        </w:tc>
        <w:tc>
          <w:tcPr>
            <w:tcW w:w="222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proofErr w:type="gramStart"/>
            <w:r w:rsidRPr="0063635E">
              <w:rPr>
                <w:rFonts w:asciiTheme="majorBidi" w:hAnsiTheme="majorBidi" w:cstheme="majorBidi"/>
                <w:sz w:val="24"/>
                <w:szCs w:val="24"/>
              </w:rPr>
              <w:t>this</w:t>
            </w:r>
            <w:proofErr w:type="gramEnd"/>
            <w:r w:rsidRPr="0063635E">
              <w:rPr>
                <w:rFonts w:asciiTheme="majorBidi" w:hAnsiTheme="majorBidi" w:cstheme="majorBidi"/>
                <w:sz w:val="24"/>
                <w:szCs w:val="24"/>
              </w:rPr>
              <w:t xml:space="preserve"> article focuses on the question of where women living in the Occupied Palestinian Territory give birth, and whether it was the preferred/place of choice for delivery. </w:t>
            </w:r>
            <w:r w:rsidRPr="0063635E">
              <w:rPr>
                <w:rFonts w:asciiTheme="majorBidi" w:hAnsiTheme="majorBidi" w:cstheme="majorBidi"/>
                <w:sz w:val="24"/>
                <w:szCs w:val="24"/>
              </w:rPr>
              <w:lastRenderedPageBreak/>
              <w:t>We further identify some of the determinants of women’s dissatisfaction with childbirth location</w:t>
            </w:r>
          </w:p>
        </w:tc>
        <w:tc>
          <w:tcPr>
            <w:tcW w:w="183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lastRenderedPageBreak/>
              <w:t>Descriptive analyses</w:t>
            </w:r>
          </w:p>
        </w:tc>
        <w:tc>
          <w:tcPr>
            <w:tcW w:w="2106"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Multiple logistic regression analysis established the association between dissatisfaction with the place of birth and selected determinants.</w:t>
            </w:r>
          </w:p>
        </w:tc>
        <w:tc>
          <w:tcPr>
            <w:tcW w:w="388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A total of 3.5% of women delivered at home, with the rest in assisted facilities. Overall, 20.5% of women reported that their childbirth location was not the preferred place of delivery. Women who delivered at home; in governmental facilities; in regions other than the central West Bank; who had sudden delivery or did </w:t>
            </w:r>
            <w:r w:rsidRPr="0063635E">
              <w:rPr>
                <w:rFonts w:asciiTheme="majorBidi" w:hAnsiTheme="majorBidi" w:cstheme="majorBidi"/>
                <w:sz w:val="24"/>
                <w:szCs w:val="24"/>
              </w:rPr>
              <w:lastRenderedPageBreak/>
              <w:t xml:space="preserve">not reach their preferred childbirth location because of closures and siege; because of costs/the availability of insurance; or because there were no other locations available, were significantly more likely to be dissatisfied with their childbirth location compared to those who birthed in private facilities, the central West Bank, and in locations with better and more available services. Conclusion: The findings demonstrate that Palestinian women’s choice of a place of birth is constrained and modified by the availability, affordability, and limited access to services induced by continuing closures and siege. These findings need to be taken into consideration when planning for </w:t>
            </w:r>
            <w:r w:rsidRPr="0063635E">
              <w:rPr>
                <w:rFonts w:asciiTheme="majorBidi" w:hAnsiTheme="majorBidi" w:cstheme="majorBidi"/>
                <w:sz w:val="24"/>
                <w:szCs w:val="24"/>
              </w:rPr>
              <w:lastRenderedPageBreak/>
              <w:t>maternity services in the Occupied Palestinian Territory.</w:t>
            </w:r>
          </w:p>
        </w:tc>
      </w:tr>
      <w:tr w:rsidR="0063635E" w:rsidRPr="0063635E" w:rsidTr="00FC5659">
        <w:trPr>
          <w:cnfStyle w:val="000000010000"/>
          <w:trHeight w:val="68"/>
        </w:trPr>
        <w:tc>
          <w:tcPr>
            <w:cnfStyle w:val="001000000000"/>
            <w:tcW w:w="1902" w:type="dxa"/>
          </w:tcPr>
          <w:p w:rsidR="0063635E" w:rsidRPr="0063635E" w:rsidRDefault="0063635E" w:rsidP="0063635E">
            <w:pPr>
              <w:spacing w:line="360" w:lineRule="auto"/>
              <w:rPr>
                <w:rFonts w:asciiTheme="majorBidi" w:eastAsiaTheme="minorHAnsi" w:hAnsiTheme="majorBidi"/>
                <w:sz w:val="24"/>
                <w:szCs w:val="24"/>
              </w:rPr>
            </w:pPr>
            <w:r w:rsidRPr="0063635E">
              <w:rPr>
                <w:rFonts w:asciiTheme="majorBidi" w:eastAsiaTheme="minorHAnsi" w:hAnsiTheme="majorBidi"/>
                <w:sz w:val="24"/>
                <w:szCs w:val="24"/>
              </w:rPr>
              <w:lastRenderedPageBreak/>
              <w:t>Social ecology of resilience and Sumud of Palestinians</w:t>
            </w:r>
          </w:p>
        </w:tc>
        <w:tc>
          <w:tcPr>
            <w:tcW w:w="1257"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Mohammad Marie , Ben Hannigan and Aled Jones</w:t>
            </w:r>
          </w:p>
        </w:tc>
        <w:tc>
          <w:tcPr>
            <w:tcW w:w="1078"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2018</w:t>
            </w:r>
          </w:p>
        </w:tc>
        <w:tc>
          <w:tcPr>
            <w:tcW w:w="2229"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The aim of this article is to provide an overview of theoretical perspectives and practical research knowledge in relation to ‘resilience’, the resilience of Palestinians in particular and the related concept of ‘Sumud’. ‘</w:t>
            </w:r>
          </w:p>
        </w:tc>
        <w:tc>
          <w:tcPr>
            <w:tcW w:w="1839"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Literature review study </w:t>
            </w:r>
          </w:p>
        </w:tc>
        <w:tc>
          <w:tcPr>
            <w:tcW w:w="2106" w:type="dxa"/>
          </w:tcPr>
          <w:p w:rsidR="0063635E" w:rsidRPr="0063635E" w:rsidRDefault="0063635E" w:rsidP="0063635E">
            <w:pPr>
              <w:pStyle w:val="NoSpacing"/>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xml:space="preserve">The literature reviewed in this article was gathered in the course of a larger doctoral study completed by the first author (M.M.). </w:t>
            </w:r>
            <w:proofErr w:type="gramStart"/>
            <w:r w:rsidRPr="0063635E">
              <w:rPr>
                <w:rFonts w:asciiTheme="majorBidi" w:hAnsiTheme="majorBidi" w:cstheme="majorBidi"/>
                <w:sz w:val="24"/>
                <w:szCs w:val="24"/>
              </w:rPr>
              <w:t>located</w:t>
            </w:r>
            <w:proofErr w:type="gramEnd"/>
            <w:r w:rsidRPr="0063635E">
              <w:rPr>
                <w:rFonts w:asciiTheme="majorBidi" w:hAnsiTheme="majorBidi" w:cstheme="majorBidi"/>
                <w:sz w:val="24"/>
                <w:szCs w:val="24"/>
              </w:rPr>
              <w:t xml:space="preserve"> through a search of multiple databases (CINAHL, British Nursing Index, ASSIA, MEDLINE, PsycINFO and EMBASE).</w:t>
            </w:r>
          </w:p>
        </w:tc>
        <w:tc>
          <w:tcPr>
            <w:tcW w:w="3887" w:type="dxa"/>
          </w:tcPr>
          <w:p w:rsidR="0063635E" w:rsidRPr="0063635E" w:rsidRDefault="0063635E" w:rsidP="0063635E">
            <w:pPr>
              <w:spacing w:line="360" w:lineRule="auto"/>
              <w:cnfStyle w:val="000000010000"/>
              <w:rPr>
                <w:rFonts w:asciiTheme="majorBidi" w:hAnsiTheme="majorBidi" w:cstheme="majorBidi"/>
                <w:sz w:val="24"/>
                <w:szCs w:val="24"/>
              </w:rPr>
            </w:pPr>
            <w:r w:rsidRPr="0063635E">
              <w:rPr>
                <w:rFonts w:asciiTheme="majorBidi" w:hAnsiTheme="majorBidi" w:cstheme="majorBidi"/>
                <w:sz w:val="24"/>
                <w:szCs w:val="24"/>
              </w:rPr>
              <w:t>. Findings suggest that ‘Sumud’ is linked to the surrounding cultural context and can be thought of as an innovative, social ecological, approach to promoting resilience. We show that resilience is a prerequisite to ‘Sumud’, meaning that the individual has to be resilient in order to stay and not to leave their place, position or community. We close by pressing the case for studies which investigate resilience especially in underdeveloped countries such as Palestine (occupied Palestinian territories), and which reveal how resilience is embedded in pre-existing cultural contexts.</w:t>
            </w:r>
          </w:p>
        </w:tc>
      </w:tr>
      <w:tr w:rsidR="0063635E" w:rsidRPr="0063635E" w:rsidTr="00FC5659">
        <w:trPr>
          <w:cnfStyle w:val="000000100000"/>
          <w:trHeight w:val="364"/>
        </w:trPr>
        <w:tc>
          <w:tcPr>
            <w:cnfStyle w:val="001000000000"/>
            <w:tcW w:w="1902" w:type="dxa"/>
          </w:tcPr>
          <w:p w:rsidR="0063635E" w:rsidRPr="0063635E" w:rsidRDefault="0063635E" w:rsidP="0063635E">
            <w:pPr>
              <w:pStyle w:val="NoSpacing"/>
              <w:spacing w:line="360" w:lineRule="auto"/>
              <w:rPr>
                <w:rFonts w:asciiTheme="majorBidi" w:eastAsiaTheme="minorHAnsi" w:hAnsiTheme="majorBidi"/>
                <w:sz w:val="24"/>
                <w:szCs w:val="24"/>
              </w:rPr>
            </w:pPr>
            <w:r w:rsidRPr="0063635E">
              <w:rPr>
                <w:rFonts w:asciiTheme="majorBidi" w:eastAsiaTheme="minorHAnsi" w:hAnsiTheme="majorBidi"/>
                <w:sz w:val="24"/>
                <w:szCs w:val="24"/>
              </w:rPr>
              <w:lastRenderedPageBreak/>
              <w:t>Barriers to the access to health services in the occupied Palestinian territory: a cohort study</w:t>
            </w:r>
          </w:p>
        </w:tc>
        <w:tc>
          <w:tcPr>
            <w:tcW w:w="125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Anita </w:t>
            </w:r>
            <w:proofErr w:type="spellStart"/>
            <w:r w:rsidRPr="0063635E">
              <w:rPr>
                <w:rFonts w:asciiTheme="majorBidi" w:hAnsiTheme="majorBidi" w:cstheme="majorBidi"/>
                <w:sz w:val="24"/>
                <w:szCs w:val="24"/>
              </w:rPr>
              <w:t>Vitullo</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Abdelnasser</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Soboh</w:t>
            </w:r>
            <w:proofErr w:type="spellEnd"/>
            <w:r w:rsidRPr="0063635E">
              <w:rPr>
                <w:rFonts w:asciiTheme="majorBidi" w:hAnsiTheme="majorBidi" w:cstheme="majorBidi"/>
                <w:sz w:val="24"/>
                <w:szCs w:val="24"/>
              </w:rPr>
              <w:t xml:space="preserve">, Jenny </w:t>
            </w:r>
            <w:proofErr w:type="spellStart"/>
            <w:r w:rsidRPr="0063635E">
              <w:rPr>
                <w:rFonts w:asciiTheme="majorBidi" w:hAnsiTheme="majorBidi" w:cstheme="majorBidi"/>
                <w:sz w:val="24"/>
                <w:szCs w:val="24"/>
              </w:rPr>
              <w:t>Oskarsson</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Tasneem</w:t>
            </w:r>
            <w:proofErr w:type="spellEnd"/>
            <w:r w:rsidRPr="0063635E">
              <w:rPr>
                <w:rFonts w:asciiTheme="majorBidi" w:hAnsiTheme="majorBidi" w:cstheme="majorBidi"/>
                <w:sz w:val="24"/>
                <w:szCs w:val="24"/>
              </w:rPr>
              <w:t xml:space="preserve"> </w:t>
            </w:r>
            <w:proofErr w:type="spellStart"/>
            <w:r w:rsidRPr="0063635E">
              <w:rPr>
                <w:rFonts w:asciiTheme="majorBidi" w:hAnsiTheme="majorBidi" w:cstheme="majorBidi"/>
                <w:sz w:val="24"/>
                <w:szCs w:val="24"/>
              </w:rPr>
              <w:t>Atatrah</w:t>
            </w:r>
            <w:proofErr w:type="spellEnd"/>
            <w:r w:rsidRPr="0063635E">
              <w:rPr>
                <w:rFonts w:asciiTheme="majorBidi" w:hAnsiTheme="majorBidi" w:cstheme="majorBidi"/>
                <w:sz w:val="24"/>
                <w:szCs w:val="24"/>
              </w:rPr>
              <w:t xml:space="preserve">, Mohamed </w:t>
            </w:r>
            <w:proofErr w:type="spellStart"/>
            <w:r w:rsidRPr="0063635E">
              <w:rPr>
                <w:rFonts w:asciiTheme="majorBidi" w:hAnsiTheme="majorBidi" w:cstheme="majorBidi"/>
                <w:sz w:val="24"/>
                <w:szCs w:val="24"/>
              </w:rPr>
              <w:t>Lafi</w:t>
            </w:r>
            <w:proofErr w:type="spellEnd"/>
            <w:r w:rsidRPr="0063635E">
              <w:rPr>
                <w:rFonts w:asciiTheme="majorBidi" w:hAnsiTheme="majorBidi" w:cstheme="majorBidi"/>
                <w:sz w:val="24"/>
                <w:szCs w:val="24"/>
              </w:rPr>
              <w:t xml:space="preserve"> , Tony </w:t>
            </w:r>
            <w:proofErr w:type="spellStart"/>
            <w:r w:rsidRPr="0063635E">
              <w:rPr>
                <w:rFonts w:asciiTheme="majorBidi" w:hAnsiTheme="majorBidi" w:cstheme="majorBidi"/>
                <w:sz w:val="24"/>
                <w:szCs w:val="24"/>
              </w:rPr>
              <w:t>Laurance</w:t>
            </w:r>
            <w:proofErr w:type="spellEnd"/>
          </w:p>
        </w:tc>
        <w:tc>
          <w:tcPr>
            <w:tcW w:w="1078"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2012</w:t>
            </w:r>
          </w:p>
        </w:tc>
        <w:tc>
          <w:tcPr>
            <w:tcW w:w="2229" w:type="dxa"/>
          </w:tcPr>
          <w:p w:rsidR="0063635E" w:rsidRPr="0063635E" w:rsidRDefault="00AD0A78" w:rsidP="0063635E">
            <w:pPr>
              <w:pStyle w:val="NoSpacing"/>
              <w:spacing w:line="360" w:lineRule="auto"/>
              <w:cnfStyle w:val="000000100000"/>
              <w:rPr>
                <w:rFonts w:asciiTheme="majorBidi" w:hAnsiTheme="majorBidi" w:cstheme="majorBidi"/>
                <w:sz w:val="24"/>
                <w:szCs w:val="24"/>
              </w:rPr>
            </w:pPr>
            <w:r>
              <w:rPr>
                <w:rFonts w:asciiTheme="majorBidi" w:hAnsiTheme="majorBidi" w:cstheme="majorBidi"/>
                <w:sz w:val="24"/>
                <w:szCs w:val="24"/>
              </w:rPr>
              <w:t xml:space="preserve">We assessed the extent and </w:t>
            </w:r>
            <w:proofErr w:type="spellStart"/>
            <w:r>
              <w:rPr>
                <w:rFonts w:asciiTheme="majorBidi" w:hAnsiTheme="majorBidi" w:cstheme="majorBidi"/>
                <w:sz w:val="24"/>
                <w:szCs w:val="24"/>
              </w:rPr>
              <w:t>effetc</w:t>
            </w:r>
            <w:proofErr w:type="spellEnd"/>
            <w:r w:rsidR="0063635E" w:rsidRPr="0063635E">
              <w:rPr>
                <w:rFonts w:asciiTheme="majorBidi" w:hAnsiTheme="majorBidi" w:cstheme="majorBidi"/>
                <w:sz w:val="24"/>
                <w:szCs w:val="24"/>
              </w:rPr>
              <w:t xml:space="preserve"> of these barriers for Palestinian patients needing health care and for Palestinian servic</w:t>
            </w:r>
            <w:r>
              <w:rPr>
                <w:rFonts w:asciiTheme="majorBidi" w:hAnsiTheme="majorBidi" w:cstheme="majorBidi"/>
                <w:sz w:val="24"/>
                <w:szCs w:val="24"/>
              </w:rPr>
              <w:t>e providers who encounter diffi</w:t>
            </w:r>
            <w:r w:rsidR="0063635E" w:rsidRPr="0063635E">
              <w:rPr>
                <w:rFonts w:asciiTheme="majorBidi" w:hAnsiTheme="majorBidi" w:cstheme="majorBidi"/>
                <w:sz w:val="24"/>
                <w:szCs w:val="24"/>
              </w:rPr>
              <w:t>culties in travelling to work.</w:t>
            </w:r>
          </w:p>
        </w:tc>
        <w:tc>
          <w:tcPr>
            <w:tcW w:w="1839"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quantitative and qualitative approaches to describe and </w:t>
            </w:r>
            <w:r w:rsidR="00AD0A78" w:rsidRPr="0063635E">
              <w:rPr>
                <w:rFonts w:asciiTheme="majorBidi" w:hAnsiTheme="majorBidi" w:cstheme="majorBidi"/>
                <w:sz w:val="24"/>
                <w:szCs w:val="24"/>
              </w:rPr>
              <w:t>analyze</w:t>
            </w:r>
            <w:r w:rsidRPr="0063635E">
              <w:rPr>
                <w:rFonts w:asciiTheme="majorBidi" w:hAnsiTheme="majorBidi" w:cstheme="majorBidi"/>
                <w:sz w:val="24"/>
                <w:szCs w:val="24"/>
              </w:rPr>
              <w:t xml:space="preserve"> the experiences of Palestinians in the West Bank and Gaza Strip who applied for permits from the Israeli authorities during 2011, either to access health care or for travel to work in Palestinian hospitals in East </w:t>
            </w:r>
            <w:r w:rsidRPr="0063635E">
              <w:rPr>
                <w:rFonts w:asciiTheme="majorBidi" w:hAnsiTheme="majorBidi" w:cstheme="majorBidi"/>
                <w:sz w:val="24"/>
                <w:szCs w:val="24"/>
              </w:rPr>
              <w:lastRenderedPageBreak/>
              <w:t>Jerusalem.</w:t>
            </w:r>
          </w:p>
        </w:tc>
        <w:tc>
          <w:tcPr>
            <w:tcW w:w="2106"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lastRenderedPageBreak/>
              <w:t xml:space="preserve">Data were </w:t>
            </w:r>
            <w:r w:rsidR="00AD0A78" w:rsidRPr="0063635E">
              <w:rPr>
                <w:rFonts w:asciiTheme="majorBidi" w:hAnsiTheme="majorBidi" w:cstheme="majorBidi"/>
                <w:sz w:val="24"/>
                <w:szCs w:val="24"/>
              </w:rPr>
              <w:t>analyzed</w:t>
            </w:r>
            <w:r w:rsidRPr="0063635E">
              <w:rPr>
                <w:rFonts w:asciiTheme="majorBidi" w:hAnsiTheme="majorBidi" w:cstheme="majorBidi"/>
                <w:sz w:val="24"/>
                <w:szCs w:val="24"/>
              </w:rPr>
              <w:t xml:space="preserve"> with Microsoft Excel (versions 2007 and 2010). Verbal approval for use of data was obtained from the Palestinian Ministry of Health and General Authority of Civil </w:t>
            </w:r>
            <w:proofErr w:type="spellStart"/>
            <w:r w:rsidRPr="0063635E">
              <w:rPr>
                <w:rFonts w:asciiTheme="majorBidi" w:hAnsiTheme="majorBidi" w:cstheme="majorBidi"/>
                <w:sz w:val="24"/>
                <w:szCs w:val="24"/>
              </w:rPr>
              <w:t>Aff</w:t>
            </w:r>
            <w:proofErr w:type="spellEnd"/>
            <w:r w:rsidRPr="0063635E">
              <w:rPr>
                <w:rFonts w:asciiTheme="majorBidi" w:hAnsiTheme="majorBidi" w:cstheme="majorBidi"/>
                <w:sz w:val="24"/>
                <w:szCs w:val="24"/>
              </w:rPr>
              <w:t xml:space="preserve"> airs. Patients and families gave verbal consent for interviews. We did not use patients’ personal information.</w:t>
            </w:r>
          </w:p>
        </w:tc>
        <w:tc>
          <w:tcPr>
            <w:tcW w:w="3887" w:type="dxa"/>
          </w:tcPr>
          <w:p w:rsidR="0063635E" w:rsidRPr="0063635E" w:rsidRDefault="0063635E" w:rsidP="0063635E">
            <w:pPr>
              <w:pStyle w:val="NoSpacing"/>
              <w:spacing w:line="360" w:lineRule="auto"/>
              <w:cnfStyle w:val="000000100000"/>
              <w:rPr>
                <w:rFonts w:asciiTheme="majorBidi" w:hAnsiTheme="majorBidi" w:cstheme="majorBidi"/>
                <w:sz w:val="24"/>
                <w:szCs w:val="24"/>
              </w:rPr>
            </w:pPr>
            <w:r w:rsidRPr="0063635E">
              <w:rPr>
                <w:rFonts w:asciiTheme="majorBidi" w:hAnsiTheme="majorBidi" w:cstheme="majorBidi"/>
                <w:sz w:val="24"/>
                <w:szCs w:val="24"/>
              </w:rPr>
              <w:t xml:space="preserve">In 2011, 33 285 patients (23 877 from West Bank and 9408 from Gaza Strip) referred by the Ministry of Health required Israeli permits for access to hospitals. Of these referrals, 24 168 (73%) were within </w:t>
            </w:r>
            <w:proofErr w:type="gramStart"/>
            <w:r w:rsidRPr="0063635E">
              <w:rPr>
                <w:rFonts w:asciiTheme="majorBidi" w:hAnsiTheme="majorBidi" w:cstheme="majorBidi"/>
                <w:sz w:val="24"/>
                <w:szCs w:val="24"/>
              </w:rPr>
              <w:t>the oPt</w:t>
            </w:r>
            <w:proofErr w:type="gramEnd"/>
            <w:r w:rsidRPr="0063635E">
              <w:rPr>
                <w:rFonts w:asciiTheme="majorBidi" w:hAnsiTheme="majorBidi" w:cstheme="majorBidi"/>
                <w:sz w:val="24"/>
                <w:szCs w:val="24"/>
              </w:rPr>
              <w:t xml:space="preserve">, and 4764 (14%) to Israel and 4350 (13%) to Jordan. 175 228 patients and their companions in the West Bank applied for permits for health-care access in 2011; of these, 32 678 (19%; </w:t>
            </w:r>
            <w:r w:rsidR="00AD0A78">
              <w:rPr>
                <w:rFonts w:asciiTheme="majorBidi" w:hAnsiTheme="majorBidi" w:cstheme="majorBidi"/>
                <w:sz w:val="24"/>
                <w:szCs w:val="24"/>
              </w:rPr>
              <w:t>range 8–30% in 16 district offi</w:t>
            </w:r>
            <w:r w:rsidRPr="0063635E">
              <w:rPr>
                <w:rFonts w:asciiTheme="majorBidi" w:hAnsiTheme="majorBidi" w:cstheme="majorBidi"/>
                <w:sz w:val="24"/>
                <w:szCs w:val="24"/>
              </w:rPr>
              <w:t>ces) had their access permits den</w:t>
            </w:r>
            <w:r w:rsidR="00AD0A78">
              <w:rPr>
                <w:rFonts w:asciiTheme="majorBidi" w:hAnsiTheme="majorBidi" w:cstheme="majorBidi"/>
                <w:sz w:val="24"/>
                <w:szCs w:val="24"/>
              </w:rPr>
              <w:t>ied or delayed. Data for the fi</w:t>
            </w:r>
            <w:r w:rsidRPr="0063635E">
              <w:rPr>
                <w:rFonts w:asciiTheme="majorBidi" w:hAnsiTheme="majorBidi" w:cstheme="majorBidi"/>
                <w:sz w:val="24"/>
                <w:szCs w:val="24"/>
              </w:rPr>
              <w:t>rst quarter o</w:t>
            </w:r>
            <w:r w:rsidR="00AD0A78">
              <w:rPr>
                <w:rFonts w:asciiTheme="majorBidi" w:hAnsiTheme="majorBidi" w:cstheme="majorBidi"/>
                <w:sz w:val="24"/>
                <w:szCs w:val="24"/>
              </w:rPr>
              <w:t>f 2012 from three district offi</w:t>
            </w:r>
            <w:r w:rsidRPr="0063635E">
              <w:rPr>
                <w:rFonts w:asciiTheme="majorBidi" w:hAnsiTheme="majorBidi" w:cstheme="majorBidi"/>
                <w:sz w:val="24"/>
                <w:szCs w:val="24"/>
              </w:rPr>
              <w:t>ces showed the most frequent reason given for denying patients was security (680 [42%] of 1622 denials)</w:t>
            </w:r>
            <w:r w:rsidR="00AD0A78">
              <w:rPr>
                <w:rFonts w:asciiTheme="majorBidi" w:hAnsiTheme="majorBidi" w:cstheme="majorBidi"/>
                <w:sz w:val="24"/>
                <w:szCs w:val="24"/>
              </w:rPr>
              <w:t>. No criteria could be identifi</w:t>
            </w:r>
            <w:r w:rsidRPr="0063635E">
              <w:rPr>
                <w:rFonts w:asciiTheme="majorBidi" w:hAnsiTheme="majorBidi" w:cstheme="majorBidi"/>
                <w:sz w:val="24"/>
                <w:szCs w:val="24"/>
              </w:rPr>
              <w:t xml:space="preserve">ed for denials on the basis of security. For </w:t>
            </w:r>
            <w:r w:rsidRPr="0063635E">
              <w:rPr>
                <w:rFonts w:asciiTheme="majorBidi" w:hAnsiTheme="majorBidi" w:cstheme="majorBidi"/>
                <w:sz w:val="24"/>
                <w:szCs w:val="24"/>
              </w:rPr>
              <w:lastRenderedPageBreak/>
              <w:t xml:space="preserve">the 1053 staff </w:t>
            </w:r>
            <w:proofErr w:type="gramStart"/>
            <w:r w:rsidRPr="0063635E">
              <w:rPr>
                <w:rFonts w:asciiTheme="majorBidi" w:hAnsiTheme="majorBidi" w:cstheme="majorBidi"/>
                <w:sz w:val="24"/>
                <w:szCs w:val="24"/>
              </w:rPr>
              <w:t>who</w:t>
            </w:r>
            <w:proofErr w:type="gramEnd"/>
            <w:r w:rsidRPr="0063635E">
              <w:rPr>
                <w:rFonts w:asciiTheme="majorBidi" w:hAnsiTheme="majorBidi" w:cstheme="majorBidi"/>
                <w:sz w:val="24"/>
                <w:szCs w:val="24"/>
              </w:rPr>
              <w:t xml:space="preserve"> needed permits to travel to work in hospitals in East Jerusalem, 986 staff received permits for 6 months, 46 for 3 months, and 21 were denied permits. All permits were restricted by mode and route of entrance to East Jerusalem. Only on 49 (5%) of 1074 occasions were ambulances permitted to enter East Jerusalem. In 2011, 1082 (10%) of 10 560 applicants in the Gaza Strip had their access permits denied or delayed, with no reason given, and 197 (2%) were called for security interview. Patients aged 18–40 years had the highest rate of denied or delayed permits. Tracer interviews with Gazan families of patients who had their permits denied or delayed showed that six patients died while </w:t>
            </w:r>
            <w:r w:rsidRPr="0063635E">
              <w:rPr>
                <w:rFonts w:asciiTheme="majorBidi" w:hAnsiTheme="majorBidi" w:cstheme="majorBidi"/>
                <w:sz w:val="24"/>
                <w:szCs w:val="24"/>
              </w:rPr>
              <w:lastRenderedPageBreak/>
              <w:t>waiting for the permits.</w:t>
            </w:r>
          </w:p>
        </w:tc>
      </w:tr>
      <w:tr w:rsidR="0063635E" w:rsidRPr="0063635E" w:rsidTr="00FC5659">
        <w:trPr>
          <w:cnfStyle w:val="000000010000"/>
          <w:trHeight w:val="406"/>
        </w:trPr>
        <w:tc>
          <w:tcPr>
            <w:cnfStyle w:val="001000000000"/>
            <w:tcW w:w="1902" w:type="dxa"/>
          </w:tcPr>
          <w:p w:rsidR="0063635E" w:rsidRPr="0063635E" w:rsidRDefault="004E4204" w:rsidP="0063635E">
            <w:pPr>
              <w:spacing w:line="360" w:lineRule="auto"/>
              <w:rPr>
                <w:rFonts w:asciiTheme="majorBidi" w:eastAsiaTheme="minorHAnsi" w:hAnsiTheme="majorBidi"/>
                <w:sz w:val="24"/>
                <w:szCs w:val="24"/>
              </w:rPr>
            </w:pPr>
            <w:r>
              <w:lastRenderedPageBreak/>
              <w:t>Building the Infrastructure, Modeling the Nation: The Case of Birth in Palestine</w:t>
            </w:r>
          </w:p>
        </w:tc>
        <w:tc>
          <w:tcPr>
            <w:tcW w:w="1257" w:type="dxa"/>
          </w:tcPr>
          <w:p w:rsidR="0063635E" w:rsidRPr="0063635E" w:rsidRDefault="004E4204" w:rsidP="0063635E">
            <w:pPr>
              <w:pStyle w:val="NoSpacing"/>
              <w:spacing w:line="360" w:lineRule="auto"/>
              <w:cnfStyle w:val="000000010000"/>
              <w:rPr>
                <w:rFonts w:asciiTheme="majorBidi" w:hAnsiTheme="majorBidi" w:cstheme="majorBidi"/>
                <w:sz w:val="24"/>
                <w:szCs w:val="24"/>
              </w:rPr>
            </w:pPr>
            <w:r>
              <w:t>Livia Wick</w:t>
            </w:r>
          </w:p>
        </w:tc>
        <w:tc>
          <w:tcPr>
            <w:tcW w:w="1078" w:type="dxa"/>
          </w:tcPr>
          <w:p w:rsidR="0063635E" w:rsidRPr="0063635E" w:rsidRDefault="004E4204" w:rsidP="0063635E">
            <w:pPr>
              <w:pStyle w:val="NoSpacing"/>
              <w:spacing w:line="360" w:lineRule="auto"/>
              <w:cnfStyle w:val="000000010000"/>
              <w:rPr>
                <w:rFonts w:asciiTheme="majorBidi" w:hAnsiTheme="majorBidi" w:cstheme="majorBidi"/>
                <w:sz w:val="24"/>
                <w:szCs w:val="24"/>
              </w:rPr>
            </w:pPr>
            <w:r>
              <w:rPr>
                <w:rFonts w:asciiTheme="majorBidi" w:hAnsiTheme="majorBidi" w:cstheme="majorBidi"/>
                <w:sz w:val="24"/>
                <w:szCs w:val="24"/>
              </w:rPr>
              <w:t>2008</w:t>
            </w:r>
          </w:p>
        </w:tc>
        <w:tc>
          <w:tcPr>
            <w:tcW w:w="2229" w:type="dxa"/>
          </w:tcPr>
          <w:p w:rsidR="0063635E" w:rsidRPr="0063635E" w:rsidRDefault="004E4204" w:rsidP="0063635E">
            <w:pPr>
              <w:pStyle w:val="NoSpacing"/>
              <w:spacing w:line="360" w:lineRule="auto"/>
              <w:cnfStyle w:val="000000010000"/>
              <w:rPr>
                <w:rFonts w:asciiTheme="majorBidi" w:hAnsiTheme="majorBidi" w:cstheme="majorBidi"/>
                <w:sz w:val="24"/>
                <w:szCs w:val="24"/>
              </w:rPr>
            </w:pPr>
            <w:r>
              <w:t>Explores the intersection between the professional politics of medicine and national politics during the second Palestinian uprising, which erupted in 2000.</w:t>
            </w:r>
          </w:p>
        </w:tc>
        <w:tc>
          <w:tcPr>
            <w:tcW w:w="1839" w:type="dxa"/>
          </w:tcPr>
          <w:p w:rsidR="0063635E" w:rsidRPr="0063635E" w:rsidRDefault="002A2D4B" w:rsidP="00A93AB2">
            <w:pPr>
              <w:pStyle w:val="NoSpacing"/>
              <w:spacing w:line="360" w:lineRule="auto"/>
              <w:cnfStyle w:val="000000010000"/>
              <w:rPr>
                <w:rFonts w:asciiTheme="majorBidi" w:hAnsiTheme="majorBidi" w:cstheme="majorBidi"/>
                <w:sz w:val="24"/>
                <w:szCs w:val="24"/>
              </w:rPr>
            </w:pPr>
            <w:r w:rsidRPr="002A2D4B">
              <w:t xml:space="preserve">exploratory article </w:t>
            </w:r>
            <w:r>
              <w:t xml:space="preserve"> by </w:t>
            </w:r>
            <w:r w:rsidR="00C46B72">
              <w:t xml:space="preserve">interviews with professionals and participant observation in hospitals and clinics, it examines two overlapping movements that contributed to building the public health infrastructure in the occupied Palestinian territories, including the </w:t>
            </w:r>
            <w:r w:rsidR="00C46B72">
              <w:lastRenderedPageBreak/>
              <w:t xml:space="preserve">West Bank, East Jerusalem and the Gaza </w:t>
            </w:r>
            <w:r w:rsidR="00A93AB2">
              <w:t>Strip.</w:t>
            </w:r>
          </w:p>
        </w:tc>
        <w:tc>
          <w:tcPr>
            <w:tcW w:w="2106" w:type="dxa"/>
          </w:tcPr>
          <w:p w:rsidR="0063635E" w:rsidRPr="0063635E" w:rsidRDefault="004E4204" w:rsidP="0063635E">
            <w:pPr>
              <w:pStyle w:val="NoSpacing"/>
              <w:spacing w:line="360" w:lineRule="auto"/>
              <w:cnfStyle w:val="000000010000"/>
              <w:rPr>
                <w:rFonts w:asciiTheme="majorBidi" w:hAnsiTheme="majorBidi" w:cstheme="majorBidi"/>
                <w:sz w:val="24"/>
                <w:szCs w:val="24"/>
              </w:rPr>
            </w:pPr>
            <w:r>
              <w:lastRenderedPageBreak/>
              <w:t xml:space="preserve">Through an analysis of stories about childbirth from actors in the birth process—obstetricians, midwives and birth mothers—it examines two overlapping movements that contributed to building the public health infrastructure, the movement of sumud or steadfastness (1967–87) and the popular health </w:t>
            </w:r>
            <w:r>
              <w:lastRenderedPageBreak/>
              <w:t>movement (1978–94), as well as their contemporary afterlife.</w:t>
            </w:r>
          </w:p>
        </w:tc>
        <w:tc>
          <w:tcPr>
            <w:tcW w:w="3887" w:type="dxa"/>
          </w:tcPr>
          <w:p w:rsidR="0063635E" w:rsidRPr="0063635E" w:rsidRDefault="002A2D4B" w:rsidP="0063635E">
            <w:pPr>
              <w:pStyle w:val="NoSpacing"/>
              <w:spacing w:line="360" w:lineRule="auto"/>
              <w:cnfStyle w:val="000000010000"/>
              <w:rPr>
                <w:rFonts w:asciiTheme="majorBidi" w:hAnsiTheme="majorBidi" w:cstheme="majorBidi"/>
                <w:sz w:val="24"/>
                <w:szCs w:val="24"/>
              </w:rPr>
            </w:pPr>
            <w:r>
              <w:lastRenderedPageBreak/>
              <w:t xml:space="preserve">The birth stories bring to light two contrasting visions of a nation in the context of restrictions on mobility and a ground chopped up by checkpoints. The quasi-postcolonial condition of Palestine as popular construct, institutional </w:t>
            </w:r>
            <w:proofErr w:type="spellStart"/>
            <w:r>
              <w:t>protostate</w:t>
            </w:r>
            <w:proofErr w:type="spellEnd"/>
            <w:r>
              <w:t xml:space="preserve"> organism, and </w:t>
            </w:r>
            <w:proofErr w:type="spellStart"/>
            <w:r>
              <w:t>the</w:t>
            </w:r>
            <w:proofErr w:type="spellEnd"/>
            <w:r>
              <w:t xml:space="preserve"> lived experience of its experts and of its gendered subjects underlie the ethnographic accounts.</w:t>
            </w:r>
          </w:p>
        </w:tc>
      </w:tr>
      <w:tr w:rsidR="0063635E" w:rsidRPr="00FC5659" w:rsidTr="00FC5659">
        <w:trPr>
          <w:cnfStyle w:val="000000100000"/>
          <w:trHeight w:val="1181"/>
        </w:trPr>
        <w:tc>
          <w:tcPr>
            <w:cnfStyle w:val="001000000000"/>
            <w:tcW w:w="1902" w:type="dxa"/>
          </w:tcPr>
          <w:p w:rsidR="0063635E" w:rsidRPr="00FC5659" w:rsidRDefault="002A2D4B" w:rsidP="00D45D3B">
            <w:pPr>
              <w:spacing w:line="360" w:lineRule="auto"/>
              <w:rPr>
                <w:rFonts w:asciiTheme="majorBidi" w:eastAsiaTheme="minorHAnsi" w:hAnsiTheme="majorBidi"/>
                <w:b w:val="0"/>
                <w:bCs w:val="0"/>
                <w:sz w:val="24"/>
                <w:szCs w:val="24"/>
              </w:rPr>
            </w:pPr>
            <w:r w:rsidRPr="00FC5659">
              <w:rPr>
                <w:rFonts w:asciiTheme="majorBidi" w:eastAsiaTheme="minorHAnsi" w:hAnsiTheme="majorBidi"/>
                <w:b w:val="0"/>
                <w:bCs w:val="0"/>
                <w:sz w:val="24"/>
                <w:szCs w:val="24"/>
              </w:rPr>
              <w:lastRenderedPageBreak/>
              <w:t>The quality of life of Palestinians living in chronic conflict: Assessment and determinants</w:t>
            </w:r>
          </w:p>
        </w:tc>
        <w:tc>
          <w:tcPr>
            <w:tcW w:w="1257" w:type="dxa"/>
          </w:tcPr>
          <w:p w:rsidR="002A2D4B" w:rsidRPr="00FC5659" w:rsidRDefault="00457D10" w:rsidP="002A2D4B">
            <w:pPr>
              <w:numPr>
                <w:ilvl w:val="0"/>
                <w:numId w:val="3"/>
              </w:numPr>
              <w:shd w:val="clear" w:color="auto" w:fill="FFFFFF"/>
              <w:spacing w:beforeAutospacing="1"/>
              <w:ind w:left="0"/>
              <w:cnfStyle w:val="000000100000"/>
              <w:rPr>
                <w:rFonts w:asciiTheme="majorBidi" w:hAnsiTheme="majorBidi" w:cstheme="majorBidi"/>
                <w:sz w:val="24"/>
                <w:szCs w:val="24"/>
              </w:rPr>
            </w:pPr>
            <w:hyperlink r:id="rId10" w:history="1">
              <w:proofErr w:type="spellStart"/>
              <w:r w:rsidR="002A2D4B" w:rsidRPr="00FC5659">
                <w:rPr>
                  <w:rFonts w:asciiTheme="majorBidi" w:hAnsiTheme="majorBidi" w:cstheme="majorBidi"/>
                  <w:sz w:val="24"/>
                  <w:szCs w:val="24"/>
                </w:rPr>
                <w:t>Awad</w:t>
              </w:r>
              <w:proofErr w:type="spellEnd"/>
              <w:r w:rsidR="002A2D4B" w:rsidRPr="00FC5659">
                <w:rPr>
                  <w:rFonts w:asciiTheme="majorBidi" w:hAnsiTheme="majorBidi" w:cstheme="majorBidi"/>
                  <w:sz w:val="24"/>
                  <w:szCs w:val="24"/>
                </w:rPr>
                <w:t xml:space="preserve"> Mataria</w:t>
              </w:r>
            </w:hyperlink>
          </w:p>
          <w:p w:rsidR="002A2D4B" w:rsidRPr="00FC5659" w:rsidRDefault="00457D10" w:rsidP="002A2D4B">
            <w:pPr>
              <w:numPr>
                <w:ilvl w:val="0"/>
                <w:numId w:val="3"/>
              </w:numPr>
              <w:shd w:val="clear" w:color="auto" w:fill="FFFFFF"/>
              <w:spacing w:beforeAutospacing="1"/>
              <w:ind w:left="0"/>
              <w:cnfStyle w:val="000000100000"/>
              <w:rPr>
                <w:rFonts w:asciiTheme="majorBidi" w:hAnsiTheme="majorBidi" w:cstheme="majorBidi"/>
                <w:sz w:val="24"/>
                <w:szCs w:val="24"/>
              </w:rPr>
            </w:pPr>
            <w:hyperlink r:id="rId11" w:history="1">
              <w:r w:rsidR="002A2D4B" w:rsidRPr="00FC5659">
                <w:rPr>
                  <w:rFonts w:asciiTheme="majorBidi" w:hAnsiTheme="majorBidi" w:cstheme="majorBidi"/>
                  <w:sz w:val="24"/>
                  <w:szCs w:val="24"/>
                </w:rPr>
                <w:t>Rita Giacaman</w:t>
              </w:r>
            </w:hyperlink>
          </w:p>
          <w:p w:rsidR="002A2D4B" w:rsidRPr="00FC5659" w:rsidRDefault="00457D10" w:rsidP="002A2D4B">
            <w:pPr>
              <w:numPr>
                <w:ilvl w:val="0"/>
                <w:numId w:val="3"/>
              </w:numPr>
              <w:shd w:val="clear" w:color="auto" w:fill="FFFFFF"/>
              <w:spacing w:beforeAutospacing="1"/>
              <w:ind w:left="0"/>
              <w:cnfStyle w:val="000000100000"/>
              <w:rPr>
                <w:rFonts w:asciiTheme="majorBidi" w:hAnsiTheme="majorBidi" w:cstheme="majorBidi"/>
                <w:sz w:val="24"/>
                <w:szCs w:val="24"/>
              </w:rPr>
            </w:pPr>
            <w:hyperlink r:id="rId12" w:history="1">
              <w:r w:rsidR="002A2D4B" w:rsidRPr="00FC5659">
                <w:rPr>
                  <w:rFonts w:asciiTheme="majorBidi" w:hAnsiTheme="majorBidi" w:cstheme="majorBidi"/>
                  <w:sz w:val="24"/>
                  <w:szCs w:val="24"/>
                </w:rPr>
                <w:t xml:space="preserve">Angelo </w:t>
              </w:r>
              <w:proofErr w:type="spellStart"/>
              <w:r w:rsidR="002A2D4B" w:rsidRPr="00FC5659">
                <w:rPr>
                  <w:rFonts w:asciiTheme="majorBidi" w:hAnsiTheme="majorBidi" w:cstheme="majorBidi"/>
                  <w:sz w:val="24"/>
                  <w:szCs w:val="24"/>
                </w:rPr>
                <w:t>Stefanini</w:t>
              </w:r>
              <w:proofErr w:type="spellEnd"/>
            </w:hyperlink>
          </w:p>
          <w:p w:rsidR="002A2D4B" w:rsidRPr="00FC5659" w:rsidRDefault="00457D10" w:rsidP="002A2D4B">
            <w:pPr>
              <w:numPr>
                <w:ilvl w:val="0"/>
                <w:numId w:val="3"/>
              </w:numPr>
              <w:shd w:val="clear" w:color="auto" w:fill="FFFFFF"/>
              <w:spacing w:beforeAutospacing="1" w:afterAutospacing="1"/>
              <w:ind w:left="0"/>
              <w:cnfStyle w:val="000000100000"/>
              <w:rPr>
                <w:rFonts w:asciiTheme="majorBidi" w:hAnsiTheme="majorBidi" w:cstheme="majorBidi"/>
                <w:sz w:val="24"/>
                <w:szCs w:val="24"/>
              </w:rPr>
            </w:pPr>
            <w:hyperlink r:id="rId13" w:history="1">
              <w:proofErr w:type="spellStart"/>
              <w:r w:rsidR="002A2D4B" w:rsidRPr="00FC5659">
                <w:rPr>
                  <w:rFonts w:asciiTheme="majorBidi" w:hAnsiTheme="majorBidi" w:cstheme="majorBidi"/>
                  <w:sz w:val="24"/>
                  <w:szCs w:val="24"/>
                </w:rPr>
                <w:t>Somnath</w:t>
              </w:r>
              <w:proofErr w:type="spellEnd"/>
              <w:r w:rsidR="002A2D4B" w:rsidRPr="00FC5659">
                <w:rPr>
                  <w:rFonts w:asciiTheme="majorBidi" w:hAnsiTheme="majorBidi" w:cstheme="majorBidi"/>
                  <w:sz w:val="24"/>
                  <w:szCs w:val="24"/>
                </w:rPr>
                <w:t xml:space="preserve"> </w:t>
              </w:r>
              <w:proofErr w:type="spellStart"/>
              <w:r w:rsidR="002A2D4B" w:rsidRPr="00FC5659">
                <w:rPr>
                  <w:rFonts w:asciiTheme="majorBidi" w:hAnsiTheme="majorBidi" w:cstheme="majorBidi"/>
                  <w:sz w:val="24"/>
                  <w:szCs w:val="24"/>
                </w:rPr>
                <w:t>Chatterji</w:t>
              </w:r>
              <w:proofErr w:type="spellEnd"/>
            </w:hyperlink>
          </w:p>
          <w:p w:rsidR="0063635E" w:rsidRPr="00D10BFC" w:rsidRDefault="0063635E" w:rsidP="00D45D3B">
            <w:pPr>
              <w:pStyle w:val="NoSpacing"/>
              <w:cnfStyle w:val="000000100000"/>
              <w:rPr>
                <w:rFonts w:asciiTheme="majorBidi" w:hAnsiTheme="majorBidi" w:cstheme="majorBidi"/>
                <w:sz w:val="24"/>
                <w:szCs w:val="24"/>
              </w:rPr>
            </w:pPr>
          </w:p>
        </w:tc>
        <w:tc>
          <w:tcPr>
            <w:tcW w:w="1078" w:type="dxa"/>
          </w:tcPr>
          <w:p w:rsidR="0063635E" w:rsidRPr="00D10BFC" w:rsidRDefault="002A2D4B" w:rsidP="00D45D3B">
            <w:pPr>
              <w:pStyle w:val="NoSpacing"/>
              <w:cnfStyle w:val="000000100000"/>
              <w:rPr>
                <w:rFonts w:asciiTheme="majorBidi" w:hAnsiTheme="majorBidi" w:cstheme="majorBidi"/>
                <w:sz w:val="24"/>
                <w:szCs w:val="24"/>
              </w:rPr>
            </w:pPr>
            <w:r>
              <w:rPr>
                <w:rFonts w:asciiTheme="majorBidi" w:hAnsiTheme="majorBidi" w:cstheme="majorBidi"/>
                <w:sz w:val="24"/>
                <w:szCs w:val="24"/>
              </w:rPr>
              <w:t>2018</w:t>
            </w:r>
          </w:p>
        </w:tc>
        <w:tc>
          <w:tcPr>
            <w:tcW w:w="2229" w:type="dxa"/>
          </w:tcPr>
          <w:p w:rsidR="0063635E" w:rsidRPr="0063635E" w:rsidRDefault="00A93AB2" w:rsidP="00D45D3B">
            <w:pPr>
              <w:pStyle w:val="NoSpacing"/>
              <w:spacing w:line="360" w:lineRule="auto"/>
              <w:cnfStyle w:val="000000100000"/>
              <w:rPr>
                <w:rFonts w:asciiTheme="majorBidi" w:hAnsiTheme="majorBidi" w:cstheme="majorBidi"/>
                <w:sz w:val="24"/>
                <w:szCs w:val="24"/>
              </w:rPr>
            </w:pPr>
            <w:r w:rsidRPr="00FC5659">
              <w:rPr>
                <w:rFonts w:asciiTheme="majorBidi" w:hAnsiTheme="majorBidi" w:cstheme="majorBidi"/>
                <w:sz w:val="24"/>
                <w:szCs w:val="24"/>
              </w:rPr>
              <w:t>Assess the quality of life (</w:t>
            </w:r>
            <w:proofErr w:type="spellStart"/>
            <w:r w:rsidR="002A2D4B" w:rsidRPr="00FC5659">
              <w:rPr>
                <w:rFonts w:asciiTheme="majorBidi" w:hAnsiTheme="majorBidi" w:cstheme="majorBidi"/>
                <w:sz w:val="24"/>
                <w:szCs w:val="24"/>
              </w:rPr>
              <w:t>QoL</w:t>
            </w:r>
            <w:proofErr w:type="spellEnd"/>
            <w:r w:rsidR="002A2D4B" w:rsidRPr="00FC5659">
              <w:rPr>
                <w:rFonts w:asciiTheme="majorBidi" w:hAnsiTheme="majorBidi" w:cstheme="majorBidi"/>
                <w:sz w:val="24"/>
                <w:szCs w:val="24"/>
              </w:rPr>
              <w:t>)</w:t>
            </w:r>
            <w:r w:rsidRPr="00FC5659">
              <w:rPr>
                <w:rFonts w:asciiTheme="majorBidi" w:hAnsiTheme="majorBidi" w:cstheme="majorBidi"/>
                <w:sz w:val="24"/>
                <w:szCs w:val="24"/>
              </w:rPr>
              <w:t xml:space="preserve"> </w:t>
            </w:r>
            <w:r w:rsidR="002A2D4B" w:rsidRPr="00FC5659">
              <w:rPr>
                <w:rFonts w:asciiTheme="majorBidi" w:hAnsiTheme="majorBidi" w:cstheme="majorBidi"/>
                <w:sz w:val="24"/>
                <w:szCs w:val="24"/>
              </w:rPr>
              <w:t>of Palestinians living in conditions of chronic conflict and</w:t>
            </w:r>
            <w:r w:rsidRPr="00FC5659">
              <w:rPr>
                <w:rFonts w:asciiTheme="majorBidi" w:hAnsiTheme="majorBidi" w:cstheme="majorBidi"/>
                <w:sz w:val="24"/>
                <w:szCs w:val="24"/>
              </w:rPr>
              <w:t xml:space="preserve"> </w:t>
            </w:r>
            <w:r w:rsidR="002A2D4B" w:rsidRPr="00FC5659">
              <w:rPr>
                <w:rFonts w:asciiTheme="majorBidi" w:hAnsiTheme="majorBidi" w:cstheme="majorBidi"/>
                <w:sz w:val="24"/>
                <w:szCs w:val="24"/>
              </w:rPr>
              <w:t>examined   its   determinants.</w:t>
            </w:r>
          </w:p>
        </w:tc>
        <w:tc>
          <w:tcPr>
            <w:tcW w:w="1839" w:type="dxa"/>
          </w:tcPr>
          <w:p w:rsidR="0063635E" w:rsidRPr="0063635E" w:rsidRDefault="00A93AB2" w:rsidP="00D45D3B">
            <w:pPr>
              <w:pStyle w:val="NoSpacing"/>
              <w:spacing w:line="360" w:lineRule="auto"/>
              <w:cnfStyle w:val="000000100000"/>
              <w:rPr>
                <w:rFonts w:asciiTheme="majorBidi" w:hAnsiTheme="majorBidi" w:cstheme="majorBidi"/>
                <w:sz w:val="24"/>
                <w:szCs w:val="24"/>
              </w:rPr>
            </w:pPr>
            <w:r w:rsidRPr="00FC5659">
              <w:rPr>
                <w:rFonts w:asciiTheme="majorBidi" w:hAnsiTheme="majorBidi" w:cstheme="majorBidi"/>
                <w:sz w:val="24"/>
                <w:szCs w:val="24"/>
              </w:rPr>
              <w:t>A multi-stage cluster sample design</w:t>
            </w:r>
          </w:p>
        </w:tc>
        <w:tc>
          <w:tcPr>
            <w:tcW w:w="2106" w:type="dxa"/>
          </w:tcPr>
          <w:p w:rsidR="0063635E" w:rsidRPr="00FC5659" w:rsidRDefault="00A93AB2" w:rsidP="00D45D3B">
            <w:pPr>
              <w:pStyle w:val="NoSpacing"/>
              <w:spacing w:line="360" w:lineRule="auto"/>
              <w:cnfStyle w:val="000000100000"/>
              <w:rPr>
                <w:rFonts w:asciiTheme="majorBidi" w:hAnsiTheme="majorBidi" w:cstheme="majorBidi"/>
                <w:sz w:val="24"/>
                <w:szCs w:val="24"/>
              </w:rPr>
            </w:pPr>
            <w:r w:rsidRPr="00FC5659">
              <w:rPr>
                <w:rFonts w:asciiTheme="majorBidi" w:hAnsiTheme="majorBidi" w:cstheme="majorBidi"/>
                <w:sz w:val="24"/>
                <w:szCs w:val="24"/>
              </w:rPr>
              <w:t>An adapted World Health Organization quality of life (</w:t>
            </w:r>
            <w:proofErr w:type="spellStart"/>
            <w:r w:rsidRPr="00FC5659">
              <w:rPr>
                <w:rFonts w:asciiTheme="majorBidi" w:hAnsiTheme="majorBidi" w:cstheme="majorBidi"/>
                <w:sz w:val="24"/>
                <w:szCs w:val="24"/>
              </w:rPr>
              <w:t>WHOQoL-Bref</w:t>
            </w:r>
            <w:proofErr w:type="spellEnd"/>
            <w:r w:rsidRPr="00FC5659">
              <w:rPr>
                <w:rFonts w:asciiTheme="majorBidi" w:hAnsiTheme="majorBidi" w:cstheme="majorBidi"/>
                <w:sz w:val="24"/>
                <w:szCs w:val="24"/>
              </w:rPr>
              <w:t>) instrument was used in a representative sample of 1,008 adults.</w:t>
            </w:r>
          </w:p>
          <w:p w:rsidR="00FC5659" w:rsidRPr="0063635E" w:rsidRDefault="00FC5659" w:rsidP="00D45D3B">
            <w:pPr>
              <w:pStyle w:val="NoSpacing"/>
              <w:spacing w:line="360" w:lineRule="auto"/>
              <w:cnfStyle w:val="000000100000"/>
              <w:rPr>
                <w:rFonts w:asciiTheme="majorBidi" w:hAnsiTheme="majorBidi" w:cstheme="majorBidi"/>
                <w:sz w:val="24"/>
                <w:szCs w:val="24"/>
              </w:rPr>
            </w:pPr>
            <w:r w:rsidRPr="00FC5659">
              <w:rPr>
                <w:rFonts w:asciiTheme="majorBidi" w:hAnsiTheme="majorBidi" w:cstheme="majorBidi"/>
                <w:sz w:val="24"/>
                <w:szCs w:val="24"/>
              </w:rPr>
              <w:t xml:space="preserve">Face-to-face interviews were conducted over a 3- week period at the end of 2005 by the Palestinian </w:t>
            </w:r>
            <w:r w:rsidRPr="00FC5659">
              <w:rPr>
                <w:rFonts w:asciiTheme="majorBidi" w:hAnsiTheme="majorBidi" w:cstheme="majorBidi"/>
                <w:sz w:val="24"/>
                <w:szCs w:val="24"/>
              </w:rPr>
              <w:lastRenderedPageBreak/>
              <w:t>Central Bureau of Statistics,</w:t>
            </w:r>
          </w:p>
        </w:tc>
        <w:tc>
          <w:tcPr>
            <w:tcW w:w="3887" w:type="dxa"/>
          </w:tcPr>
          <w:p w:rsidR="0063635E" w:rsidRPr="0063635E" w:rsidRDefault="00A93AB2" w:rsidP="00FC5659">
            <w:pPr>
              <w:pStyle w:val="NoSpacing"/>
              <w:spacing w:line="360" w:lineRule="auto"/>
              <w:cnfStyle w:val="000000100000"/>
              <w:rPr>
                <w:rFonts w:asciiTheme="majorBidi" w:hAnsiTheme="majorBidi" w:cstheme="majorBidi"/>
                <w:sz w:val="24"/>
                <w:szCs w:val="24"/>
              </w:rPr>
            </w:pPr>
            <w:r w:rsidRPr="00FC5659">
              <w:rPr>
                <w:rFonts w:asciiTheme="majorBidi" w:hAnsiTheme="majorBidi" w:cstheme="majorBidi"/>
                <w:sz w:val="24"/>
                <w:szCs w:val="24"/>
              </w:rPr>
              <w:lastRenderedPageBreak/>
              <w:t>Men</w:t>
            </w:r>
            <w:r w:rsidR="00FC5659" w:rsidRPr="00FC5659">
              <w:rPr>
                <w:rFonts w:asciiTheme="majorBidi" w:hAnsiTheme="majorBidi" w:cstheme="majorBidi"/>
                <w:sz w:val="24"/>
                <w:szCs w:val="24"/>
              </w:rPr>
              <w:t>, older persons and those less educated reported</w:t>
            </w:r>
            <w:r w:rsidRPr="00FC5659">
              <w:rPr>
                <w:rFonts w:asciiTheme="majorBidi" w:hAnsiTheme="majorBidi" w:cstheme="majorBidi"/>
                <w:sz w:val="24"/>
                <w:szCs w:val="24"/>
              </w:rPr>
              <w:t xml:space="preserve">   lower   </w:t>
            </w:r>
            <w:proofErr w:type="spellStart"/>
            <w:r w:rsidRPr="00FC5659">
              <w:rPr>
                <w:rFonts w:asciiTheme="majorBidi" w:hAnsiTheme="majorBidi" w:cstheme="majorBidi"/>
                <w:sz w:val="24"/>
                <w:szCs w:val="24"/>
              </w:rPr>
              <w:t>QoL</w:t>
            </w:r>
            <w:proofErr w:type="spellEnd"/>
            <w:r w:rsidRPr="00FC5659">
              <w:rPr>
                <w:rFonts w:asciiTheme="majorBidi" w:hAnsiTheme="majorBidi" w:cstheme="majorBidi"/>
                <w:sz w:val="24"/>
                <w:szCs w:val="24"/>
              </w:rPr>
              <w:t xml:space="preserve">   than   their   counterparts.   Negative</w:t>
            </w:r>
            <w:r w:rsidR="00FC5659" w:rsidRPr="00FC5659">
              <w:rPr>
                <w:rFonts w:asciiTheme="majorBidi" w:hAnsiTheme="majorBidi" w:cstheme="majorBidi"/>
                <w:sz w:val="24"/>
                <w:szCs w:val="24"/>
              </w:rPr>
              <w:t xml:space="preserve"> </w:t>
            </w:r>
            <w:r w:rsidRPr="00FC5659">
              <w:rPr>
                <w:rFonts w:asciiTheme="majorBidi" w:hAnsiTheme="majorBidi" w:cstheme="majorBidi"/>
                <w:sz w:val="24"/>
                <w:szCs w:val="24"/>
              </w:rPr>
              <w:t xml:space="preserve">associations were also found with higher distress and </w:t>
            </w:r>
            <w:proofErr w:type="spellStart"/>
            <w:r w:rsidRPr="00FC5659">
              <w:rPr>
                <w:rFonts w:asciiTheme="majorBidi" w:hAnsiTheme="majorBidi" w:cstheme="majorBidi"/>
                <w:sz w:val="24"/>
                <w:szCs w:val="24"/>
              </w:rPr>
              <w:t>fearlevels</w:t>
            </w:r>
            <w:proofErr w:type="spellEnd"/>
            <w:r w:rsidRPr="00FC5659">
              <w:rPr>
                <w:rFonts w:asciiTheme="majorBidi" w:hAnsiTheme="majorBidi" w:cstheme="majorBidi"/>
                <w:sz w:val="24"/>
                <w:szCs w:val="24"/>
              </w:rPr>
              <w:t xml:space="preserve">,   and   lower   financial   and   freedom   status.   </w:t>
            </w:r>
            <w:r w:rsidR="00AD0A78" w:rsidRPr="00FC5659">
              <w:rPr>
                <w:rFonts w:asciiTheme="majorBidi" w:hAnsiTheme="majorBidi" w:cstheme="majorBidi"/>
                <w:sz w:val="24"/>
                <w:szCs w:val="24"/>
              </w:rPr>
              <w:t>The chronic</w:t>
            </w:r>
            <w:r w:rsidRPr="00FC5659">
              <w:rPr>
                <w:rFonts w:asciiTheme="majorBidi" w:hAnsiTheme="majorBidi" w:cstheme="majorBidi"/>
                <w:sz w:val="24"/>
                <w:szCs w:val="24"/>
              </w:rPr>
              <w:t xml:space="preserve">  and  entrenched  conflict  over  generations  </w:t>
            </w:r>
            <w:r w:rsidR="00AD0A78" w:rsidRPr="00FC5659">
              <w:rPr>
                <w:rFonts w:asciiTheme="majorBidi" w:hAnsiTheme="majorBidi" w:cstheme="majorBidi"/>
                <w:sz w:val="24"/>
                <w:szCs w:val="24"/>
              </w:rPr>
              <w:t>resulted in</w:t>
            </w:r>
            <w:r w:rsidRPr="00FC5659">
              <w:rPr>
                <w:rFonts w:asciiTheme="majorBidi" w:hAnsiTheme="majorBidi" w:cstheme="majorBidi"/>
                <w:sz w:val="24"/>
                <w:szCs w:val="24"/>
              </w:rPr>
              <w:t xml:space="preserve">  lower  </w:t>
            </w:r>
            <w:proofErr w:type="spellStart"/>
            <w:r w:rsidRPr="00FC5659">
              <w:rPr>
                <w:rFonts w:asciiTheme="majorBidi" w:hAnsiTheme="majorBidi" w:cstheme="majorBidi"/>
                <w:sz w:val="24"/>
                <w:szCs w:val="24"/>
              </w:rPr>
              <w:t>QoL</w:t>
            </w:r>
            <w:proofErr w:type="spellEnd"/>
            <w:r w:rsidRPr="00FC5659">
              <w:rPr>
                <w:rFonts w:asciiTheme="majorBidi" w:hAnsiTheme="majorBidi" w:cstheme="majorBidi"/>
                <w:sz w:val="24"/>
                <w:szCs w:val="24"/>
              </w:rPr>
              <w:t xml:space="preserve">  for  the  popul</w:t>
            </w:r>
            <w:r w:rsidR="00AD0A78">
              <w:rPr>
                <w:rFonts w:asciiTheme="majorBidi" w:hAnsiTheme="majorBidi" w:cstheme="majorBidi"/>
                <w:sz w:val="24"/>
                <w:szCs w:val="24"/>
              </w:rPr>
              <w:t>ation  of  the  Occupied  Pales</w:t>
            </w:r>
            <w:r w:rsidRPr="00FC5659">
              <w:rPr>
                <w:rFonts w:asciiTheme="majorBidi" w:hAnsiTheme="majorBidi" w:cstheme="majorBidi"/>
                <w:sz w:val="24"/>
                <w:szCs w:val="24"/>
              </w:rPr>
              <w:t xml:space="preserve">tinian  Territory. </w:t>
            </w:r>
            <w:r w:rsidRPr="00FC5659">
              <w:rPr>
                <w:rFonts w:asciiTheme="majorBidi" w:hAnsiTheme="majorBidi" w:cstheme="majorBidi"/>
                <w:sz w:val="24"/>
                <w:szCs w:val="24"/>
              </w:rPr>
              <w:br/>
            </w:r>
          </w:p>
        </w:tc>
      </w:tr>
    </w:tbl>
    <w:p w:rsidR="003719EA" w:rsidRPr="0063635E" w:rsidRDefault="003719EA">
      <w:pPr>
        <w:rPr>
          <w:rFonts w:asciiTheme="majorBidi" w:hAnsiTheme="majorBidi" w:cstheme="majorBidi"/>
          <w:sz w:val="24"/>
          <w:szCs w:val="24"/>
        </w:rPr>
      </w:pPr>
    </w:p>
    <w:sectPr w:rsidR="003719EA" w:rsidRPr="0063635E" w:rsidSect="003141B4">
      <w:headerReference w:type="even" r:id="rId14"/>
      <w:headerReference w:type="default" r:id="rId15"/>
      <w:footerReference w:type="even" r:id="rId16"/>
      <w:footerReference w:type="default" r:id="rId17"/>
      <w:headerReference w:type="first" r:id="rId18"/>
      <w:footerReference w:type="first" r:id="rId19"/>
      <w:pgSz w:w="15840" w:h="12240" w:orient="landscape"/>
      <w:pgMar w:top="1440" w:right="1440" w:bottom="1440" w:left="1440" w:header="720" w:footer="720" w:gutter="0"/>
      <w:pgBorders w:offsetFrom="page">
        <w:top w:val="thinThickSmallGap" w:sz="18" w:space="24" w:color="auto"/>
        <w:left w:val="thinThickSmallGap" w:sz="18" w:space="24" w:color="auto"/>
        <w:bottom w:val="thickThinSmallGap" w:sz="18" w:space="24" w:color="auto"/>
        <w:right w:val="thickThinSmallGap" w:sz="18"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1C70" w:rsidRDefault="00981C70" w:rsidP="00F107FC">
      <w:pPr>
        <w:spacing w:after="0" w:line="240" w:lineRule="auto"/>
      </w:pPr>
      <w:r>
        <w:separator/>
      </w:r>
    </w:p>
  </w:endnote>
  <w:endnote w:type="continuationSeparator" w:id="0">
    <w:p w:rsidR="00981C70" w:rsidRDefault="00981C70" w:rsidP="00F107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7FC" w:rsidRDefault="00F107F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7FC" w:rsidRDefault="00F107F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7FC" w:rsidRDefault="00F107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1C70" w:rsidRDefault="00981C70" w:rsidP="00F107FC">
      <w:pPr>
        <w:spacing w:after="0" w:line="240" w:lineRule="auto"/>
      </w:pPr>
      <w:r>
        <w:separator/>
      </w:r>
    </w:p>
  </w:footnote>
  <w:footnote w:type="continuationSeparator" w:id="0">
    <w:p w:rsidR="00981C70" w:rsidRDefault="00981C70" w:rsidP="00F107F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7FC" w:rsidRDefault="00F107F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7FC" w:rsidRDefault="00F107FC" w:rsidP="00F107FC">
    <w:pPr>
      <w:pStyle w:val="Heading1"/>
      <w:spacing w:line="360" w:lineRule="auto"/>
      <w:rPr>
        <w:rFonts w:asciiTheme="majorBidi" w:hAnsiTheme="majorBidi" w:cstheme="majorBidi"/>
        <w:sz w:val="24"/>
        <w:szCs w:val="24"/>
      </w:rPr>
    </w:pPr>
    <w:r>
      <w:rPr>
        <w:rFonts w:asciiTheme="majorBidi" w:hAnsiTheme="majorBidi" w:cstheme="majorBidi"/>
        <w:sz w:val="24"/>
        <w:szCs w:val="24"/>
      </w:rPr>
      <w:t xml:space="preserve">Appendix B </w:t>
    </w:r>
  </w:p>
  <w:p w:rsidR="00F107FC" w:rsidRDefault="00F107FC" w:rsidP="00F107FC">
    <w:pPr>
      <w:spacing w:line="360" w:lineRule="auto"/>
      <w:rPr>
        <w:rFonts w:asciiTheme="majorBidi" w:hAnsiTheme="majorBidi" w:cstheme="majorBidi"/>
        <w:sz w:val="24"/>
        <w:szCs w:val="24"/>
      </w:rPr>
    </w:pPr>
    <w:r>
      <w:rPr>
        <w:rFonts w:asciiTheme="majorBidi" w:hAnsiTheme="majorBidi" w:cstheme="majorBidi"/>
        <w:sz w:val="24"/>
        <w:szCs w:val="24"/>
      </w:rPr>
      <w:t>Attached studies characteristics</w:t>
    </w:r>
  </w:p>
  <w:p w:rsidR="00F107FC" w:rsidRDefault="00F107F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7FC" w:rsidRDefault="00F107F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B544B4"/>
    <w:multiLevelType w:val="multilevel"/>
    <w:tmpl w:val="FE8E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CF83869"/>
    <w:multiLevelType w:val="multilevel"/>
    <w:tmpl w:val="BB820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AED294E"/>
    <w:multiLevelType w:val="multilevel"/>
    <w:tmpl w:val="C0643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footnotePr>
    <w:footnote w:id="-1"/>
    <w:footnote w:id="0"/>
  </w:footnotePr>
  <w:endnotePr>
    <w:endnote w:id="-1"/>
    <w:endnote w:id="0"/>
  </w:endnotePr>
  <w:compat/>
  <w:rsids>
    <w:rsidRoot w:val="00DB74C3"/>
    <w:rsid w:val="00011350"/>
    <w:rsid w:val="00011F20"/>
    <w:rsid w:val="000353F3"/>
    <w:rsid w:val="00056560"/>
    <w:rsid w:val="00072FC4"/>
    <w:rsid w:val="00103A30"/>
    <w:rsid w:val="00104510"/>
    <w:rsid w:val="001117B0"/>
    <w:rsid w:val="001118AE"/>
    <w:rsid w:val="00126A8F"/>
    <w:rsid w:val="0014635A"/>
    <w:rsid w:val="00167EC9"/>
    <w:rsid w:val="001713D0"/>
    <w:rsid w:val="001B218B"/>
    <w:rsid w:val="001D1C55"/>
    <w:rsid w:val="001D6561"/>
    <w:rsid w:val="001E142C"/>
    <w:rsid w:val="001F7BB0"/>
    <w:rsid w:val="002119C9"/>
    <w:rsid w:val="00243844"/>
    <w:rsid w:val="0024461A"/>
    <w:rsid w:val="00267B46"/>
    <w:rsid w:val="00294BC9"/>
    <w:rsid w:val="002A2D4B"/>
    <w:rsid w:val="002C293A"/>
    <w:rsid w:val="002D698A"/>
    <w:rsid w:val="003141B4"/>
    <w:rsid w:val="00322805"/>
    <w:rsid w:val="00332850"/>
    <w:rsid w:val="0034463C"/>
    <w:rsid w:val="00347316"/>
    <w:rsid w:val="003719EA"/>
    <w:rsid w:val="003A132E"/>
    <w:rsid w:val="003A39C5"/>
    <w:rsid w:val="003B1871"/>
    <w:rsid w:val="003D4F65"/>
    <w:rsid w:val="003D7369"/>
    <w:rsid w:val="0041504A"/>
    <w:rsid w:val="00457D10"/>
    <w:rsid w:val="004765E4"/>
    <w:rsid w:val="00485EF9"/>
    <w:rsid w:val="00487F27"/>
    <w:rsid w:val="0049144B"/>
    <w:rsid w:val="00494FB3"/>
    <w:rsid w:val="004A1B63"/>
    <w:rsid w:val="004A2A59"/>
    <w:rsid w:val="004B0CD5"/>
    <w:rsid w:val="004B2DD9"/>
    <w:rsid w:val="004D6BFE"/>
    <w:rsid w:val="004E0FEB"/>
    <w:rsid w:val="004E3127"/>
    <w:rsid w:val="004E4204"/>
    <w:rsid w:val="00515F61"/>
    <w:rsid w:val="00525B1F"/>
    <w:rsid w:val="00541C67"/>
    <w:rsid w:val="005B7506"/>
    <w:rsid w:val="005C4413"/>
    <w:rsid w:val="005F3A56"/>
    <w:rsid w:val="00605D7F"/>
    <w:rsid w:val="00615DB9"/>
    <w:rsid w:val="0062247C"/>
    <w:rsid w:val="00627808"/>
    <w:rsid w:val="00630052"/>
    <w:rsid w:val="0063635E"/>
    <w:rsid w:val="006737CF"/>
    <w:rsid w:val="00691F04"/>
    <w:rsid w:val="006B684A"/>
    <w:rsid w:val="006C77FE"/>
    <w:rsid w:val="006D3DEC"/>
    <w:rsid w:val="006F2933"/>
    <w:rsid w:val="006F6D46"/>
    <w:rsid w:val="00707F6B"/>
    <w:rsid w:val="0071132E"/>
    <w:rsid w:val="00741193"/>
    <w:rsid w:val="007523A7"/>
    <w:rsid w:val="00757BBB"/>
    <w:rsid w:val="00766B81"/>
    <w:rsid w:val="0077495E"/>
    <w:rsid w:val="007A0429"/>
    <w:rsid w:val="007E047B"/>
    <w:rsid w:val="008037E6"/>
    <w:rsid w:val="00827648"/>
    <w:rsid w:val="00846FD3"/>
    <w:rsid w:val="008542B5"/>
    <w:rsid w:val="008620F5"/>
    <w:rsid w:val="00866804"/>
    <w:rsid w:val="00886D14"/>
    <w:rsid w:val="008952B6"/>
    <w:rsid w:val="00896A95"/>
    <w:rsid w:val="008B153D"/>
    <w:rsid w:val="008E5E42"/>
    <w:rsid w:val="009012C9"/>
    <w:rsid w:val="00915B58"/>
    <w:rsid w:val="009173D0"/>
    <w:rsid w:val="009212DE"/>
    <w:rsid w:val="009253D7"/>
    <w:rsid w:val="00933562"/>
    <w:rsid w:val="00951E83"/>
    <w:rsid w:val="00981C70"/>
    <w:rsid w:val="00981F7B"/>
    <w:rsid w:val="00984976"/>
    <w:rsid w:val="0099523C"/>
    <w:rsid w:val="009A12C5"/>
    <w:rsid w:val="009F6C90"/>
    <w:rsid w:val="00A05CEF"/>
    <w:rsid w:val="00A10C8B"/>
    <w:rsid w:val="00A1730E"/>
    <w:rsid w:val="00A27780"/>
    <w:rsid w:val="00A37500"/>
    <w:rsid w:val="00A47929"/>
    <w:rsid w:val="00A93AB2"/>
    <w:rsid w:val="00AB36C7"/>
    <w:rsid w:val="00AD0A78"/>
    <w:rsid w:val="00AD2842"/>
    <w:rsid w:val="00B06875"/>
    <w:rsid w:val="00B301AA"/>
    <w:rsid w:val="00B51C38"/>
    <w:rsid w:val="00B72E75"/>
    <w:rsid w:val="00B73CD8"/>
    <w:rsid w:val="00B7691A"/>
    <w:rsid w:val="00B84EE3"/>
    <w:rsid w:val="00BC543D"/>
    <w:rsid w:val="00BD012C"/>
    <w:rsid w:val="00BD6AD5"/>
    <w:rsid w:val="00C102C6"/>
    <w:rsid w:val="00C1118B"/>
    <w:rsid w:val="00C1470F"/>
    <w:rsid w:val="00C16638"/>
    <w:rsid w:val="00C27926"/>
    <w:rsid w:val="00C46B72"/>
    <w:rsid w:val="00C778EA"/>
    <w:rsid w:val="00C81BFB"/>
    <w:rsid w:val="00C82ECD"/>
    <w:rsid w:val="00C85B8F"/>
    <w:rsid w:val="00C94329"/>
    <w:rsid w:val="00C960BF"/>
    <w:rsid w:val="00CA04A5"/>
    <w:rsid w:val="00CB3015"/>
    <w:rsid w:val="00CE1BBF"/>
    <w:rsid w:val="00D0196F"/>
    <w:rsid w:val="00D0442A"/>
    <w:rsid w:val="00D45D3B"/>
    <w:rsid w:val="00D60479"/>
    <w:rsid w:val="00D76730"/>
    <w:rsid w:val="00D829F3"/>
    <w:rsid w:val="00D93DBA"/>
    <w:rsid w:val="00DB0FFB"/>
    <w:rsid w:val="00DB6B3B"/>
    <w:rsid w:val="00DB74C3"/>
    <w:rsid w:val="00DF4382"/>
    <w:rsid w:val="00E033FC"/>
    <w:rsid w:val="00E3153C"/>
    <w:rsid w:val="00E46920"/>
    <w:rsid w:val="00E674EB"/>
    <w:rsid w:val="00E92577"/>
    <w:rsid w:val="00EA027A"/>
    <w:rsid w:val="00EB107B"/>
    <w:rsid w:val="00EB6C61"/>
    <w:rsid w:val="00F04194"/>
    <w:rsid w:val="00F107FC"/>
    <w:rsid w:val="00F343EA"/>
    <w:rsid w:val="00F42C08"/>
    <w:rsid w:val="00F62438"/>
    <w:rsid w:val="00F63C42"/>
    <w:rsid w:val="00F72346"/>
    <w:rsid w:val="00F82377"/>
    <w:rsid w:val="00F8791F"/>
    <w:rsid w:val="00F94462"/>
    <w:rsid w:val="00FC457F"/>
    <w:rsid w:val="00FC4E4B"/>
    <w:rsid w:val="00FC5659"/>
    <w:rsid w:val="00FF21AC"/>
    <w:rsid w:val="00FF383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382"/>
  </w:style>
  <w:style w:type="paragraph" w:styleId="Heading1">
    <w:name w:val="heading 1"/>
    <w:basedOn w:val="Normal"/>
    <w:link w:val="Heading1Char"/>
    <w:uiPriority w:val="9"/>
    <w:qFormat/>
    <w:rsid w:val="000565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1132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74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DB74C3"/>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DB74C3"/>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4">
    <w:name w:val="Light Shading Accent 4"/>
    <w:basedOn w:val="TableNormal"/>
    <w:uiPriority w:val="60"/>
    <w:rsid w:val="00DB74C3"/>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Grid">
    <w:name w:val="Light Grid"/>
    <w:basedOn w:val="TableNormal"/>
    <w:uiPriority w:val="62"/>
    <w:rsid w:val="00DB74C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1Char">
    <w:name w:val="Heading 1 Char"/>
    <w:basedOn w:val="DefaultParagraphFont"/>
    <w:link w:val="Heading1"/>
    <w:uiPriority w:val="9"/>
    <w:rsid w:val="00056560"/>
    <w:rPr>
      <w:rFonts w:ascii="Times New Roman" w:eastAsia="Times New Roman" w:hAnsi="Times New Roman" w:cs="Times New Roman"/>
      <w:b/>
      <w:bCs/>
      <w:kern w:val="36"/>
      <w:sz w:val="48"/>
      <w:szCs w:val="48"/>
    </w:rPr>
  </w:style>
  <w:style w:type="paragraph" w:styleId="NoSpacing">
    <w:name w:val="No Spacing"/>
    <w:uiPriority w:val="1"/>
    <w:qFormat/>
    <w:rsid w:val="00056560"/>
    <w:pPr>
      <w:spacing w:after="0" w:line="240" w:lineRule="auto"/>
    </w:pPr>
  </w:style>
  <w:style w:type="character" w:customStyle="1" w:styleId="Heading2Char">
    <w:name w:val="Heading 2 Char"/>
    <w:basedOn w:val="DefaultParagraphFont"/>
    <w:link w:val="Heading2"/>
    <w:uiPriority w:val="9"/>
    <w:semiHidden/>
    <w:rsid w:val="0071132E"/>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332850"/>
    <w:rPr>
      <w:b/>
      <w:bCs/>
    </w:rPr>
  </w:style>
  <w:style w:type="character" w:customStyle="1" w:styleId="l8">
    <w:name w:val="l8"/>
    <w:basedOn w:val="DefaultParagraphFont"/>
    <w:rsid w:val="0099523C"/>
  </w:style>
  <w:style w:type="character" w:customStyle="1" w:styleId="l6">
    <w:name w:val="l6"/>
    <w:basedOn w:val="DefaultParagraphFont"/>
    <w:rsid w:val="0099523C"/>
  </w:style>
  <w:style w:type="character" w:customStyle="1" w:styleId="l7">
    <w:name w:val="l7"/>
    <w:basedOn w:val="DefaultParagraphFont"/>
    <w:rsid w:val="0099523C"/>
  </w:style>
  <w:style w:type="character" w:customStyle="1" w:styleId="l9">
    <w:name w:val="l9"/>
    <w:basedOn w:val="DefaultParagraphFont"/>
    <w:rsid w:val="0099523C"/>
  </w:style>
  <w:style w:type="character" w:customStyle="1" w:styleId="a">
    <w:name w:val="a"/>
    <w:basedOn w:val="DefaultParagraphFont"/>
    <w:rsid w:val="00B06875"/>
  </w:style>
  <w:style w:type="character" w:customStyle="1" w:styleId="fontstyle01">
    <w:name w:val="fontstyle01"/>
    <w:basedOn w:val="DefaultParagraphFont"/>
    <w:rsid w:val="008E5E42"/>
    <w:rPr>
      <w:rFonts w:ascii="Times New Roman" w:hAnsi="Times New Roman" w:cs="Times New Roman" w:hint="default"/>
      <w:b/>
      <w:bCs/>
      <w:i w:val="0"/>
      <w:iCs w:val="0"/>
      <w:color w:val="000000"/>
      <w:sz w:val="24"/>
      <w:szCs w:val="24"/>
    </w:rPr>
  </w:style>
  <w:style w:type="character" w:styleId="Hyperlink">
    <w:name w:val="Hyperlink"/>
    <w:basedOn w:val="DefaultParagraphFont"/>
    <w:uiPriority w:val="99"/>
    <w:semiHidden/>
    <w:unhideWhenUsed/>
    <w:rsid w:val="009212DE"/>
    <w:rPr>
      <w:color w:val="0000FF"/>
      <w:u w:val="single"/>
    </w:rPr>
  </w:style>
  <w:style w:type="paragraph" w:styleId="BalloonText">
    <w:name w:val="Balloon Text"/>
    <w:basedOn w:val="Normal"/>
    <w:link w:val="BalloonTextChar"/>
    <w:uiPriority w:val="99"/>
    <w:semiHidden/>
    <w:unhideWhenUsed/>
    <w:rsid w:val="009212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2DE"/>
    <w:rPr>
      <w:rFonts w:ascii="Tahoma" w:hAnsi="Tahoma" w:cs="Tahoma"/>
      <w:sz w:val="16"/>
      <w:szCs w:val="16"/>
    </w:rPr>
  </w:style>
  <w:style w:type="paragraph" w:styleId="Header">
    <w:name w:val="header"/>
    <w:basedOn w:val="Normal"/>
    <w:link w:val="HeaderChar"/>
    <w:uiPriority w:val="99"/>
    <w:semiHidden/>
    <w:unhideWhenUsed/>
    <w:rsid w:val="00F107F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107FC"/>
  </w:style>
  <w:style w:type="paragraph" w:styleId="Footer">
    <w:name w:val="footer"/>
    <w:basedOn w:val="Normal"/>
    <w:link w:val="FooterChar"/>
    <w:uiPriority w:val="99"/>
    <w:semiHidden/>
    <w:unhideWhenUsed/>
    <w:rsid w:val="00F107F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107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565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1132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7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DB74C3"/>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DB74C3"/>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4">
    <w:name w:val="Light Shading Accent 4"/>
    <w:basedOn w:val="TableNormal"/>
    <w:uiPriority w:val="60"/>
    <w:rsid w:val="00DB74C3"/>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Grid">
    <w:name w:val="Light Grid"/>
    <w:basedOn w:val="TableNormal"/>
    <w:uiPriority w:val="62"/>
    <w:rsid w:val="00DB74C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1Char">
    <w:name w:val="Heading 1 Char"/>
    <w:basedOn w:val="DefaultParagraphFont"/>
    <w:link w:val="Heading1"/>
    <w:uiPriority w:val="9"/>
    <w:rsid w:val="00056560"/>
    <w:rPr>
      <w:rFonts w:ascii="Times New Roman" w:eastAsia="Times New Roman" w:hAnsi="Times New Roman" w:cs="Times New Roman"/>
      <w:b/>
      <w:bCs/>
      <w:kern w:val="36"/>
      <w:sz w:val="48"/>
      <w:szCs w:val="48"/>
    </w:rPr>
  </w:style>
  <w:style w:type="paragraph" w:styleId="NoSpacing">
    <w:name w:val="No Spacing"/>
    <w:uiPriority w:val="1"/>
    <w:qFormat/>
    <w:rsid w:val="00056560"/>
    <w:pPr>
      <w:spacing w:after="0" w:line="240" w:lineRule="auto"/>
    </w:pPr>
  </w:style>
  <w:style w:type="character" w:customStyle="1" w:styleId="Heading2Char">
    <w:name w:val="Heading 2 Char"/>
    <w:basedOn w:val="DefaultParagraphFont"/>
    <w:link w:val="Heading2"/>
    <w:uiPriority w:val="9"/>
    <w:semiHidden/>
    <w:rsid w:val="0071132E"/>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332850"/>
    <w:rPr>
      <w:b/>
      <w:bCs/>
    </w:rPr>
  </w:style>
  <w:style w:type="character" w:customStyle="1" w:styleId="l8">
    <w:name w:val="l8"/>
    <w:basedOn w:val="DefaultParagraphFont"/>
    <w:rsid w:val="0099523C"/>
  </w:style>
  <w:style w:type="character" w:customStyle="1" w:styleId="l6">
    <w:name w:val="l6"/>
    <w:basedOn w:val="DefaultParagraphFont"/>
    <w:rsid w:val="0099523C"/>
  </w:style>
  <w:style w:type="character" w:customStyle="1" w:styleId="l7">
    <w:name w:val="l7"/>
    <w:basedOn w:val="DefaultParagraphFont"/>
    <w:rsid w:val="0099523C"/>
  </w:style>
  <w:style w:type="character" w:customStyle="1" w:styleId="l9">
    <w:name w:val="l9"/>
    <w:basedOn w:val="DefaultParagraphFont"/>
    <w:rsid w:val="0099523C"/>
  </w:style>
  <w:style w:type="character" w:customStyle="1" w:styleId="a">
    <w:name w:val="a"/>
    <w:basedOn w:val="DefaultParagraphFont"/>
    <w:rsid w:val="00B06875"/>
  </w:style>
  <w:style w:type="character" w:customStyle="1" w:styleId="fontstyle01">
    <w:name w:val="fontstyle01"/>
    <w:basedOn w:val="DefaultParagraphFont"/>
    <w:rsid w:val="008E5E42"/>
    <w:rPr>
      <w:rFonts w:ascii="Times New Roman" w:hAnsi="Times New Roman" w:cs="Times New Roman" w:hint="default"/>
      <w:b/>
      <w:bCs/>
      <w:i w:val="0"/>
      <w:iCs w:val="0"/>
      <w:color w:val="000000"/>
      <w:sz w:val="24"/>
      <w:szCs w:val="24"/>
    </w:rPr>
  </w:style>
  <w:style w:type="character" w:styleId="Hyperlink">
    <w:name w:val="Hyperlink"/>
    <w:basedOn w:val="DefaultParagraphFont"/>
    <w:uiPriority w:val="99"/>
    <w:semiHidden/>
    <w:unhideWhenUsed/>
    <w:rsid w:val="009212DE"/>
    <w:rPr>
      <w:color w:val="0000FF"/>
      <w:u w:val="single"/>
    </w:rPr>
  </w:style>
  <w:style w:type="paragraph" w:styleId="BalloonText">
    <w:name w:val="Balloon Text"/>
    <w:basedOn w:val="Normal"/>
    <w:link w:val="BalloonTextChar"/>
    <w:uiPriority w:val="99"/>
    <w:semiHidden/>
    <w:unhideWhenUsed/>
    <w:rsid w:val="009212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2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5126070">
      <w:bodyDiv w:val="1"/>
      <w:marLeft w:val="0"/>
      <w:marRight w:val="0"/>
      <w:marTop w:val="0"/>
      <w:marBottom w:val="0"/>
      <w:divBdr>
        <w:top w:val="none" w:sz="0" w:space="0" w:color="auto"/>
        <w:left w:val="none" w:sz="0" w:space="0" w:color="auto"/>
        <w:bottom w:val="none" w:sz="0" w:space="0" w:color="auto"/>
        <w:right w:val="none" w:sz="0" w:space="0" w:color="auto"/>
      </w:divBdr>
    </w:div>
    <w:div w:id="201673202">
      <w:bodyDiv w:val="1"/>
      <w:marLeft w:val="0"/>
      <w:marRight w:val="0"/>
      <w:marTop w:val="0"/>
      <w:marBottom w:val="0"/>
      <w:divBdr>
        <w:top w:val="none" w:sz="0" w:space="0" w:color="auto"/>
        <w:left w:val="none" w:sz="0" w:space="0" w:color="auto"/>
        <w:bottom w:val="none" w:sz="0" w:space="0" w:color="auto"/>
        <w:right w:val="none" w:sz="0" w:space="0" w:color="auto"/>
      </w:divBdr>
    </w:div>
    <w:div w:id="285936324">
      <w:bodyDiv w:val="1"/>
      <w:marLeft w:val="0"/>
      <w:marRight w:val="0"/>
      <w:marTop w:val="0"/>
      <w:marBottom w:val="0"/>
      <w:divBdr>
        <w:top w:val="none" w:sz="0" w:space="0" w:color="auto"/>
        <w:left w:val="none" w:sz="0" w:space="0" w:color="auto"/>
        <w:bottom w:val="none" w:sz="0" w:space="0" w:color="auto"/>
        <w:right w:val="none" w:sz="0" w:space="0" w:color="auto"/>
      </w:divBdr>
    </w:div>
    <w:div w:id="443616359">
      <w:bodyDiv w:val="1"/>
      <w:marLeft w:val="0"/>
      <w:marRight w:val="0"/>
      <w:marTop w:val="0"/>
      <w:marBottom w:val="0"/>
      <w:divBdr>
        <w:top w:val="none" w:sz="0" w:space="0" w:color="auto"/>
        <w:left w:val="none" w:sz="0" w:space="0" w:color="auto"/>
        <w:bottom w:val="none" w:sz="0" w:space="0" w:color="auto"/>
        <w:right w:val="none" w:sz="0" w:space="0" w:color="auto"/>
      </w:divBdr>
    </w:div>
    <w:div w:id="456681889">
      <w:bodyDiv w:val="1"/>
      <w:marLeft w:val="0"/>
      <w:marRight w:val="0"/>
      <w:marTop w:val="0"/>
      <w:marBottom w:val="0"/>
      <w:divBdr>
        <w:top w:val="none" w:sz="0" w:space="0" w:color="auto"/>
        <w:left w:val="none" w:sz="0" w:space="0" w:color="auto"/>
        <w:bottom w:val="none" w:sz="0" w:space="0" w:color="auto"/>
        <w:right w:val="none" w:sz="0" w:space="0" w:color="auto"/>
      </w:divBdr>
    </w:div>
    <w:div w:id="562762489">
      <w:bodyDiv w:val="1"/>
      <w:marLeft w:val="0"/>
      <w:marRight w:val="0"/>
      <w:marTop w:val="0"/>
      <w:marBottom w:val="0"/>
      <w:divBdr>
        <w:top w:val="none" w:sz="0" w:space="0" w:color="auto"/>
        <w:left w:val="none" w:sz="0" w:space="0" w:color="auto"/>
        <w:bottom w:val="none" w:sz="0" w:space="0" w:color="auto"/>
        <w:right w:val="none" w:sz="0" w:space="0" w:color="auto"/>
      </w:divBdr>
    </w:div>
    <w:div w:id="588849300">
      <w:bodyDiv w:val="1"/>
      <w:marLeft w:val="0"/>
      <w:marRight w:val="0"/>
      <w:marTop w:val="0"/>
      <w:marBottom w:val="0"/>
      <w:divBdr>
        <w:top w:val="none" w:sz="0" w:space="0" w:color="auto"/>
        <w:left w:val="none" w:sz="0" w:space="0" w:color="auto"/>
        <w:bottom w:val="none" w:sz="0" w:space="0" w:color="auto"/>
        <w:right w:val="none" w:sz="0" w:space="0" w:color="auto"/>
      </w:divBdr>
    </w:div>
    <w:div w:id="656036017">
      <w:bodyDiv w:val="1"/>
      <w:marLeft w:val="0"/>
      <w:marRight w:val="0"/>
      <w:marTop w:val="0"/>
      <w:marBottom w:val="0"/>
      <w:divBdr>
        <w:top w:val="none" w:sz="0" w:space="0" w:color="auto"/>
        <w:left w:val="none" w:sz="0" w:space="0" w:color="auto"/>
        <w:bottom w:val="none" w:sz="0" w:space="0" w:color="auto"/>
        <w:right w:val="none" w:sz="0" w:space="0" w:color="auto"/>
      </w:divBdr>
    </w:div>
    <w:div w:id="788814758">
      <w:bodyDiv w:val="1"/>
      <w:marLeft w:val="0"/>
      <w:marRight w:val="0"/>
      <w:marTop w:val="0"/>
      <w:marBottom w:val="0"/>
      <w:divBdr>
        <w:top w:val="none" w:sz="0" w:space="0" w:color="auto"/>
        <w:left w:val="none" w:sz="0" w:space="0" w:color="auto"/>
        <w:bottom w:val="none" w:sz="0" w:space="0" w:color="auto"/>
        <w:right w:val="none" w:sz="0" w:space="0" w:color="auto"/>
      </w:divBdr>
    </w:div>
    <w:div w:id="860439347">
      <w:bodyDiv w:val="1"/>
      <w:marLeft w:val="0"/>
      <w:marRight w:val="0"/>
      <w:marTop w:val="0"/>
      <w:marBottom w:val="0"/>
      <w:divBdr>
        <w:top w:val="none" w:sz="0" w:space="0" w:color="auto"/>
        <w:left w:val="none" w:sz="0" w:space="0" w:color="auto"/>
        <w:bottom w:val="none" w:sz="0" w:space="0" w:color="auto"/>
        <w:right w:val="none" w:sz="0" w:space="0" w:color="auto"/>
      </w:divBdr>
    </w:div>
    <w:div w:id="1059598210">
      <w:bodyDiv w:val="1"/>
      <w:marLeft w:val="0"/>
      <w:marRight w:val="0"/>
      <w:marTop w:val="0"/>
      <w:marBottom w:val="0"/>
      <w:divBdr>
        <w:top w:val="none" w:sz="0" w:space="0" w:color="auto"/>
        <w:left w:val="none" w:sz="0" w:space="0" w:color="auto"/>
        <w:bottom w:val="none" w:sz="0" w:space="0" w:color="auto"/>
        <w:right w:val="none" w:sz="0" w:space="0" w:color="auto"/>
      </w:divBdr>
    </w:div>
    <w:div w:id="1077899737">
      <w:bodyDiv w:val="1"/>
      <w:marLeft w:val="0"/>
      <w:marRight w:val="0"/>
      <w:marTop w:val="0"/>
      <w:marBottom w:val="0"/>
      <w:divBdr>
        <w:top w:val="none" w:sz="0" w:space="0" w:color="auto"/>
        <w:left w:val="none" w:sz="0" w:space="0" w:color="auto"/>
        <w:bottom w:val="none" w:sz="0" w:space="0" w:color="auto"/>
        <w:right w:val="none" w:sz="0" w:space="0" w:color="auto"/>
      </w:divBdr>
    </w:div>
    <w:div w:id="1261065578">
      <w:bodyDiv w:val="1"/>
      <w:marLeft w:val="0"/>
      <w:marRight w:val="0"/>
      <w:marTop w:val="0"/>
      <w:marBottom w:val="0"/>
      <w:divBdr>
        <w:top w:val="none" w:sz="0" w:space="0" w:color="auto"/>
        <w:left w:val="none" w:sz="0" w:space="0" w:color="auto"/>
        <w:bottom w:val="none" w:sz="0" w:space="0" w:color="auto"/>
        <w:right w:val="none" w:sz="0" w:space="0" w:color="auto"/>
      </w:divBdr>
    </w:div>
    <w:div w:id="1281574415">
      <w:bodyDiv w:val="1"/>
      <w:marLeft w:val="0"/>
      <w:marRight w:val="0"/>
      <w:marTop w:val="0"/>
      <w:marBottom w:val="0"/>
      <w:divBdr>
        <w:top w:val="none" w:sz="0" w:space="0" w:color="auto"/>
        <w:left w:val="none" w:sz="0" w:space="0" w:color="auto"/>
        <w:bottom w:val="none" w:sz="0" w:space="0" w:color="auto"/>
        <w:right w:val="none" w:sz="0" w:space="0" w:color="auto"/>
      </w:divBdr>
    </w:div>
    <w:div w:id="1359817719">
      <w:bodyDiv w:val="1"/>
      <w:marLeft w:val="0"/>
      <w:marRight w:val="0"/>
      <w:marTop w:val="0"/>
      <w:marBottom w:val="0"/>
      <w:divBdr>
        <w:top w:val="none" w:sz="0" w:space="0" w:color="auto"/>
        <w:left w:val="none" w:sz="0" w:space="0" w:color="auto"/>
        <w:bottom w:val="none" w:sz="0" w:space="0" w:color="auto"/>
        <w:right w:val="none" w:sz="0" w:space="0" w:color="auto"/>
      </w:divBdr>
    </w:div>
    <w:div w:id="1397319610">
      <w:bodyDiv w:val="1"/>
      <w:marLeft w:val="0"/>
      <w:marRight w:val="0"/>
      <w:marTop w:val="0"/>
      <w:marBottom w:val="0"/>
      <w:divBdr>
        <w:top w:val="none" w:sz="0" w:space="0" w:color="auto"/>
        <w:left w:val="none" w:sz="0" w:space="0" w:color="auto"/>
        <w:bottom w:val="none" w:sz="0" w:space="0" w:color="auto"/>
        <w:right w:val="none" w:sz="0" w:space="0" w:color="auto"/>
      </w:divBdr>
    </w:div>
    <w:div w:id="1429810045">
      <w:bodyDiv w:val="1"/>
      <w:marLeft w:val="0"/>
      <w:marRight w:val="0"/>
      <w:marTop w:val="0"/>
      <w:marBottom w:val="0"/>
      <w:divBdr>
        <w:top w:val="none" w:sz="0" w:space="0" w:color="auto"/>
        <w:left w:val="none" w:sz="0" w:space="0" w:color="auto"/>
        <w:bottom w:val="none" w:sz="0" w:space="0" w:color="auto"/>
        <w:right w:val="none" w:sz="0" w:space="0" w:color="auto"/>
      </w:divBdr>
    </w:div>
    <w:div w:id="1445224024">
      <w:bodyDiv w:val="1"/>
      <w:marLeft w:val="0"/>
      <w:marRight w:val="0"/>
      <w:marTop w:val="0"/>
      <w:marBottom w:val="0"/>
      <w:divBdr>
        <w:top w:val="none" w:sz="0" w:space="0" w:color="auto"/>
        <w:left w:val="none" w:sz="0" w:space="0" w:color="auto"/>
        <w:bottom w:val="none" w:sz="0" w:space="0" w:color="auto"/>
        <w:right w:val="none" w:sz="0" w:space="0" w:color="auto"/>
      </w:divBdr>
    </w:div>
    <w:div w:id="1568300489">
      <w:bodyDiv w:val="1"/>
      <w:marLeft w:val="0"/>
      <w:marRight w:val="0"/>
      <w:marTop w:val="0"/>
      <w:marBottom w:val="0"/>
      <w:divBdr>
        <w:top w:val="none" w:sz="0" w:space="0" w:color="auto"/>
        <w:left w:val="none" w:sz="0" w:space="0" w:color="auto"/>
        <w:bottom w:val="none" w:sz="0" w:space="0" w:color="auto"/>
        <w:right w:val="none" w:sz="0" w:space="0" w:color="auto"/>
      </w:divBdr>
    </w:div>
    <w:div w:id="1626767337">
      <w:bodyDiv w:val="1"/>
      <w:marLeft w:val="0"/>
      <w:marRight w:val="0"/>
      <w:marTop w:val="0"/>
      <w:marBottom w:val="0"/>
      <w:divBdr>
        <w:top w:val="none" w:sz="0" w:space="0" w:color="auto"/>
        <w:left w:val="none" w:sz="0" w:space="0" w:color="auto"/>
        <w:bottom w:val="none" w:sz="0" w:space="0" w:color="auto"/>
        <w:right w:val="none" w:sz="0" w:space="0" w:color="auto"/>
      </w:divBdr>
    </w:div>
    <w:div w:id="1938248021">
      <w:bodyDiv w:val="1"/>
      <w:marLeft w:val="0"/>
      <w:marRight w:val="0"/>
      <w:marTop w:val="0"/>
      <w:marBottom w:val="0"/>
      <w:divBdr>
        <w:top w:val="none" w:sz="0" w:space="0" w:color="auto"/>
        <w:left w:val="none" w:sz="0" w:space="0" w:color="auto"/>
        <w:bottom w:val="none" w:sz="0" w:space="0" w:color="auto"/>
        <w:right w:val="none" w:sz="0" w:space="0" w:color="auto"/>
      </w:divBdr>
      <w:divsChild>
        <w:div w:id="2106805722">
          <w:marLeft w:val="0"/>
          <w:marRight w:val="0"/>
          <w:marTop w:val="0"/>
          <w:marBottom w:val="0"/>
          <w:divBdr>
            <w:top w:val="none" w:sz="0" w:space="0" w:color="auto"/>
            <w:left w:val="none" w:sz="0" w:space="0" w:color="auto"/>
            <w:bottom w:val="none" w:sz="0" w:space="0" w:color="auto"/>
            <w:right w:val="none" w:sz="0" w:space="0" w:color="auto"/>
          </w:divBdr>
        </w:div>
        <w:div w:id="1260333545">
          <w:marLeft w:val="0"/>
          <w:marRight w:val="0"/>
          <w:marTop w:val="0"/>
          <w:marBottom w:val="0"/>
          <w:divBdr>
            <w:top w:val="none" w:sz="0" w:space="0" w:color="auto"/>
            <w:left w:val="none" w:sz="0" w:space="0" w:color="auto"/>
            <w:bottom w:val="none" w:sz="0" w:space="0" w:color="auto"/>
            <w:right w:val="none" w:sz="0" w:space="0" w:color="auto"/>
          </w:divBdr>
        </w:div>
        <w:div w:id="1578049598">
          <w:marLeft w:val="0"/>
          <w:marRight w:val="0"/>
          <w:marTop w:val="0"/>
          <w:marBottom w:val="0"/>
          <w:divBdr>
            <w:top w:val="none" w:sz="0" w:space="0" w:color="auto"/>
            <w:left w:val="none" w:sz="0" w:space="0" w:color="auto"/>
            <w:bottom w:val="none" w:sz="0" w:space="0" w:color="auto"/>
            <w:right w:val="none" w:sz="0" w:space="0" w:color="auto"/>
          </w:divBdr>
        </w:div>
      </w:divsChild>
    </w:div>
    <w:div w:id="2121952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rofile/Cindy_Sousa?_sg%5B0%5D=9Y3-Qwia_D4-QY07tO3xrsldUsdhMvd99xinwmGsxqEiEXfmYpWYhYMF4vnGUqsiIf0hZ4Q.rekwDZJUa3Pev4jmZYdtxlDgcCpH9w162jBx3xwR-hP_cXA0gs36O_Sgy9h2HsCNyVdDK4zL8HW5koDmw6IMMg&amp;_sg%5B1%5D=HsJhq4zWL2VMXnS1kVpOOyX77GOMiYk5ZJnK_Yp7AUuXrH4Q0DdLxzM7VQ5rKO236ZRXo_w.xKqi_yqS80YB38vY_goFEWOLXYxZnIzrRyHi1fkOc4_d2_Hr-bZ8OUxwl8D-qlsHh5y1ZWfIq1Fh2D8YGh92YQ" TargetMode="External"/><Relationship Id="rId13" Type="http://schemas.openxmlformats.org/officeDocument/2006/relationships/hyperlink" Target="https://www.researchgate.net/profile/Somnath_Chatterji?_sg%5B0%5D=VBwbG8HqULV5lkE-JfAL6Z1exg7WrXJP9a1cBdF7dfkAEK7TtwuSHdoz5ZoDsyNXCL16PT0.TalJpi91GUH4Rwa3VSNVVHEyIeptJLnrwMhPKTQjFP4uEqSet5pX0tAQpI734X0IN7wodewsmVMjJJL-MFZsKQ&amp;_sg%5B1%5D=y6YTjmS_tJX68AE7PVBwQDdJY0IJcDLufhzlPfesmGyuIe9QPdLL_U43Phr7C3BsdsH1Mo0.FYdXyw4vbE3QrlIuFdbohP-MQ7GhTDZk3L6zYrTg2bBaJTYLCTa1IG7yez_LQfhja19801sFcyrW6UoSIl-t9A"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researchgate.net/profile/Angelo_Stefanini?_sg%5B0%5D=VBwbG8HqULV5lkE-JfAL6Z1exg7WrXJP9a1cBdF7dfkAEK7TtwuSHdoz5ZoDsyNXCL16PT0.TalJpi91GUH4Rwa3VSNVVHEyIeptJLnrwMhPKTQjFP4uEqSet5pX0tAQpI734X0IN7wodewsmVMjJJL-MFZsKQ&amp;_sg%5B1%5D=y6YTjmS_tJX68AE7PVBwQDdJY0IJcDLufhzlPfesmGyuIe9QPdLL_U43Phr7C3BsdsH1Mo0.FYdXyw4vbE3QrlIuFdbohP-MQ7GhTDZk3L6zYrTg2bBaJTYLCTa1IG7yez_LQfhja19801sFcyrW6UoSIl-t9A"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searchgate.net/profile/Rita_Giacaman?_sg%5B0%5D=VBwbG8HqULV5lkE-JfAL6Z1exg7WrXJP9a1cBdF7dfkAEK7TtwuSHdoz5ZoDsyNXCL16PT0.TalJpi91GUH4Rwa3VSNVVHEyIeptJLnrwMhPKTQjFP4uEqSet5pX0tAQpI734X0IN7wodewsmVMjJJL-MFZsKQ&amp;_sg%5B1%5D=y6YTjmS_tJX68AE7PVBwQDdJY0IJcDLufhzlPfesmGyuIe9QPdLL_U43Phr7C3BsdsH1Mo0.FYdXyw4vbE3QrlIuFdbohP-MQ7GhTDZk3L6zYrTg2bBaJTYLCTa1IG7yez_LQfhja19801sFcyrW6UoSIl-t9A"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researchgate.net/profile/Awad_Mataria?_sg%5B0%5D=VBwbG8HqULV5lkE-JfAL6Z1exg7WrXJP9a1cBdF7dfkAEK7TtwuSHdoz5ZoDsyNXCL16PT0.TalJpi91GUH4Rwa3VSNVVHEyIeptJLnrwMhPKTQjFP4uEqSet5pX0tAQpI734X0IN7wodewsmVMjJJL-MFZsKQ&amp;_sg%5B1%5D=y6YTjmS_tJX68AE7PVBwQDdJY0IJcDLufhzlPfesmGyuIe9QPdLL_U43Phr7C3BsdsH1Mo0.FYdXyw4vbE3QrlIuFdbohP-MQ7GhTDZk3L6zYrTg2bBaJTYLCTa1IG7yez_LQfhja19801sFcyrW6UoSIl-t9A"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researchgate.net/profile/Amy_Hagopian?_sg%5B0%5D=9Y3-Qwia_D4-QY07tO3xrsldUsdhMvd99xinwmGsxqEiEXfmYpWYhYMF4vnGUqsiIf0hZ4Q.rekwDZJUa3Pev4jmZYdtxlDgcCpH9w162jBx3xwR-hP_cXA0gs36O_Sgy9h2HsCNyVdDK4zL8HW5koDmw6IMMg&amp;_sg%5B1%5D=HsJhq4zWL2VMXnS1kVpOOyX77GOMiYk5ZJnK_Yp7AUuXrH4Q0DdLxzM7VQ5rKO236ZRXo_w.xKqi_yqS80YB38vY_goFEWOLXYxZnIzrRyHi1fkOc4_d2_Hr-bZ8OUxwl8D-qlsHh5y1ZWfIq1Fh2D8YGh92YQ" TargetMode="External"/><Relationship Id="rId14" Type="http://schemas.openxmlformats.org/officeDocument/2006/relationships/header" Target="header1.xml"/><Relationship Id="rId22"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A0A3C7-CC3F-4E10-900A-452A451CF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2516</Words>
  <Characters>14342</Characters>
  <Application>Microsoft Office Word</Application>
  <DocSecurity>0</DocSecurity>
  <Lines>119</Lines>
  <Paragraphs>33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IBDA3GATE.COM</Company>
  <LinksUpToDate>false</LinksUpToDate>
  <CharactersWithSpaces>16825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Profrssional</dc:creator>
  <cp:lastModifiedBy>lenovo g580</cp:lastModifiedBy>
  <cp:revision>3</cp:revision>
  <dcterms:created xsi:type="dcterms:W3CDTF">2020-12-06T12:42:00Z</dcterms:created>
  <dcterms:modified xsi:type="dcterms:W3CDTF">2020-12-06T12:55:00Z</dcterms:modified>
</cp:coreProperties>
</file>