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034EB" w14:textId="6325F9AC" w:rsidR="000B13C5" w:rsidRPr="00E75D1B" w:rsidRDefault="00EA466D" w:rsidP="000B13C5">
      <w:pPr>
        <w:spacing w:after="0" w:line="480" w:lineRule="auto"/>
        <w:jc w:val="center"/>
        <w:rPr>
          <w:rFonts w:ascii="Arial" w:eastAsia="Times New Roman" w:hAnsi="Arial" w:cs="Arial"/>
          <w:b/>
          <w:smallCaps/>
          <w:sz w:val="36"/>
        </w:rPr>
      </w:pPr>
      <w:r w:rsidRPr="00E75D1B">
        <w:rPr>
          <w:rFonts w:ascii="Arial" w:eastAsia="Times New Roman" w:hAnsi="Arial" w:cs="Arial"/>
          <w:b/>
          <w:smallCaps/>
          <w:sz w:val="36"/>
        </w:rPr>
        <w:t>Supplementary Information</w:t>
      </w:r>
    </w:p>
    <w:p w14:paraId="5800E5C3" w14:textId="77777777" w:rsidR="000B13C5" w:rsidRPr="00CE2708" w:rsidRDefault="000B13C5" w:rsidP="000B13C5">
      <w:pPr>
        <w:spacing w:after="0" w:line="480" w:lineRule="auto"/>
        <w:jc w:val="center"/>
        <w:rPr>
          <w:rFonts w:ascii="Arial" w:eastAsia="Times New Roman" w:hAnsi="Arial" w:cs="Arial"/>
          <w:b/>
          <w:sz w:val="28"/>
        </w:rPr>
      </w:pPr>
    </w:p>
    <w:p w14:paraId="0C171A1D" w14:textId="77777777" w:rsidR="00C01833" w:rsidRPr="00CE2708" w:rsidRDefault="00C01833" w:rsidP="00C01833">
      <w:pPr>
        <w:spacing w:line="480" w:lineRule="auto"/>
        <w:jc w:val="center"/>
        <w:rPr>
          <w:rFonts w:ascii="Arial" w:eastAsia="Times New Roman" w:hAnsi="Arial" w:cs="Arial"/>
          <w:b/>
          <w:sz w:val="28"/>
        </w:rPr>
      </w:pPr>
      <w:r w:rsidRPr="00CE2708">
        <w:rPr>
          <w:rFonts w:ascii="Arial" w:hAnsi="Arial" w:cs="Arial"/>
          <w:b/>
          <w:bCs/>
          <w:smallCaps/>
          <w:sz w:val="28"/>
        </w:rPr>
        <w:t>Sustained Inhibition of CC-chemokine Receptor-2 via intra-articular deposition of polymeric microPlates in Post-Traumatic Osteoarthritis</w:t>
      </w:r>
    </w:p>
    <w:p w14:paraId="6D518594" w14:textId="77777777" w:rsidR="00C01833" w:rsidRDefault="00C01833" w:rsidP="00C01833">
      <w:pPr>
        <w:spacing w:line="480" w:lineRule="auto"/>
        <w:jc w:val="both"/>
        <w:rPr>
          <w:rFonts w:ascii="Arial" w:hAnsi="Arial" w:cs="Arial"/>
          <w:b/>
          <w:color w:val="0070C0"/>
        </w:rPr>
      </w:pPr>
    </w:p>
    <w:p w14:paraId="6B7E5DB3" w14:textId="52F0CAB7" w:rsidR="00C01833" w:rsidRDefault="00C01833" w:rsidP="00C01833">
      <w:pPr>
        <w:spacing w:line="480" w:lineRule="auto"/>
        <w:jc w:val="both"/>
        <w:rPr>
          <w:rFonts w:ascii="Arial" w:hAnsi="Arial" w:cs="Arial"/>
          <w:b/>
          <w:vertAlign w:val="superscript"/>
        </w:rPr>
      </w:pPr>
      <w:r>
        <w:rPr>
          <w:rFonts w:ascii="Arial" w:hAnsi="Arial" w:cs="Arial"/>
          <w:b/>
        </w:rPr>
        <w:t>*Huseyin Ozkan</w:t>
      </w:r>
      <w:r>
        <w:rPr>
          <w:rFonts w:ascii="Arial" w:hAnsi="Arial" w:cs="Arial"/>
          <w:b/>
          <w:vertAlign w:val="superscript"/>
        </w:rPr>
        <w:t>1</w:t>
      </w:r>
      <w:r>
        <w:rPr>
          <w:rFonts w:ascii="Arial" w:hAnsi="Arial" w:cs="Arial"/>
          <w:b/>
        </w:rPr>
        <w:t>, *Martina Di Francesco</w:t>
      </w:r>
      <w:r>
        <w:rPr>
          <w:rFonts w:ascii="Arial" w:hAnsi="Arial" w:cs="Arial"/>
          <w:b/>
          <w:vertAlign w:val="superscript"/>
        </w:rPr>
        <w:t>2</w:t>
      </w:r>
      <w:r>
        <w:rPr>
          <w:rFonts w:ascii="Arial" w:hAnsi="Arial" w:cs="Arial"/>
          <w:b/>
        </w:rPr>
        <w:t>, Helen Willcockson</w:t>
      </w:r>
      <w:r>
        <w:rPr>
          <w:rFonts w:ascii="Arial" w:hAnsi="Arial" w:cs="Arial"/>
          <w:b/>
          <w:vertAlign w:val="superscript"/>
        </w:rPr>
        <w:t>1</w:t>
      </w:r>
      <w:r>
        <w:rPr>
          <w:rFonts w:ascii="Arial" w:hAnsi="Arial" w:cs="Arial"/>
          <w:b/>
        </w:rPr>
        <w:t>, José Valdés-Fernández</w:t>
      </w:r>
      <w:r>
        <w:rPr>
          <w:rFonts w:ascii="Arial" w:hAnsi="Arial" w:cs="Arial"/>
          <w:b/>
          <w:vertAlign w:val="superscript"/>
        </w:rPr>
        <w:t>1,3</w:t>
      </w:r>
      <w:r>
        <w:rPr>
          <w:rFonts w:ascii="Arial" w:hAnsi="Arial" w:cs="Arial"/>
          <w:b/>
        </w:rPr>
        <w:t xml:space="preserve">, </w:t>
      </w:r>
      <w:r w:rsidR="00BC1A01">
        <w:rPr>
          <w:rFonts w:ascii="Arial" w:hAnsi="Arial" w:cs="Arial"/>
          <w:b/>
        </w:rPr>
        <w:t>Valentina Di Francesco</w:t>
      </w:r>
      <w:r w:rsidR="00BC1A01" w:rsidRPr="00023B86">
        <w:rPr>
          <w:rFonts w:ascii="Arial" w:hAnsi="Arial" w:cs="Arial"/>
          <w:b/>
          <w:vertAlign w:val="superscript"/>
        </w:rPr>
        <w:t>2</w:t>
      </w:r>
      <w:r w:rsidR="00BC1A01" w:rsidRPr="004A18A3">
        <w:rPr>
          <w:rFonts w:ascii="Arial" w:hAnsi="Arial" w:cs="Arial"/>
          <w:b/>
        </w:rPr>
        <w:t>,</w:t>
      </w:r>
      <w:r w:rsidR="00BC1A01">
        <w:rPr>
          <w:rFonts w:ascii="Arial" w:hAnsi="Arial" w:cs="Arial"/>
          <w:b/>
          <w:vertAlign w:val="superscript"/>
        </w:rPr>
        <w:t xml:space="preserve"> </w:t>
      </w:r>
      <w:r>
        <w:rPr>
          <w:rFonts w:ascii="Arial" w:hAnsi="Arial" w:cs="Arial"/>
          <w:b/>
        </w:rPr>
        <w:t>Froilán Granero-Moltó</w:t>
      </w:r>
      <w:r>
        <w:rPr>
          <w:rFonts w:ascii="Arial" w:hAnsi="Arial" w:cs="Arial"/>
          <w:b/>
          <w:vertAlign w:val="superscript"/>
        </w:rPr>
        <w:t>3,4,5,6</w:t>
      </w:r>
      <w:r>
        <w:rPr>
          <w:rFonts w:ascii="Arial" w:hAnsi="Arial" w:cs="Arial"/>
          <w:b/>
        </w:rPr>
        <w:t>, Felipe Prósper</w:t>
      </w:r>
      <w:r>
        <w:rPr>
          <w:rFonts w:ascii="Arial" w:hAnsi="Arial" w:cs="Arial"/>
          <w:b/>
          <w:vertAlign w:val="superscript"/>
        </w:rPr>
        <w:t>3,5,6,7,8</w:t>
      </w:r>
      <w:r>
        <w:rPr>
          <w:rFonts w:ascii="Arial" w:hAnsi="Arial" w:cs="Arial"/>
          <w:b/>
        </w:rPr>
        <w:t xml:space="preserve">, </w:t>
      </w:r>
      <w:r w:rsidRPr="00E75D1B">
        <w:rPr>
          <mc:AlternateContent>
            <mc:Choice Requires="w16se">
              <w:rFonts w:ascii="Arial" w:hAnsi="Arial" w:cs="Arial"/>
            </mc:Choice>
            <mc:Fallback>
              <w:rFonts w:ascii="Apple Color Emoji" w:eastAsia="Apple Color Emoji" w:hAnsi="Apple Color Emoji" w:cs="Apple Color Emoji"/>
            </mc:Fallback>
          </mc:AlternateContent>
          <w:sz w:val="14"/>
          <w:szCs w:val="14"/>
          <w:vertAlign w:val="superscript"/>
        </w:rPr>
        <mc:AlternateContent>
          <mc:Choice Requires="w16se">
            <w16se:symEx w16se:font="Apple Color Emoji" w16se:char="2663"/>
          </mc:Choice>
          <mc:Fallback>
            <w:t>♣</w:t>
          </mc:Fallback>
        </mc:AlternateContent>
      </w:r>
      <w:r w:rsidRPr="00E75D1B">
        <w:rPr>
          <w:rFonts w:ascii="Arial" w:hAnsi="Arial" w:cs="Arial"/>
          <w:sz w:val="14"/>
          <w:szCs w:val="14"/>
          <w:vertAlign w:val="superscript"/>
        </w:rPr>
        <w:t>︎</w:t>
      </w:r>
      <w:r>
        <w:rPr>
          <w:rFonts w:ascii="Arial" w:hAnsi="Arial" w:cs="Arial"/>
          <w:b/>
        </w:rPr>
        <w:t>Paolo Decuzzi</w:t>
      </w:r>
      <w:r>
        <w:rPr>
          <w:rFonts w:ascii="Arial" w:hAnsi="Arial" w:cs="Arial"/>
          <w:b/>
          <w:vertAlign w:val="superscript"/>
        </w:rPr>
        <w:t>2</w:t>
      </w:r>
      <w:r>
        <w:rPr>
          <w:rFonts w:ascii="Arial" w:hAnsi="Arial" w:cs="Arial"/>
          <w:b/>
        </w:rPr>
        <w:t xml:space="preserve"> and </w:t>
      </w:r>
      <w:r w:rsidRPr="00E75D1B">
        <w:rPr>
          <mc:AlternateContent>
            <mc:Choice Requires="w16se">
              <w:rFonts w:ascii="Arial" w:hAnsi="Arial" w:cs="Arial"/>
            </mc:Choice>
            <mc:Fallback>
              <w:rFonts w:ascii="Apple Color Emoji" w:eastAsia="Apple Color Emoji" w:hAnsi="Apple Color Emoji" w:cs="Apple Color Emoji"/>
            </mc:Fallback>
          </mc:AlternateContent>
          <w:sz w:val="14"/>
          <w:szCs w:val="14"/>
          <w:vertAlign w:val="superscript"/>
        </w:rPr>
        <mc:AlternateContent>
          <mc:Choice Requires="w16se">
            <w16se:symEx w16se:font="Apple Color Emoji" w16se:char="2663"/>
          </mc:Choice>
          <mc:Fallback>
            <w:t>♣</w:t>
          </mc:Fallback>
        </mc:AlternateContent>
      </w:r>
      <w:r w:rsidRPr="00E75D1B">
        <w:rPr>
          <w:rFonts w:ascii="Arial" w:hAnsi="Arial" w:cs="Arial"/>
          <w:sz w:val="14"/>
          <w:szCs w:val="14"/>
          <w:vertAlign w:val="superscript"/>
        </w:rPr>
        <w:t>︎</w:t>
      </w:r>
      <w:r>
        <w:rPr>
          <w:rFonts w:ascii="Arial" w:hAnsi="Arial" w:cs="Arial"/>
          <w:b/>
        </w:rPr>
        <w:t>Lara Longobardi</w:t>
      </w:r>
      <w:r>
        <w:rPr>
          <w:rFonts w:ascii="Arial" w:hAnsi="Arial" w:cs="Arial"/>
          <w:b/>
          <w:vertAlign w:val="superscript"/>
        </w:rPr>
        <w:t>1</w:t>
      </w:r>
    </w:p>
    <w:p w14:paraId="69DD7B42" w14:textId="77777777" w:rsidR="00C01833" w:rsidRDefault="00C01833" w:rsidP="00C01833">
      <w:pPr>
        <w:pStyle w:val="BodyText"/>
        <w:tabs>
          <w:tab w:val="left" w:pos="180"/>
        </w:tabs>
        <w:spacing w:line="360" w:lineRule="auto"/>
        <w:rPr>
          <w:rFonts w:ascii="Arial" w:hAnsi="Arial" w:cs="Arial"/>
          <w:i/>
          <w:sz w:val="22"/>
          <w:szCs w:val="22"/>
          <w:vertAlign w:val="superscript"/>
        </w:rPr>
      </w:pPr>
    </w:p>
    <w:p w14:paraId="70CE8E15" w14:textId="77777777" w:rsidR="00C01833" w:rsidRDefault="00C01833" w:rsidP="00C01833">
      <w:pPr>
        <w:pStyle w:val="BodyText"/>
        <w:tabs>
          <w:tab w:val="left" w:pos="180"/>
        </w:tabs>
        <w:rPr>
          <w:rFonts w:ascii="Arial" w:hAnsi="Arial" w:cs="Arial"/>
          <w:i/>
          <w:sz w:val="22"/>
          <w:szCs w:val="22"/>
        </w:rPr>
      </w:pPr>
      <w:r>
        <w:rPr>
          <w:rFonts w:ascii="Arial" w:hAnsi="Arial" w:cs="Arial"/>
          <w:i/>
          <w:sz w:val="22"/>
          <w:szCs w:val="22"/>
          <w:vertAlign w:val="superscript"/>
        </w:rPr>
        <w:t>1</w:t>
      </w:r>
      <w:r>
        <w:rPr>
          <w:rFonts w:ascii="Arial" w:hAnsi="Arial" w:cs="Arial"/>
          <w:i/>
          <w:sz w:val="22"/>
          <w:szCs w:val="22"/>
        </w:rPr>
        <w:t>Division of Rheumatology, Allergy and Immunology and the Thurston Arthritis Research Center, University of North Carolina-Chapel Hill, NC</w:t>
      </w:r>
    </w:p>
    <w:p w14:paraId="3F2DA62D" w14:textId="77777777" w:rsidR="00C01833" w:rsidRDefault="00C01833" w:rsidP="00C01833">
      <w:pPr>
        <w:pStyle w:val="BodyText"/>
        <w:tabs>
          <w:tab w:val="left" w:pos="180"/>
        </w:tabs>
        <w:rPr>
          <w:rFonts w:ascii="Arial" w:hAnsi="Arial" w:cs="Arial"/>
          <w:i/>
          <w:sz w:val="22"/>
          <w:szCs w:val="22"/>
          <w:lang w:val="it-IT"/>
        </w:rPr>
      </w:pPr>
      <w:r>
        <w:rPr>
          <w:rFonts w:ascii="Arial" w:hAnsi="Arial" w:cs="Arial"/>
          <w:i/>
          <w:sz w:val="22"/>
          <w:szCs w:val="22"/>
          <w:vertAlign w:val="superscript"/>
          <w:lang w:val="it-IT"/>
        </w:rPr>
        <w:t>2</w:t>
      </w:r>
      <w:r>
        <w:rPr>
          <w:rFonts w:ascii="Arial" w:hAnsi="Arial" w:cs="Arial"/>
          <w:i/>
          <w:sz w:val="22"/>
          <w:szCs w:val="22"/>
          <w:lang w:val="it-IT"/>
        </w:rPr>
        <w:t>Laboratory of Nanotechnology for Precision Medicine, Fondazione Istituto Italiano di Tecnologia, Genova, Italy.</w:t>
      </w:r>
    </w:p>
    <w:p w14:paraId="554CF193" w14:textId="77777777" w:rsidR="00C01833" w:rsidRDefault="00C01833" w:rsidP="00C01833">
      <w:pPr>
        <w:pStyle w:val="BodyText"/>
        <w:tabs>
          <w:tab w:val="left" w:pos="180"/>
        </w:tabs>
        <w:rPr>
          <w:rFonts w:ascii="Arial" w:hAnsi="Arial" w:cs="Arial"/>
          <w:i/>
          <w:sz w:val="22"/>
          <w:szCs w:val="22"/>
        </w:rPr>
      </w:pPr>
      <w:r>
        <w:rPr>
          <w:rFonts w:ascii="Arial" w:hAnsi="Arial" w:cs="Arial"/>
          <w:i/>
          <w:sz w:val="22"/>
          <w:szCs w:val="22"/>
          <w:vertAlign w:val="superscript"/>
        </w:rPr>
        <w:t>3</w:t>
      </w:r>
      <w:r>
        <w:rPr>
          <w:rFonts w:ascii="Arial" w:hAnsi="Arial" w:cs="Arial"/>
          <w:i/>
          <w:sz w:val="22"/>
          <w:szCs w:val="22"/>
        </w:rPr>
        <w:t>Cell Therapy Area, Clínica Universidad de Navarra, Pamplona, Spain.</w:t>
      </w:r>
    </w:p>
    <w:p w14:paraId="03DC7D75" w14:textId="77777777" w:rsidR="00C01833" w:rsidRDefault="00C01833" w:rsidP="00C01833">
      <w:pPr>
        <w:pStyle w:val="BodyText"/>
        <w:tabs>
          <w:tab w:val="left" w:pos="180"/>
        </w:tabs>
        <w:rPr>
          <w:rFonts w:ascii="Arial" w:hAnsi="Arial" w:cs="Arial"/>
          <w:i/>
          <w:sz w:val="22"/>
          <w:szCs w:val="22"/>
        </w:rPr>
      </w:pPr>
      <w:r>
        <w:rPr>
          <w:rFonts w:ascii="Arial" w:hAnsi="Arial" w:cs="Arial"/>
          <w:i/>
          <w:sz w:val="22"/>
          <w:szCs w:val="22"/>
          <w:vertAlign w:val="superscript"/>
        </w:rPr>
        <w:t>4</w:t>
      </w:r>
      <w:r>
        <w:rPr>
          <w:rFonts w:ascii="Arial" w:hAnsi="Arial" w:cs="Arial"/>
          <w:i/>
          <w:sz w:val="22"/>
          <w:szCs w:val="22"/>
        </w:rPr>
        <w:t xml:space="preserve">Department of Orthopedic Surgery and Traumatology, Clínica Universidad de Navarra, Pamplona, Spain. </w:t>
      </w:r>
    </w:p>
    <w:p w14:paraId="3CC597F1" w14:textId="77777777" w:rsidR="00C01833" w:rsidRDefault="00C01833" w:rsidP="00C01833">
      <w:pPr>
        <w:pStyle w:val="BodyText"/>
        <w:tabs>
          <w:tab w:val="left" w:pos="180"/>
        </w:tabs>
        <w:rPr>
          <w:rFonts w:ascii="Arial" w:hAnsi="Arial" w:cs="Arial"/>
          <w:i/>
          <w:sz w:val="22"/>
          <w:szCs w:val="22"/>
        </w:rPr>
      </w:pPr>
      <w:r>
        <w:rPr>
          <w:rFonts w:ascii="Arial" w:hAnsi="Arial" w:cs="Arial"/>
          <w:i/>
          <w:sz w:val="22"/>
          <w:szCs w:val="22"/>
          <w:vertAlign w:val="superscript"/>
        </w:rPr>
        <w:t>5</w:t>
      </w:r>
      <w:r>
        <w:rPr>
          <w:rFonts w:ascii="Arial" w:hAnsi="Arial" w:cs="Arial"/>
          <w:i/>
          <w:sz w:val="22"/>
          <w:szCs w:val="22"/>
        </w:rPr>
        <w:t>Program of Regenerative Medicine, Center for Applied Medical Research (CIMA), Universidad de Navarra, Pamplona, Spain.</w:t>
      </w:r>
    </w:p>
    <w:p w14:paraId="0362D95D" w14:textId="77777777" w:rsidR="00C01833" w:rsidRDefault="00C01833" w:rsidP="00C01833">
      <w:pPr>
        <w:pStyle w:val="BodyText"/>
        <w:tabs>
          <w:tab w:val="left" w:pos="180"/>
        </w:tabs>
        <w:rPr>
          <w:rFonts w:ascii="Arial" w:hAnsi="Arial" w:cs="Arial"/>
          <w:i/>
          <w:sz w:val="22"/>
          <w:szCs w:val="22"/>
          <w:lang w:val="es-ES"/>
        </w:rPr>
      </w:pPr>
      <w:r>
        <w:rPr>
          <w:rFonts w:ascii="Arial" w:hAnsi="Arial" w:cs="Arial"/>
          <w:i/>
          <w:sz w:val="22"/>
          <w:szCs w:val="22"/>
          <w:vertAlign w:val="superscript"/>
          <w:lang w:val="es-ES"/>
        </w:rPr>
        <w:t>6</w:t>
      </w:r>
      <w:r>
        <w:rPr>
          <w:rFonts w:ascii="Arial" w:hAnsi="Arial" w:cs="Arial"/>
          <w:i/>
          <w:sz w:val="22"/>
          <w:szCs w:val="22"/>
          <w:lang w:val="es-ES"/>
        </w:rPr>
        <w:t>Instituto de Investigacion Sanitaria de Navarra (IdiSNA), Pamplona, Spain</w:t>
      </w:r>
    </w:p>
    <w:p w14:paraId="02396BFA" w14:textId="77777777" w:rsidR="00C01833" w:rsidRDefault="00C01833" w:rsidP="00C01833">
      <w:pPr>
        <w:pStyle w:val="BodyText"/>
        <w:tabs>
          <w:tab w:val="left" w:pos="180"/>
        </w:tabs>
        <w:rPr>
          <w:rFonts w:ascii="Arial" w:hAnsi="Arial" w:cs="Arial"/>
          <w:i/>
          <w:sz w:val="22"/>
          <w:szCs w:val="22"/>
        </w:rPr>
      </w:pPr>
      <w:r>
        <w:rPr>
          <w:rFonts w:ascii="Arial" w:hAnsi="Arial" w:cs="Arial"/>
          <w:i/>
          <w:sz w:val="22"/>
          <w:szCs w:val="22"/>
          <w:vertAlign w:val="superscript"/>
        </w:rPr>
        <w:t>7</w:t>
      </w:r>
      <w:r>
        <w:rPr>
          <w:rFonts w:ascii="Arial" w:hAnsi="Arial" w:cs="Arial"/>
          <w:i/>
          <w:sz w:val="22"/>
          <w:szCs w:val="22"/>
        </w:rPr>
        <w:t>Department of Hematology, Clínica Universidad de Navarra, Pamplona, Spain.</w:t>
      </w:r>
    </w:p>
    <w:p w14:paraId="3E46F535" w14:textId="5396874E" w:rsidR="00BC1A01" w:rsidRDefault="00C01833" w:rsidP="00BC1A01">
      <w:pPr>
        <w:pStyle w:val="BodyText"/>
        <w:tabs>
          <w:tab w:val="left" w:pos="180"/>
        </w:tabs>
        <w:rPr>
          <w:rFonts w:ascii="Arial" w:hAnsi="Arial" w:cs="Arial"/>
          <w:b/>
          <w:i/>
          <w:color w:val="0070C0"/>
          <w:sz w:val="22"/>
          <w:szCs w:val="22"/>
        </w:rPr>
      </w:pPr>
      <w:r>
        <w:rPr>
          <w:rFonts w:ascii="Arial" w:hAnsi="Arial" w:cs="Arial"/>
          <w:i/>
          <w:sz w:val="22"/>
          <w:szCs w:val="22"/>
          <w:vertAlign w:val="superscript"/>
        </w:rPr>
        <w:t>8</w:t>
      </w:r>
      <w:r>
        <w:rPr>
          <w:rFonts w:ascii="Arial" w:hAnsi="Arial" w:cs="Arial"/>
          <w:i/>
          <w:sz w:val="22"/>
          <w:szCs w:val="22"/>
        </w:rPr>
        <w:t>Program of Hemato-Oncology, Center for Applied Medical Research (CIMA), Universidad de Navarra, Pamplona, Spain.</w:t>
      </w:r>
    </w:p>
    <w:p w14:paraId="669E9A69" w14:textId="357B3FEF" w:rsidR="00C01833" w:rsidRDefault="00C01833" w:rsidP="00BC1A01">
      <w:pPr>
        <w:pStyle w:val="BodyText"/>
        <w:tabs>
          <w:tab w:val="left" w:pos="180"/>
        </w:tabs>
      </w:pPr>
    </w:p>
    <w:p w14:paraId="66E3E3A9" w14:textId="77777777" w:rsidR="000B13C5" w:rsidRDefault="000B13C5" w:rsidP="00BC1A01">
      <w:pPr>
        <w:spacing w:after="0" w:line="480" w:lineRule="auto"/>
        <w:jc w:val="both"/>
        <w:rPr>
          <w:rFonts w:ascii="Arial" w:eastAsia="Times New Roman" w:hAnsi="Arial" w:cs="Arial"/>
          <w:b/>
        </w:rPr>
      </w:pPr>
      <w:r>
        <w:rPr>
          <w:rFonts w:ascii="Arial" w:hAnsi="Arial" w:cs="Arial"/>
          <w:b/>
        </w:rPr>
        <w:t>Address all correspondence and requests for reprints to:</w:t>
      </w:r>
    </w:p>
    <w:p w14:paraId="4FA1AAD4" w14:textId="77777777" w:rsidR="000B13C5" w:rsidRDefault="000B13C5" w:rsidP="000B13C5">
      <w:pPr>
        <w:jc w:val="both"/>
        <w:rPr>
          <w:rFonts w:ascii="Arial" w:hAnsi="Arial" w:cs="Arial"/>
        </w:rPr>
      </w:pPr>
      <w:r>
        <w:rPr>
          <w:rFonts w:ascii="Arial" w:hAnsi="Arial" w:cs="Arial"/>
        </w:rPr>
        <w:t xml:space="preserve">Lara Longobardi, PhD, Division of </w:t>
      </w:r>
      <w:r>
        <w:rPr>
          <w:rFonts w:ascii="Arial" w:hAnsi="Arial" w:cs="Arial"/>
          <w:u w:val="single"/>
        </w:rPr>
        <w:t>Rheumatology</w:t>
      </w:r>
      <w:r>
        <w:rPr>
          <w:rFonts w:ascii="Arial" w:hAnsi="Arial" w:cs="Arial"/>
        </w:rPr>
        <w:t xml:space="preserve">, Allergy and Immunology, University of North Carolina at Chapel Hill, 3300 Thurston Bowels Bldg, Campus Box 7280, Chapel Hill, NC 27599. Phone: (919) 843-4727. Fax: (919) 966-1739.  E-mail: </w:t>
      </w:r>
      <w:hyperlink r:id="rId10" w:history="1">
        <w:r>
          <w:rPr>
            <w:rStyle w:val="Hyperlink"/>
            <w:rFonts w:ascii="Arial" w:hAnsi="Arial" w:cs="Arial"/>
          </w:rPr>
          <w:t>lara_longobardi@med.unc.edu</w:t>
        </w:r>
      </w:hyperlink>
      <w:r>
        <w:rPr>
          <w:rFonts w:ascii="Arial" w:hAnsi="Arial" w:cs="Arial"/>
          <w:u w:val="single"/>
        </w:rPr>
        <w:t xml:space="preserve">. </w:t>
      </w:r>
      <w:r>
        <w:rPr>
          <w:rFonts w:ascii="Arial" w:hAnsi="Arial" w:cs="Arial"/>
        </w:rPr>
        <w:t>ORCID ID: 0000-0002-0156-847X</w:t>
      </w:r>
    </w:p>
    <w:p w14:paraId="08235817" w14:textId="77777777" w:rsidR="000B13C5" w:rsidRDefault="000B13C5" w:rsidP="000B13C5">
      <w:pPr>
        <w:spacing w:line="480" w:lineRule="auto"/>
        <w:jc w:val="both"/>
        <w:rPr>
          <w:rFonts w:ascii="Arial" w:hAnsi="Arial" w:cs="Arial"/>
        </w:rPr>
      </w:pPr>
    </w:p>
    <w:p w14:paraId="4EF7325C" w14:textId="77777777" w:rsidR="000B13C5" w:rsidRDefault="000B13C5" w:rsidP="000B13C5">
      <w:pPr>
        <w:jc w:val="both"/>
        <w:rPr>
          <w:rFonts w:ascii="Arial" w:hAnsi="Arial" w:cs="Arial"/>
          <w:b/>
        </w:rPr>
      </w:pPr>
      <w:r>
        <w:rPr>
          <w:rFonts w:ascii="Arial" w:hAnsi="Arial" w:cs="Arial"/>
        </w:rPr>
        <w:t>* HW and MDF contributed equally to this work</w:t>
      </w:r>
      <w:r>
        <w:rPr>
          <w:rFonts w:ascii="Arial" w:hAnsi="Arial" w:cs="Arial"/>
          <w:b/>
        </w:rPr>
        <w:t xml:space="preserve"> </w:t>
      </w:r>
    </w:p>
    <w:p w14:paraId="7C53E29D" w14:textId="6D7BC20F" w:rsidR="000B13C5" w:rsidRDefault="000B13C5" w:rsidP="000B13C5">
      <w:pPr>
        <w:jc w:val="both"/>
        <w:rPr>
          <w:rFonts w:ascii="Arial" w:hAnsi="Arial" w:cs="Arial"/>
        </w:rPr>
      </w:pPr>
      <w:r w:rsidRPr="00E75D1B">
        <w:rPr>
          <mc:AlternateContent>
            <mc:Choice Requires="w16se">
              <w:rFonts w:ascii="Arial" w:hAnsi="Arial" w:cs="Arial"/>
            </mc:Choice>
            <mc:Fallback>
              <w:rFonts w:ascii="Apple Color Emoji" w:eastAsia="Apple Color Emoji" w:hAnsi="Apple Color Emoji" w:cs="Apple Color Emoji"/>
            </mc:Fallback>
          </mc:AlternateContent>
          <w:sz w:val="14"/>
          <w:szCs w:val="14"/>
          <w:vertAlign w:val="superscript"/>
        </w:rPr>
        <mc:AlternateContent>
          <mc:Choice Requires="w16se">
            <w16se:symEx w16se:font="Apple Color Emoji" w16se:char="2663"/>
          </mc:Choice>
          <mc:Fallback>
            <w:t>♣</w:t>
          </mc:Fallback>
        </mc:AlternateContent>
      </w:r>
      <w:r w:rsidRPr="00E75D1B">
        <w:rPr>
          <w:rFonts w:ascii="Arial" w:hAnsi="Arial" w:cs="Arial"/>
          <w:sz w:val="14"/>
          <w:szCs w:val="14"/>
          <w:vertAlign w:val="superscript"/>
        </w:rPr>
        <w:t>︎</w:t>
      </w:r>
      <w:r>
        <w:rPr>
          <w:rFonts w:ascii="Arial" w:hAnsi="Arial" w:cs="Arial"/>
        </w:rPr>
        <w:t xml:space="preserve"> </w:t>
      </w:r>
      <w:r w:rsidR="00EA466D">
        <w:rPr>
          <w:rFonts w:ascii="Arial" w:hAnsi="Arial" w:cs="Arial"/>
        </w:rPr>
        <w:t xml:space="preserve">LL and PD share </w:t>
      </w:r>
      <w:r>
        <w:rPr>
          <w:rFonts w:ascii="Arial" w:hAnsi="Arial" w:cs="Arial"/>
        </w:rPr>
        <w:t>the senior authorship</w:t>
      </w:r>
    </w:p>
    <w:p w14:paraId="54508259" w14:textId="77777777" w:rsidR="000B13C5" w:rsidRDefault="000B13C5" w:rsidP="00C01833">
      <w:pPr>
        <w:spacing w:line="360" w:lineRule="auto"/>
        <w:jc w:val="both"/>
        <w:rPr>
          <w:rFonts w:ascii="Arial" w:hAnsi="Arial" w:cs="Arial"/>
          <w:b/>
          <w:color w:val="0070C0"/>
        </w:rPr>
      </w:pPr>
    </w:p>
    <w:p w14:paraId="241CADCD" w14:textId="060CED60" w:rsidR="00882DEF" w:rsidRPr="00E75D1B" w:rsidRDefault="00112604" w:rsidP="00A35B63">
      <w:pPr>
        <w:spacing w:after="0" w:line="480" w:lineRule="auto"/>
        <w:jc w:val="both"/>
        <w:rPr>
          <w:rFonts w:ascii="Arial" w:eastAsia="Times New Roman" w:hAnsi="Arial" w:cs="Arial"/>
          <w:b/>
          <w:smallCaps/>
          <w:sz w:val="28"/>
          <w:szCs w:val="28"/>
        </w:rPr>
      </w:pPr>
      <w:r w:rsidRPr="00E75D1B">
        <w:rPr>
          <w:rFonts w:ascii="Arial" w:eastAsia="Times New Roman" w:hAnsi="Arial" w:cs="Arial"/>
          <w:b/>
          <w:smallCaps/>
          <w:sz w:val="28"/>
          <w:szCs w:val="28"/>
        </w:rPr>
        <w:t>Supplementary</w:t>
      </w:r>
      <w:r w:rsidR="00414B71" w:rsidRPr="00E75D1B">
        <w:rPr>
          <w:rFonts w:ascii="Arial" w:eastAsia="Times New Roman" w:hAnsi="Arial" w:cs="Arial"/>
          <w:b/>
          <w:smallCaps/>
          <w:sz w:val="28"/>
          <w:szCs w:val="28"/>
        </w:rPr>
        <w:t xml:space="preserve"> </w:t>
      </w:r>
      <w:r w:rsidR="003B1EEB" w:rsidRPr="00E75D1B">
        <w:rPr>
          <w:rFonts w:ascii="Arial" w:eastAsia="Times New Roman" w:hAnsi="Arial" w:cs="Arial"/>
          <w:b/>
          <w:smallCaps/>
          <w:sz w:val="28"/>
          <w:szCs w:val="28"/>
        </w:rPr>
        <w:t>Methods</w:t>
      </w:r>
    </w:p>
    <w:p w14:paraId="4FC5F80A" w14:textId="34A6D375" w:rsidR="006F55FF" w:rsidRDefault="001A5DA1" w:rsidP="007036D4">
      <w:pPr>
        <w:spacing w:after="0" w:line="480" w:lineRule="auto"/>
        <w:ind w:firstLine="360"/>
        <w:jc w:val="both"/>
        <w:rPr>
          <w:rFonts w:ascii="Arial" w:hAnsi="Arial" w:cs="Arial"/>
        </w:rPr>
      </w:pPr>
      <w:r w:rsidRPr="0015099A">
        <w:rPr>
          <w:rFonts w:ascii="Arial" w:hAnsi="Arial" w:cs="Arial"/>
          <w:b/>
          <w:bCs/>
          <w:iCs/>
        </w:rPr>
        <w:t xml:space="preserve">Histopathologic assessment of arthritis </w:t>
      </w:r>
      <w:r w:rsidRPr="00C872D2">
        <w:rPr>
          <w:rFonts w:ascii="Arial" w:hAnsi="Arial" w:cs="Arial"/>
        </w:rPr>
        <w:t xml:space="preserve">Dissected knees were fixed in 4% paraformaldehyde, overnight at </w:t>
      </w:r>
      <w:r w:rsidR="00343668">
        <w:rPr>
          <w:rFonts w:ascii="Arial" w:hAnsi="Arial" w:cs="Arial"/>
        </w:rPr>
        <w:t>RT</w:t>
      </w:r>
      <w:r w:rsidRPr="00C872D2">
        <w:rPr>
          <w:rFonts w:ascii="Arial" w:hAnsi="Arial" w:cs="Arial"/>
        </w:rPr>
        <w:t xml:space="preserve">. Following removal of fixative and rinsing in PBS, knees were decalcified with Immunocal (StatLab, McKinney, TX) for </w:t>
      </w:r>
      <w:r w:rsidR="00154888">
        <w:rPr>
          <w:rFonts w:ascii="Arial" w:hAnsi="Arial" w:cs="Arial"/>
        </w:rPr>
        <w:t>5-7</w:t>
      </w:r>
      <w:r w:rsidRPr="00C872D2">
        <w:rPr>
          <w:rFonts w:ascii="Arial" w:hAnsi="Arial" w:cs="Arial"/>
        </w:rPr>
        <w:t xml:space="preserve"> days, embedded in paraffin, and frontal sections (6µm) </w:t>
      </w:r>
      <w:r w:rsidR="00154888">
        <w:rPr>
          <w:rFonts w:ascii="Arial" w:hAnsi="Arial" w:cs="Arial"/>
        </w:rPr>
        <w:t xml:space="preserve">were cut </w:t>
      </w:r>
      <w:r w:rsidRPr="00C872D2">
        <w:rPr>
          <w:rFonts w:ascii="Arial" w:hAnsi="Arial" w:cs="Arial"/>
        </w:rPr>
        <w:t>through the entire joint. Sections at 70µm intervals were stained with Safranin-O/Fast Green and images taken with an Olympus BX51 microscope and a DP71 camera. For OA grading, we used 2 different semiquantitative scoring systems, described by McNulty et al 2007</w:t>
      </w:r>
      <w:r w:rsidR="00950AA1" w:rsidRPr="00C872D2">
        <w:rPr>
          <w:rFonts w:ascii="Arial" w:hAnsi="Arial" w:cs="Arial"/>
        </w:rPr>
        <w:t xml:space="preserve">, </w:t>
      </w:r>
      <w:r w:rsidRPr="00C872D2">
        <w:rPr>
          <w:rFonts w:ascii="Arial" w:hAnsi="Arial" w:cs="Arial"/>
        </w:rPr>
        <w:t>the Articular Cartilage Structure (ACS) score and the Safranin-O staining score (Saf</w:t>
      </w:r>
      <w:r w:rsidRPr="00415BE2">
        <w:rPr>
          <w:rFonts w:ascii="Arial" w:hAnsi="Arial" w:cs="Arial"/>
        </w:rPr>
        <w:t>-O)</w:t>
      </w:r>
      <w:r w:rsidR="00292171" w:rsidRPr="00415BE2">
        <w:rPr>
          <w:rFonts w:ascii="Arial" w:hAnsi="Arial" w:cs="Arial"/>
        </w:rPr>
        <w:t xml:space="preserve"> </w:t>
      </w:r>
      <w:r w:rsidR="00950AA1" w:rsidRPr="00415BE2">
        <w:rPr>
          <w:rFonts w:ascii="Arial" w:hAnsi="Arial" w:cs="Arial"/>
        </w:rPr>
        <w:t>[</w:t>
      </w:r>
      <w:r w:rsidR="00415BE2" w:rsidRPr="00415BE2">
        <w:rPr>
          <w:rFonts w:ascii="Arial" w:hAnsi="Arial" w:cs="Arial"/>
        </w:rPr>
        <w:t>20</w:t>
      </w:r>
      <w:r w:rsidR="00950AA1" w:rsidRPr="00415BE2">
        <w:rPr>
          <w:rFonts w:ascii="Arial" w:hAnsi="Arial" w:cs="Arial"/>
        </w:rPr>
        <w:t>]</w:t>
      </w:r>
      <w:r w:rsidRPr="00415BE2">
        <w:rPr>
          <w:rFonts w:ascii="Arial" w:hAnsi="Arial" w:cs="Arial"/>
        </w:rPr>
        <w:t>. Compared</w:t>
      </w:r>
      <w:r w:rsidRPr="00C872D2">
        <w:rPr>
          <w:rFonts w:ascii="Arial" w:hAnsi="Arial" w:cs="Arial"/>
        </w:rPr>
        <w:t xml:space="preserve"> to the OARSI score system, designed to rapidly identify the site within the joint that contains the most severe lesions, the combination of ACS and Saf-O scores provide in-depth information regarding changes within the lesions, for both articular cartilage structure and extracellular matrix integrity.</w:t>
      </w:r>
      <w:r w:rsidR="008B5831" w:rsidRPr="00C872D2">
        <w:rPr>
          <w:rFonts w:ascii="Arial" w:hAnsi="Arial" w:cs="Arial"/>
        </w:rPr>
        <w:t xml:space="preserve"> The ACS focuses on AC structure, identifying fibrillations and cleft in the structure, while the Saf-O is more tailored at identifying changes within the cell compartment and/or in the extracellular matrix</w:t>
      </w:r>
      <w:r w:rsidRPr="00C872D2">
        <w:rPr>
          <w:rFonts w:ascii="Arial" w:hAnsi="Arial" w:cs="Arial"/>
        </w:rPr>
        <w:t xml:space="preserve"> For both scoring systems, two adjacent midcoronal and posterior sections were stained with H &amp; E (for ACS) or Safranin-O and lesions are identified within the 4 compartments (medial and lateral tibial plateau and femoral condyles); In both ACS and Saf-O scores, lesions are scored on a 0-12 scale</w:t>
      </w:r>
      <w:r w:rsidR="00950AA1" w:rsidRPr="00C872D2">
        <w:rPr>
          <w:rFonts w:ascii="Arial" w:hAnsi="Arial" w:cs="Arial"/>
        </w:rPr>
        <w:t xml:space="preserve"> as described by McNulty et al.</w:t>
      </w:r>
      <w:r w:rsidRPr="00C872D2">
        <w:rPr>
          <w:rFonts w:ascii="Arial" w:hAnsi="Arial" w:cs="Arial"/>
        </w:rPr>
        <w:t>, where zero is defined as normal, reflecting a smooth articular surface (ACS) or uniform staining throughout the articular cartilage (Saf-O), while 12 reflects fibrillation/cleft/loss of cartilage (ACS) or complete loss of staining in both cells and matrix (Saf-O) involving the full thickness of articular cartilage with an extension higher than t</w:t>
      </w:r>
      <w:r w:rsidR="00950AA1" w:rsidRPr="00C872D2">
        <w:rPr>
          <w:rFonts w:ascii="Arial" w:hAnsi="Arial" w:cs="Arial"/>
        </w:rPr>
        <w:t>wo third of the plateau/</w:t>
      </w:r>
      <w:r w:rsidR="00950AA1" w:rsidRPr="00415BE2">
        <w:rPr>
          <w:rFonts w:ascii="Arial" w:hAnsi="Arial" w:cs="Arial"/>
        </w:rPr>
        <w:t>condyle</w:t>
      </w:r>
      <w:r w:rsidR="000F44F0" w:rsidRPr="00415BE2">
        <w:rPr>
          <w:rFonts w:ascii="Arial" w:hAnsi="Arial" w:cs="Arial"/>
        </w:rPr>
        <w:t xml:space="preserve"> </w:t>
      </w:r>
      <w:r w:rsidR="00950AA1" w:rsidRPr="00415BE2">
        <w:rPr>
          <w:rFonts w:ascii="Arial" w:hAnsi="Arial" w:cs="Arial"/>
        </w:rPr>
        <w:t>[</w:t>
      </w:r>
      <w:r w:rsidR="00415BE2" w:rsidRPr="00415BE2">
        <w:rPr>
          <w:rFonts w:ascii="Arial" w:hAnsi="Arial" w:cs="Arial"/>
        </w:rPr>
        <w:t>20</w:t>
      </w:r>
      <w:r w:rsidR="00950AA1" w:rsidRPr="00415BE2">
        <w:rPr>
          <w:rFonts w:ascii="Arial" w:hAnsi="Arial" w:cs="Arial"/>
        </w:rPr>
        <w:t>]</w:t>
      </w:r>
      <w:r w:rsidRPr="00415BE2">
        <w:rPr>
          <w:rFonts w:ascii="Arial" w:hAnsi="Arial" w:cs="Arial"/>
        </w:rPr>
        <w:t>.</w:t>
      </w:r>
      <w:r w:rsidRPr="00C872D2">
        <w:rPr>
          <w:rFonts w:ascii="Arial" w:hAnsi="Arial" w:cs="Arial"/>
        </w:rPr>
        <w:t xml:space="preserve"> </w:t>
      </w:r>
    </w:p>
    <w:p w14:paraId="49A5BAA9" w14:textId="4AED2F66" w:rsidR="007036D4" w:rsidRPr="007036D4" w:rsidRDefault="007036D4" w:rsidP="007036D4">
      <w:pPr>
        <w:spacing w:after="0" w:line="480" w:lineRule="auto"/>
        <w:ind w:left="-90" w:firstLine="450"/>
        <w:jc w:val="both"/>
        <w:rPr>
          <w:rFonts w:ascii="Arial" w:hAnsi="Arial" w:cs="Arial"/>
        </w:rPr>
      </w:pPr>
      <w:r w:rsidRPr="007036D4">
        <w:rPr>
          <w:rFonts w:ascii="Arial" w:hAnsi="Arial" w:cs="Arial"/>
          <w:iCs/>
        </w:rPr>
        <w:t xml:space="preserve">Histomorphometric analysis were performed to quantify the area of </w:t>
      </w:r>
      <w:r w:rsidRPr="007036D4">
        <w:rPr>
          <w:rFonts w:ascii="Arial" w:hAnsi="Arial" w:cs="Arial"/>
        </w:rPr>
        <w:t xml:space="preserve">subchondral bone using </w:t>
      </w:r>
      <w:r w:rsidRPr="007036D4">
        <w:rPr>
          <w:rFonts w:ascii="Arial" w:hAnsi="Arial" w:cs="Arial"/>
          <w:i/>
          <w:iCs/>
        </w:rPr>
        <w:t>I</w:t>
      </w:r>
      <w:r w:rsidRPr="007036D4">
        <w:rPr>
          <w:rFonts w:ascii="Arial" w:hAnsi="Arial" w:cs="Arial"/>
          <w:i/>
        </w:rPr>
        <w:t>mage-J</w:t>
      </w:r>
      <w:r w:rsidRPr="007036D4">
        <w:rPr>
          <w:rFonts w:ascii="Arial" w:hAnsi="Arial" w:cs="Arial"/>
        </w:rPr>
        <w:t xml:space="preserve"> </w:t>
      </w:r>
      <w:r w:rsidRPr="00415BE2">
        <w:rPr>
          <w:rFonts w:ascii="Arial" w:hAnsi="Arial" w:cs="Arial"/>
        </w:rPr>
        <w:t>analyses</w:t>
      </w:r>
      <w:r w:rsidR="00415BE2" w:rsidRPr="00415BE2">
        <w:rPr>
          <w:rFonts w:ascii="Arial" w:hAnsi="Arial" w:cs="Arial"/>
        </w:rPr>
        <w:t xml:space="preserve"> [</w:t>
      </w:r>
      <w:r w:rsidRPr="00415BE2">
        <w:rPr>
          <w:rFonts w:ascii="Arial" w:hAnsi="Arial" w:cs="Arial"/>
        </w:rPr>
        <w:t>21</w:t>
      </w:r>
      <w:r w:rsidR="00415BE2" w:rsidRPr="00415BE2">
        <w:rPr>
          <w:rFonts w:ascii="Arial" w:hAnsi="Arial" w:cs="Arial"/>
        </w:rPr>
        <w:t>]</w:t>
      </w:r>
      <w:r w:rsidRPr="00415BE2">
        <w:rPr>
          <w:rFonts w:ascii="Arial" w:hAnsi="Arial" w:cs="Arial"/>
        </w:rPr>
        <w:t>; measurements</w:t>
      </w:r>
      <w:r w:rsidRPr="007036D4">
        <w:rPr>
          <w:rFonts w:ascii="Arial" w:hAnsi="Arial" w:cs="Arial"/>
        </w:rPr>
        <w:t xml:space="preserve"> were performed only on the medial side of the tibia, on the </w:t>
      </w:r>
      <w:r w:rsidRPr="007036D4">
        <w:rPr>
          <w:rFonts w:ascii="Arial" w:hAnsi="Arial" w:cs="Arial"/>
        </w:rPr>
        <w:lastRenderedPageBreak/>
        <w:t>total number of mice used for Saf-O semiquantitative assessments as previously reported</w:t>
      </w:r>
      <w:r w:rsidR="00415BE2">
        <w:rPr>
          <w:rFonts w:ascii="Arial" w:hAnsi="Arial" w:cs="Arial"/>
        </w:rPr>
        <w:t xml:space="preserve"> [8]</w:t>
      </w:r>
      <w:r w:rsidRPr="007036D4">
        <w:rPr>
          <w:rFonts w:ascii="Arial" w:hAnsi="Arial" w:cs="Arial"/>
        </w:rPr>
        <w:t xml:space="preserve">. Data were reported in square micrometers (sq µm) as average of 4 slides for each sample. </w:t>
      </w:r>
    </w:p>
    <w:p w14:paraId="582B7F5A" w14:textId="786C951A" w:rsidR="00A354D0" w:rsidRDefault="007036D4" w:rsidP="00C2632B">
      <w:pPr>
        <w:spacing w:line="480" w:lineRule="auto"/>
        <w:ind w:left="-90" w:firstLine="450"/>
        <w:jc w:val="both"/>
        <w:rPr>
          <w:rFonts w:ascii="Arial" w:hAnsi="Arial" w:cs="Arial"/>
        </w:rPr>
      </w:pPr>
      <w:r w:rsidRPr="007036D4">
        <w:rPr>
          <w:rFonts w:ascii="Arial" w:hAnsi="Arial" w:cs="Arial"/>
        </w:rPr>
        <w:t xml:space="preserve">Specifically, the subchondral plate of each slide stained with Saf-O from all groups was encircled to measure the area. Samples were examined in a blinded fashion with </w:t>
      </w:r>
      <w:r w:rsidRPr="007036D4">
        <w:rPr>
          <w:rFonts w:ascii="Arial" w:hAnsi="Arial" w:cs="Arial"/>
          <w:i/>
        </w:rPr>
        <w:t>Image-J</w:t>
      </w:r>
      <w:r w:rsidRPr="007036D4">
        <w:rPr>
          <w:rFonts w:ascii="Arial" w:hAnsi="Arial" w:cs="Arial"/>
        </w:rPr>
        <w:t xml:space="preserve"> software </w:t>
      </w:r>
      <w:r w:rsidR="00415BE2">
        <w:rPr>
          <w:rFonts w:ascii="Arial" w:hAnsi="Arial" w:cs="Arial"/>
        </w:rPr>
        <w:t>[21]</w:t>
      </w:r>
      <w:r w:rsidRPr="007036D4">
        <w:rPr>
          <w:rFonts w:ascii="Arial" w:hAnsi="Arial" w:cs="Arial"/>
        </w:rPr>
        <w:t xml:space="preserve">.   Data were reported in square micrometers (sq µm) as average of 4 slides for each sample. </w:t>
      </w:r>
    </w:p>
    <w:p w14:paraId="1C26BB79" w14:textId="77777777" w:rsidR="00C2632B" w:rsidRPr="00C2632B" w:rsidRDefault="00C2632B" w:rsidP="00C2632B">
      <w:pPr>
        <w:spacing w:line="480" w:lineRule="auto"/>
        <w:ind w:left="-90" w:firstLine="450"/>
        <w:jc w:val="both"/>
        <w:rPr>
          <w:rFonts w:ascii="Arial" w:hAnsi="Arial" w:cs="Arial"/>
        </w:rPr>
      </w:pPr>
    </w:p>
    <w:p w14:paraId="17E43AB2" w14:textId="5D8BFC74" w:rsidR="008D1065" w:rsidRPr="00C872D2" w:rsidRDefault="008D1065" w:rsidP="00CC14C9">
      <w:pPr>
        <w:spacing w:line="480" w:lineRule="auto"/>
        <w:ind w:firstLine="360"/>
        <w:jc w:val="both"/>
        <w:rPr>
          <w:rFonts w:ascii="Arial" w:eastAsia="Times New Roman" w:hAnsi="Arial" w:cs="Arial"/>
        </w:rPr>
      </w:pPr>
      <w:r w:rsidRPr="0015099A">
        <w:rPr>
          <w:rFonts w:ascii="Arial" w:eastAsia="Times New Roman" w:hAnsi="Arial" w:cs="Arial"/>
          <w:b/>
          <w:bCs/>
          <w:iCs/>
        </w:rPr>
        <w:t>Osteophyte size and maturity scoring</w:t>
      </w:r>
      <w:r w:rsidR="00CC14C9">
        <w:rPr>
          <w:rFonts w:ascii="Arial" w:eastAsia="Times New Roman" w:hAnsi="Arial" w:cs="Arial"/>
        </w:rPr>
        <w:t xml:space="preserve">. </w:t>
      </w:r>
      <w:r w:rsidRPr="00C872D2">
        <w:rPr>
          <w:rFonts w:ascii="Arial" w:eastAsia="Times New Roman" w:hAnsi="Arial" w:cs="Arial"/>
        </w:rPr>
        <w:t>For osteophyte grading, we used the histological scoring system developed by Little et al, developed to score both osteophyte size (from 1 to 3) and osteophyte maturity (from 1 to 3), with the latter reflecting t</w:t>
      </w:r>
      <w:r w:rsidR="00950AA1" w:rsidRPr="00C872D2">
        <w:rPr>
          <w:rFonts w:ascii="Arial" w:eastAsia="Times New Roman" w:hAnsi="Arial" w:cs="Arial"/>
        </w:rPr>
        <w:t>he osteophyte tissue composition</w:t>
      </w:r>
      <w:r w:rsidR="000F44F0">
        <w:rPr>
          <w:rFonts w:ascii="Arial" w:eastAsia="Times New Roman" w:hAnsi="Arial" w:cs="Arial"/>
        </w:rPr>
        <w:t xml:space="preserve"> </w:t>
      </w:r>
      <w:r w:rsidR="00CF6DE2" w:rsidRPr="00B63478">
        <w:rPr>
          <w:rFonts w:ascii="Arial" w:eastAsia="Times New Roman" w:hAnsi="Arial" w:cs="Arial"/>
        </w:rPr>
        <w:t>[</w:t>
      </w:r>
      <w:r w:rsidR="00B63478" w:rsidRPr="00B63478">
        <w:rPr>
          <w:rFonts w:ascii="Arial" w:eastAsia="Times New Roman" w:hAnsi="Arial" w:cs="Arial"/>
        </w:rPr>
        <w:t>2</w:t>
      </w:r>
      <w:r w:rsidR="00CF6DE2" w:rsidRPr="00B63478">
        <w:rPr>
          <w:rFonts w:ascii="Arial" w:eastAsia="Times New Roman" w:hAnsi="Arial" w:cs="Arial"/>
        </w:rPr>
        <w:t>2]</w:t>
      </w:r>
      <w:r w:rsidR="00950AA1" w:rsidRPr="00B63478">
        <w:rPr>
          <w:rFonts w:ascii="Arial" w:eastAsia="Times New Roman" w:hAnsi="Arial" w:cs="Arial"/>
        </w:rPr>
        <w:t xml:space="preserve">. </w:t>
      </w:r>
      <w:r w:rsidRPr="00B63478">
        <w:rPr>
          <w:rFonts w:ascii="Arial" w:eastAsia="Times New Roman" w:hAnsi="Arial" w:cs="Arial"/>
        </w:rPr>
        <w:t>Osteophyte</w:t>
      </w:r>
      <w:r w:rsidRPr="00C872D2">
        <w:rPr>
          <w:rFonts w:ascii="Arial" w:eastAsia="Times New Roman" w:hAnsi="Arial" w:cs="Arial"/>
        </w:rPr>
        <w:t xml:space="preserve"> grading was performed on Safranin-O/Fast-Green</w:t>
      </w:r>
      <w:r w:rsidR="0022584E" w:rsidRPr="00C872D2">
        <w:rPr>
          <w:rFonts w:ascii="Arial" w:eastAsia="Times New Roman" w:hAnsi="Arial" w:cs="Arial"/>
        </w:rPr>
        <w:t xml:space="preserve"> s</w:t>
      </w:r>
      <w:r w:rsidRPr="00C872D2">
        <w:rPr>
          <w:rFonts w:ascii="Arial" w:eastAsia="Times New Roman" w:hAnsi="Arial" w:cs="Arial"/>
        </w:rPr>
        <w:t xml:space="preserve">ections to obtain the OARSI score. Because osteophytes usually form close to areas of cartilage degradation, in the DMM they are predominately localized on the medial tibial plateau, therefore only sections from this region were used for osteophyte grading. Briefly, an osteophyte size score is obtained on assigning a score based on the size of osteophytes compared to adjacent cartilage (0 = none, 1 = small ~ the same thickness as the adjacent cartilage, 2 = medium ~ 1–3 × the thickness as the adjacent cartilage, 3 = large &gt;3 × the thickness as the adjacent cartilage). The osteophyte maturity score reflects the tissue composition of osteophytes and is assessed by assigning a score as following: 0 = none, 1 = predominantly cartilaginous, 2 = mixed </w:t>
      </w:r>
      <w:r w:rsidRPr="00B63478">
        <w:rPr>
          <w:rFonts w:ascii="Arial" w:eastAsia="Times New Roman" w:hAnsi="Arial" w:cs="Arial"/>
        </w:rPr>
        <w:t>cartilage and bone with active vascular invasion and endochondral ossification, 3 = predominantly bone</w:t>
      </w:r>
      <w:r w:rsidR="000F44F0" w:rsidRPr="00B63478">
        <w:rPr>
          <w:rFonts w:ascii="Arial" w:eastAsia="Times New Roman" w:hAnsi="Arial" w:cs="Arial"/>
        </w:rPr>
        <w:t xml:space="preserve"> </w:t>
      </w:r>
      <w:r w:rsidR="00CF6DE2" w:rsidRPr="00B63478">
        <w:rPr>
          <w:rFonts w:ascii="Arial" w:eastAsia="Times New Roman" w:hAnsi="Arial" w:cs="Arial"/>
        </w:rPr>
        <w:t>[</w:t>
      </w:r>
      <w:r w:rsidR="00B63478" w:rsidRPr="00B63478">
        <w:rPr>
          <w:rFonts w:ascii="Arial" w:eastAsia="Times New Roman" w:hAnsi="Arial" w:cs="Arial"/>
        </w:rPr>
        <w:t>2</w:t>
      </w:r>
      <w:r w:rsidR="00CF6DE2" w:rsidRPr="00B63478">
        <w:rPr>
          <w:rFonts w:ascii="Arial" w:eastAsia="Times New Roman" w:hAnsi="Arial" w:cs="Arial"/>
        </w:rPr>
        <w:t>2]</w:t>
      </w:r>
      <w:r w:rsidRPr="00B63478">
        <w:rPr>
          <w:rFonts w:ascii="Arial" w:eastAsia="Times New Roman" w:hAnsi="Arial" w:cs="Arial"/>
        </w:rPr>
        <w:t>.</w:t>
      </w:r>
    </w:p>
    <w:p w14:paraId="29AC85D9" w14:textId="066569A2" w:rsidR="008D1065" w:rsidRDefault="008D1065" w:rsidP="002B18B6">
      <w:pPr>
        <w:autoSpaceDE w:val="0"/>
        <w:autoSpaceDN w:val="0"/>
        <w:adjustRightInd w:val="0"/>
        <w:spacing w:after="0" w:line="480" w:lineRule="auto"/>
        <w:ind w:firstLine="360"/>
        <w:jc w:val="both"/>
        <w:rPr>
          <w:rFonts w:ascii="Arial" w:eastAsia="Times New Roman" w:hAnsi="Arial" w:cs="Arial"/>
        </w:rPr>
      </w:pPr>
      <w:r w:rsidRPr="00C872D2">
        <w:rPr>
          <w:rFonts w:ascii="Arial" w:eastAsia="Times New Roman" w:hAnsi="Arial" w:cs="Arial"/>
        </w:rPr>
        <w:t>Both osteophyte size and maturity scores were obtained from coded digital images of the same location of the anterior-medial tibia in each animal.</w:t>
      </w:r>
    </w:p>
    <w:p w14:paraId="26B1A229" w14:textId="01C05298" w:rsidR="00C2632B" w:rsidRPr="00C2632B" w:rsidRDefault="00C2632B" w:rsidP="00C2632B">
      <w:pPr>
        <w:spacing w:after="0" w:line="480" w:lineRule="auto"/>
        <w:ind w:firstLine="360"/>
        <w:jc w:val="both"/>
        <w:rPr>
          <w:rFonts w:ascii="Arial" w:eastAsia="Times New Roman" w:hAnsi="Arial" w:cs="Arial"/>
          <w:color w:val="FF0000"/>
        </w:rPr>
      </w:pPr>
      <w:r w:rsidRPr="00C2632B">
        <w:rPr>
          <w:rFonts w:ascii="Arial" w:eastAsia="Times New Roman" w:hAnsi="Arial" w:cs="Arial"/>
        </w:rPr>
        <w:t>We also quantified the area of cartilage within</w:t>
      </w:r>
      <w:r w:rsidR="00B63478">
        <w:rPr>
          <w:rFonts w:ascii="Arial" w:eastAsia="Times New Roman" w:hAnsi="Arial" w:cs="Arial"/>
        </w:rPr>
        <w:t xml:space="preserve"> the osteophytes using Image-J [21]</w:t>
      </w:r>
      <w:r w:rsidRPr="00C2632B">
        <w:rPr>
          <w:rFonts w:ascii="Arial" w:eastAsia="Times New Roman" w:hAnsi="Arial" w:cs="Arial"/>
        </w:rPr>
        <w:t xml:space="preserve">. </w:t>
      </w:r>
      <w:r w:rsidRPr="00C2632B">
        <w:rPr>
          <w:rFonts w:ascii="Arial" w:hAnsi="Arial" w:cs="Arial"/>
        </w:rPr>
        <w:t xml:space="preserve">The osteophyte images from samples stained with Saf-O from all groups were encircled </w:t>
      </w:r>
      <w:r w:rsidRPr="00C2632B">
        <w:rPr>
          <w:rFonts w:ascii="Arial" w:eastAsia="Times New Roman" w:hAnsi="Arial" w:cs="Arial"/>
        </w:rPr>
        <w:t xml:space="preserve">and analyzed as a separate images. These new images were used to calculate the total area of the osteophyte </w:t>
      </w:r>
      <w:r w:rsidRPr="00C2632B">
        <w:rPr>
          <w:rFonts w:ascii="Arial" w:eastAsia="Times New Roman" w:hAnsi="Arial" w:cs="Arial"/>
        </w:rPr>
        <w:lastRenderedPageBreak/>
        <w:t>as well as the area of Saf-O staining, and measures were expressed as ratio between Saf-O Area/Total area.</w:t>
      </w:r>
    </w:p>
    <w:p w14:paraId="5058C5F3" w14:textId="77777777" w:rsidR="00A354D0" w:rsidRPr="00C872D2" w:rsidRDefault="00A354D0" w:rsidP="00CC14C9">
      <w:pPr>
        <w:autoSpaceDE w:val="0"/>
        <w:autoSpaceDN w:val="0"/>
        <w:adjustRightInd w:val="0"/>
        <w:spacing w:after="0" w:line="480" w:lineRule="auto"/>
        <w:jc w:val="both"/>
        <w:rPr>
          <w:rFonts w:ascii="Arial" w:eastAsia="Times New Roman" w:hAnsi="Arial" w:cs="Arial"/>
        </w:rPr>
      </w:pPr>
    </w:p>
    <w:p w14:paraId="69BB14F9" w14:textId="6F571892" w:rsidR="0015099A" w:rsidRPr="00C872D2" w:rsidRDefault="0015099A" w:rsidP="00343668">
      <w:pPr>
        <w:autoSpaceDE w:val="0"/>
        <w:autoSpaceDN w:val="0"/>
        <w:adjustRightInd w:val="0"/>
        <w:snapToGrid w:val="0"/>
        <w:spacing w:after="0" w:line="480" w:lineRule="auto"/>
        <w:ind w:firstLine="446"/>
        <w:rPr>
          <w:rFonts w:ascii="Arial" w:eastAsia="HelveticaNeueLTStd-Lt" w:hAnsi="Arial" w:cs="Arial"/>
        </w:rPr>
      </w:pPr>
      <w:r w:rsidRPr="0015099A">
        <w:rPr>
          <w:rFonts w:ascii="Arial" w:eastAsia="Calibri" w:hAnsi="Arial" w:cs="Arial"/>
          <w:b/>
          <w:bCs/>
        </w:rPr>
        <w:t>Assessment of synovial hyperplasia</w:t>
      </w:r>
      <w:r w:rsidR="00CC14C9">
        <w:rPr>
          <w:rFonts w:ascii="Arial" w:eastAsia="Calibri" w:hAnsi="Arial" w:cs="Arial"/>
        </w:rPr>
        <w:t xml:space="preserve">. </w:t>
      </w:r>
      <w:r w:rsidRPr="00C872D2">
        <w:rPr>
          <w:rFonts w:ascii="Arial" w:eastAsia="Calibri" w:hAnsi="Arial" w:cs="Arial"/>
        </w:rPr>
        <w:t xml:space="preserve">H&amp;E stained sections </w:t>
      </w:r>
      <w:r w:rsidRPr="00C872D2">
        <w:rPr>
          <w:rFonts w:ascii="Arial" w:eastAsia="HelveticaNeueLTStd-Lt" w:hAnsi="Arial" w:cs="Arial"/>
        </w:rPr>
        <w:t xml:space="preserve">were scored for the </w:t>
      </w:r>
      <w:r w:rsidRPr="00C872D2">
        <w:rPr>
          <w:rFonts w:ascii="Arial" w:hAnsi="Arial" w:cs="Arial"/>
        </w:rPr>
        <w:t xml:space="preserve">synovial hyperplasia </w:t>
      </w:r>
      <w:r w:rsidRPr="00C872D2">
        <w:rPr>
          <w:rFonts w:ascii="Arial" w:eastAsia="HelveticaNeueLTStd-Lt" w:hAnsi="Arial" w:cs="Arial"/>
        </w:rPr>
        <w:t>based on the scoring system described by Rowe et al.</w:t>
      </w:r>
      <w:r w:rsidR="00292171" w:rsidRPr="00C872D2">
        <w:rPr>
          <w:rFonts w:ascii="Arial" w:eastAsia="HelveticaNeueLTStd-Lt" w:hAnsi="Arial" w:cs="Arial"/>
        </w:rPr>
        <w:t xml:space="preserve"> </w:t>
      </w:r>
      <w:r w:rsidR="00B63478">
        <w:rPr>
          <w:rFonts w:ascii="Arial" w:eastAsia="HelveticaNeueLTStd-Lt" w:hAnsi="Arial" w:cs="Arial"/>
        </w:rPr>
        <w:t>[23]</w:t>
      </w:r>
      <w:r w:rsidRPr="00C872D2">
        <w:rPr>
          <w:rFonts w:ascii="Arial" w:eastAsia="HelveticaNeueLTStd-Lt" w:hAnsi="Arial" w:cs="Arial"/>
        </w:rPr>
        <w:t xml:space="preserve">. Only one section from the posterior joint compartments was graded </w:t>
      </w:r>
      <w:r w:rsidRPr="00C872D2">
        <w:rPr>
          <w:rFonts w:ascii="Arial" w:hAnsi="Arial" w:cs="Arial"/>
        </w:rPr>
        <w:t xml:space="preserve">from each mouse using a scale of 0-3, to avoid damage from the DMM incision. Details as follows: 0 (none) = 1 cell layers in synovium, 1 (mild) = 2-3 cell layers, 2 (moderate) = 4-5 cell layers, and 3 (severe) = 5 or more cell layers. </w:t>
      </w:r>
    </w:p>
    <w:p w14:paraId="43DB6C03" w14:textId="73202D43" w:rsidR="001A0190" w:rsidRPr="0015099A" w:rsidRDefault="008B4E7A" w:rsidP="001A0190">
      <w:pPr>
        <w:spacing w:after="160" w:line="259" w:lineRule="auto"/>
        <w:rPr>
          <w:rFonts w:ascii="Arial" w:eastAsia="Calibri" w:hAnsi="Arial" w:cs="Arial"/>
          <w:b/>
          <w:bCs/>
          <w:color w:val="0070C0"/>
        </w:rPr>
      </w:pPr>
      <w:r w:rsidRPr="0015099A">
        <w:rPr>
          <w:rFonts w:ascii="Arial" w:eastAsia="Calibri" w:hAnsi="Arial" w:cs="Arial"/>
          <w:b/>
          <w:bCs/>
          <w:color w:val="0070C0"/>
        </w:rPr>
        <w:br w:type="page"/>
      </w:r>
    </w:p>
    <w:p w14:paraId="620F2DFE" w14:textId="6A764FC6" w:rsidR="001A0190" w:rsidRDefault="00112604" w:rsidP="00E75D1B">
      <w:pPr>
        <w:rPr>
          <w:rFonts w:ascii="Arial" w:hAnsi="Arial" w:cs="Arial"/>
          <w:b/>
          <w:smallCaps/>
          <w:sz w:val="28"/>
        </w:rPr>
      </w:pPr>
      <w:r w:rsidRPr="00E75D1B">
        <w:rPr>
          <w:rFonts w:ascii="Arial" w:hAnsi="Arial" w:cs="Arial"/>
          <w:b/>
          <w:smallCaps/>
          <w:sz w:val="28"/>
        </w:rPr>
        <w:lastRenderedPageBreak/>
        <w:t>S</w:t>
      </w:r>
      <w:r w:rsidR="00AA076A" w:rsidRPr="00E75D1B">
        <w:rPr>
          <w:rFonts w:ascii="Arial" w:hAnsi="Arial" w:cs="Arial"/>
          <w:b/>
          <w:smallCaps/>
          <w:sz w:val="28"/>
        </w:rPr>
        <w:t>upplementary Results</w:t>
      </w:r>
    </w:p>
    <w:p w14:paraId="57DF540B" w14:textId="7D8FC1EA" w:rsidR="008015B5" w:rsidRDefault="008015B5" w:rsidP="00E75D1B">
      <w:pPr>
        <w:rPr>
          <w:rFonts w:ascii="Arial" w:hAnsi="Arial" w:cs="Arial"/>
          <w:b/>
          <w:smallCaps/>
          <w:sz w:val="28"/>
        </w:rPr>
      </w:pPr>
    </w:p>
    <w:p w14:paraId="0F0F20E0" w14:textId="756B538E" w:rsidR="008015B5" w:rsidRDefault="006F1AA2" w:rsidP="00E75D1B">
      <w:pPr>
        <w:rPr>
          <w:rFonts w:ascii="Arial" w:hAnsi="Arial" w:cs="Arial"/>
          <w:b/>
          <w:smallCaps/>
          <w:sz w:val="28"/>
        </w:rPr>
      </w:pPr>
      <w:r>
        <w:rPr>
          <w:rFonts w:ascii="Arial" w:hAnsi="Arial" w:cs="Arial"/>
          <w:b/>
          <w:noProof/>
        </w:rPr>
        <w:drawing>
          <wp:anchor distT="0" distB="0" distL="114300" distR="114300" simplePos="0" relativeHeight="251662336" behindDoc="0" locked="0" layoutInCell="1" allowOverlap="1" wp14:anchorId="5C29CAD0" wp14:editId="48D8BC4F">
            <wp:simplePos x="0" y="0"/>
            <wp:positionH relativeFrom="column">
              <wp:posOffset>419100</wp:posOffset>
            </wp:positionH>
            <wp:positionV relativeFrom="paragraph">
              <wp:posOffset>8890</wp:posOffset>
            </wp:positionV>
            <wp:extent cx="5023485" cy="2962910"/>
            <wp:effectExtent l="0" t="0" r="5715" b="8890"/>
            <wp:wrapSquare wrapText="bothSides"/>
            <wp:docPr id="3" name="Immagine 3" descr="Immagine che contiene tav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avolo&#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3485" cy="2962910"/>
                    </a:xfrm>
                    <a:prstGeom prst="rect">
                      <a:avLst/>
                    </a:prstGeom>
                    <a:noFill/>
                  </pic:spPr>
                </pic:pic>
              </a:graphicData>
            </a:graphic>
            <wp14:sizeRelH relativeFrom="page">
              <wp14:pctWidth>0</wp14:pctWidth>
            </wp14:sizeRelH>
            <wp14:sizeRelV relativeFrom="page">
              <wp14:pctHeight>0</wp14:pctHeight>
            </wp14:sizeRelV>
          </wp:anchor>
        </w:drawing>
      </w:r>
    </w:p>
    <w:p w14:paraId="1BEFAD8C" w14:textId="77777777" w:rsidR="008015B5" w:rsidRPr="00E75D1B" w:rsidRDefault="008015B5" w:rsidP="00E75D1B">
      <w:pPr>
        <w:rPr>
          <w:rFonts w:ascii="Arial" w:hAnsi="Arial" w:cs="Arial"/>
          <w:b/>
          <w:smallCaps/>
          <w:sz w:val="28"/>
        </w:rPr>
      </w:pPr>
    </w:p>
    <w:p w14:paraId="7341FC81" w14:textId="00607CF8" w:rsidR="00F531C7" w:rsidRDefault="00F531C7" w:rsidP="00F531C7">
      <w:pPr>
        <w:ind w:right="-630"/>
        <w:jc w:val="center"/>
        <w:rPr>
          <w:rFonts w:ascii="Arial" w:hAnsi="Arial" w:cs="Arial"/>
          <w:b/>
        </w:rPr>
      </w:pPr>
    </w:p>
    <w:p w14:paraId="592D696E" w14:textId="77777777" w:rsidR="006F1AA2" w:rsidRDefault="006F1AA2" w:rsidP="00E75D1B">
      <w:pPr>
        <w:ind w:right="-630"/>
        <w:rPr>
          <w:rFonts w:ascii="Arial" w:hAnsi="Arial" w:cs="Arial"/>
          <w:b/>
        </w:rPr>
      </w:pPr>
    </w:p>
    <w:p w14:paraId="5288FDAE" w14:textId="77777777" w:rsidR="006F1AA2" w:rsidRDefault="006F1AA2" w:rsidP="00E75D1B">
      <w:pPr>
        <w:ind w:right="-630"/>
        <w:rPr>
          <w:rFonts w:ascii="Arial" w:hAnsi="Arial" w:cs="Arial"/>
          <w:b/>
        </w:rPr>
      </w:pPr>
    </w:p>
    <w:p w14:paraId="4D9E4572" w14:textId="77777777" w:rsidR="006F1AA2" w:rsidRDefault="006F1AA2" w:rsidP="00E75D1B">
      <w:pPr>
        <w:ind w:right="-630"/>
        <w:rPr>
          <w:rFonts w:ascii="Arial" w:hAnsi="Arial" w:cs="Arial"/>
          <w:b/>
        </w:rPr>
      </w:pPr>
    </w:p>
    <w:p w14:paraId="7659E770" w14:textId="77777777" w:rsidR="006F1AA2" w:rsidRDefault="006F1AA2" w:rsidP="00E75D1B">
      <w:pPr>
        <w:ind w:right="-630"/>
        <w:rPr>
          <w:rFonts w:ascii="Arial" w:hAnsi="Arial" w:cs="Arial"/>
          <w:b/>
        </w:rPr>
      </w:pPr>
    </w:p>
    <w:p w14:paraId="69F53EFE" w14:textId="77777777" w:rsidR="006F1AA2" w:rsidRDefault="006F1AA2" w:rsidP="00E75D1B">
      <w:pPr>
        <w:ind w:right="-630"/>
        <w:rPr>
          <w:rFonts w:ascii="Arial" w:hAnsi="Arial" w:cs="Arial"/>
          <w:b/>
        </w:rPr>
      </w:pPr>
    </w:p>
    <w:p w14:paraId="66365FCC" w14:textId="77777777" w:rsidR="006F1AA2" w:rsidRDefault="006F1AA2" w:rsidP="00E75D1B">
      <w:pPr>
        <w:ind w:right="-630"/>
        <w:rPr>
          <w:rFonts w:ascii="Arial" w:hAnsi="Arial" w:cs="Arial"/>
          <w:b/>
        </w:rPr>
      </w:pPr>
    </w:p>
    <w:p w14:paraId="4460AE30" w14:textId="77777777" w:rsidR="006F1AA2" w:rsidRDefault="006F1AA2" w:rsidP="00E75D1B">
      <w:pPr>
        <w:ind w:right="-630"/>
        <w:rPr>
          <w:rFonts w:ascii="Arial" w:hAnsi="Arial" w:cs="Arial"/>
          <w:b/>
        </w:rPr>
      </w:pPr>
    </w:p>
    <w:p w14:paraId="0C68A841" w14:textId="7410D24C" w:rsidR="00F531C7" w:rsidRPr="00C872D2" w:rsidRDefault="00F531C7" w:rsidP="00343668">
      <w:pPr>
        <w:spacing w:line="360" w:lineRule="auto"/>
        <w:ind w:right="-634"/>
        <w:rPr>
          <w:rFonts w:ascii="Arial" w:hAnsi="Arial" w:cs="Arial"/>
          <w:bCs/>
        </w:rPr>
      </w:pPr>
      <w:r w:rsidRPr="00C872D2">
        <w:rPr>
          <w:rFonts w:ascii="Arial" w:hAnsi="Arial" w:cs="Arial"/>
          <w:b/>
        </w:rPr>
        <w:t xml:space="preserve">Supplementary Table </w:t>
      </w:r>
      <w:r w:rsidR="004D362A">
        <w:rPr>
          <w:rFonts w:ascii="Arial" w:hAnsi="Arial" w:cs="Arial"/>
          <w:b/>
        </w:rPr>
        <w:t>S</w:t>
      </w:r>
      <w:r w:rsidRPr="00C872D2">
        <w:rPr>
          <w:rFonts w:ascii="Arial" w:hAnsi="Arial" w:cs="Arial"/>
          <w:b/>
        </w:rPr>
        <w:t>1</w:t>
      </w:r>
      <w:r w:rsidRPr="00C872D2">
        <w:rPr>
          <w:rFonts w:ascii="Arial" w:hAnsi="Arial" w:cs="Arial"/>
        </w:rPr>
        <w:t xml:space="preserve">. Average percentage and standard deviation (SD) of </w:t>
      </w:r>
      <w:r w:rsidRPr="00C872D2">
        <w:rPr>
          <w:rFonts w:ascii="Arial" w:hAnsi="Arial" w:cs="Arial"/>
          <w:bCs/>
        </w:rPr>
        <w:t>RS504393 released from µPLs for each considered time point under confined microenvironment.</w:t>
      </w:r>
    </w:p>
    <w:p w14:paraId="706E5388" w14:textId="30621E6C" w:rsidR="008015B5" w:rsidRDefault="008015B5">
      <w:pPr>
        <w:spacing w:after="160" w:line="259" w:lineRule="auto"/>
        <w:rPr>
          <w:rFonts w:ascii="Arial" w:hAnsi="Arial" w:cs="Arial"/>
          <w:b/>
        </w:rPr>
      </w:pPr>
      <w:r>
        <w:rPr>
          <w:rFonts w:ascii="Arial" w:hAnsi="Arial" w:cs="Arial"/>
          <w:b/>
        </w:rPr>
        <w:br w:type="page"/>
      </w:r>
    </w:p>
    <w:p w14:paraId="3F35D4DA" w14:textId="77777777" w:rsidR="001A0190" w:rsidRPr="0015099A" w:rsidRDefault="001A0190" w:rsidP="001A0190">
      <w:pPr>
        <w:jc w:val="both"/>
        <w:rPr>
          <w:rFonts w:ascii="Arial" w:hAnsi="Arial" w:cs="Arial"/>
          <w:b/>
        </w:rPr>
      </w:pPr>
    </w:p>
    <w:p w14:paraId="53878832" w14:textId="77777777" w:rsidR="001A0190" w:rsidRPr="0015099A" w:rsidRDefault="001A0190" w:rsidP="001A0190">
      <w:pPr>
        <w:jc w:val="both"/>
        <w:rPr>
          <w:rFonts w:ascii="Arial" w:hAnsi="Arial" w:cs="Arial"/>
          <w:b/>
        </w:rPr>
      </w:pPr>
      <w:r w:rsidRPr="0015099A">
        <w:rPr>
          <w:rFonts w:ascii="Arial" w:hAnsi="Arial" w:cs="Arial"/>
          <w:b/>
          <w:noProof/>
        </w:rPr>
        <w:drawing>
          <wp:inline distT="0" distB="0" distL="0" distR="0" wp14:anchorId="0A5E8757" wp14:editId="6BBEE62A">
            <wp:extent cx="5700234" cy="1981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704"/>
                    <a:stretch/>
                  </pic:blipFill>
                  <pic:spPr bwMode="auto">
                    <a:xfrm>
                      <a:off x="0" y="0"/>
                      <a:ext cx="5781725" cy="2009523"/>
                    </a:xfrm>
                    <a:prstGeom prst="rect">
                      <a:avLst/>
                    </a:prstGeom>
                    <a:noFill/>
                    <a:ln>
                      <a:noFill/>
                    </a:ln>
                    <a:extLst>
                      <a:ext uri="{53640926-AAD7-44D8-BBD7-CCE9431645EC}">
                        <a14:shadowObscured xmlns:a14="http://schemas.microsoft.com/office/drawing/2010/main"/>
                      </a:ext>
                    </a:extLst>
                  </pic:spPr>
                </pic:pic>
              </a:graphicData>
            </a:graphic>
          </wp:inline>
        </w:drawing>
      </w:r>
    </w:p>
    <w:p w14:paraId="0DE0CC34" w14:textId="634882D6" w:rsidR="00D27F6E" w:rsidRPr="0015099A" w:rsidRDefault="00D27F6E" w:rsidP="00343668">
      <w:pPr>
        <w:spacing w:line="360" w:lineRule="auto"/>
        <w:jc w:val="both"/>
        <w:rPr>
          <w:rFonts w:ascii="Arial" w:hAnsi="Arial" w:cs="Arial"/>
          <w:color w:val="000000" w:themeColor="text1"/>
        </w:rPr>
      </w:pPr>
      <w:r w:rsidRPr="0015099A">
        <w:rPr>
          <w:rFonts w:ascii="Arial" w:hAnsi="Arial" w:cs="Arial"/>
          <w:b/>
          <w:color w:val="000000" w:themeColor="text1"/>
        </w:rPr>
        <w:t xml:space="preserve">Supplementary Table </w:t>
      </w:r>
      <w:r w:rsidR="004D362A">
        <w:rPr>
          <w:rFonts w:ascii="Arial" w:hAnsi="Arial" w:cs="Arial"/>
          <w:b/>
          <w:color w:val="000000" w:themeColor="text1"/>
        </w:rPr>
        <w:t>S</w:t>
      </w:r>
      <w:r w:rsidRPr="0015099A">
        <w:rPr>
          <w:rFonts w:ascii="Arial" w:hAnsi="Arial" w:cs="Arial"/>
          <w:b/>
          <w:color w:val="000000" w:themeColor="text1"/>
        </w:rPr>
        <w:t>2</w:t>
      </w:r>
      <w:r w:rsidRPr="0015099A">
        <w:rPr>
          <w:rFonts w:ascii="Arial" w:hAnsi="Arial" w:cs="Arial"/>
          <w:color w:val="000000" w:themeColor="text1"/>
        </w:rPr>
        <w:t xml:space="preserve">. Statistically significant differences for all the experimental groups of </w:t>
      </w:r>
      <w:r w:rsidRPr="0015099A">
        <w:rPr>
          <w:rFonts w:ascii="Arial" w:hAnsi="Arial" w:cs="Arial"/>
          <w:b/>
          <w:color w:val="000000" w:themeColor="text1"/>
        </w:rPr>
        <w:t>Fig.</w:t>
      </w:r>
      <w:r>
        <w:rPr>
          <w:rFonts w:ascii="Arial" w:hAnsi="Arial" w:cs="Arial"/>
          <w:b/>
          <w:color w:val="000000" w:themeColor="text1"/>
        </w:rPr>
        <w:t>2</w:t>
      </w:r>
      <w:r w:rsidRPr="0015099A">
        <w:rPr>
          <w:rFonts w:ascii="Arial" w:hAnsi="Arial" w:cs="Arial"/>
          <w:color w:val="000000" w:themeColor="text1"/>
        </w:rPr>
        <w:t>. Significance corresponds to a p-value smaller than 0.05.</w:t>
      </w:r>
    </w:p>
    <w:p w14:paraId="1180CB18" w14:textId="77777777" w:rsidR="001A0190" w:rsidRPr="0015099A" w:rsidRDefault="001A0190" w:rsidP="001A0190">
      <w:pPr>
        <w:jc w:val="both"/>
        <w:rPr>
          <w:rFonts w:ascii="Arial" w:hAnsi="Arial" w:cs="Arial"/>
          <w:b/>
        </w:rPr>
      </w:pPr>
      <w:r w:rsidRPr="0015099A">
        <w:rPr>
          <w:rFonts w:ascii="Arial" w:hAnsi="Arial" w:cs="Arial"/>
          <w:b/>
        </w:rPr>
        <w:br w:type="page"/>
      </w:r>
    </w:p>
    <w:p w14:paraId="032EAFE0" w14:textId="069A1EA5" w:rsidR="00EA466D" w:rsidRDefault="00EA466D" w:rsidP="001A0190">
      <w:pPr>
        <w:ind w:right="-630"/>
        <w:rPr>
          <w:rFonts w:ascii="Arial" w:hAnsi="Arial" w:cs="Arial"/>
          <w:b/>
        </w:rPr>
      </w:pPr>
    </w:p>
    <w:p w14:paraId="43D5DDAD" w14:textId="619658E3" w:rsidR="00EA466D" w:rsidRDefault="00C90462" w:rsidP="001A0190">
      <w:pPr>
        <w:ind w:right="-630"/>
        <w:rPr>
          <w:rFonts w:ascii="Arial" w:hAnsi="Arial" w:cs="Arial"/>
          <w:b/>
        </w:rPr>
      </w:pPr>
      <w:r w:rsidRPr="00C90462">
        <w:rPr>
          <w:noProof/>
        </w:rPr>
        <w:drawing>
          <wp:anchor distT="0" distB="0" distL="114300" distR="114300" simplePos="0" relativeHeight="251660288" behindDoc="0" locked="0" layoutInCell="1" allowOverlap="1" wp14:anchorId="5E94BDC6" wp14:editId="32B22B1D">
            <wp:simplePos x="0" y="0"/>
            <wp:positionH relativeFrom="column">
              <wp:posOffset>-295275</wp:posOffset>
            </wp:positionH>
            <wp:positionV relativeFrom="paragraph">
              <wp:posOffset>193040</wp:posOffset>
            </wp:positionV>
            <wp:extent cx="6609284" cy="2257425"/>
            <wp:effectExtent l="0" t="0" r="127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09284"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760F0" w14:textId="77777777" w:rsidR="00C90462" w:rsidRDefault="00C90462" w:rsidP="008015B5">
      <w:pPr>
        <w:ind w:right="-630"/>
        <w:rPr>
          <w:rFonts w:ascii="Arial" w:hAnsi="Arial" w:cs="Arial"/>
          <w:b/>
        </w:rPr>
      </w:pPr>
    </w:p>
    <w:p w14:paraId="48393272" w14:textId="77777777" w:rsidR="00C90462" w:rsidRDefault="00C90462" w:rsidP="008015B5">
      <w:pPr>
        <w:ind w:right="-630"/>
        <w:rPr>
          <w:rFonts w:ascii="Arial" w:hAnsi="Arial" w:cs="Arial"/>
          <w:b/>
        </w:rPr>
      </w:pPr>
    </w:p>
    <w:p w14:paraId="23A244BC" w14:textId="262897F2" w:rsidR="00F22D10" w:rsidRDefault="001A0190" w:rsidP="006F1AA2">
      <w:pPr>
        <w:spacing w:after="0" w:line="360" w:lineRule="auto"/>
        <w:ind w:right="-630"/>
        <w:rPr>
          <w:rFonts w:ascii="Arial" w:hAnsi="Arial" w:cs="Arial"/>
        </w:rPr>
      </w:pPr>
      <w:r w:rsidRPr="0015099A">
        <w:rPr>
          <w:rFonts w:ascii="Arial" w:hAnsi="Arial" w:cs="Arial"/>
          <w:b/>
        </w:rPr>
        <w:t>Supplementa</w:t>
      </w:r>
      <w:r w:rsidR="00112604" w:rsidRPr="0015099A">
        <w:rPr>
          <w:rFonts w:ascii="Arial" w:hAnsi="Arial" w:cs="Arial"/>
          <w:b/>
        </w:rPr>
        <w:t>ry</w:t>
      </w:r>
      <w:r w:rsidRPr="0015099A">
        <w:rPr>
          <w:rFonts w:ascii="Arial" w:hAnsi="Arial" w:cs="Arial"/>
          <w:b/>
        </w:rPr>
        <w:t xml:space="preserve"> Table </w:t>
      </w:r>
      <w:r w:rsidR="004D362A">
        <w:rPr>
          <w:rFonts w:ascii="Arial" w:hAnsi="Arial" w:cs="Arial"/>
          <w:b/>
        </w:rPr>
        <w:t>S</w:t>
      </w:r>
      <w:r w:rsidRPr="0015099A">
        <w:rPr>
          <w:rFonts w:ascii="Arial" w:hAnsi="Arial" w:cs="Arial"/>
          <w:b/>
        </w:rPr>
        <w:t>3</w:t>
      </w:r>
      <w:r w:rsidRPr="0015099A">
        <w:rPr>
          <w:rFonts w:ascii="Arial" w:hAnsi="Arial" w:cs="Arial"/>
        </w:rPr>
        <w:t>. Effect of s</w:t>
      </w:r>
      <w:r w:rsidRPr="0015099A">
        <w:rPr>
          <w:rFonts w:ascii="Arial" w:hAnsi="Arial" w:cs="Arial"/>
          <w:bCs/>
        </w:rPr>
        <w:t>ustained</w:t>
      </w:r>
      <w:r w:rsidRPr="0015099A">
        <w:rPr>
          <w:rFonts w:ascii="Arial" w:hAnsi="Arial" w:cs="Arial"/>
        </w:rPr>
        <w:t xml:space="preserve"> intra-articular release of </w:t>
      </w:r>
      <w:r w:rsidRPr="0015099A">
        <w:rPr>
          <w:rFonts w:ascii="Arial" w:hAnsi="Arial" w:cs="Arial"/>
          <w:bCs/>
        </w:rPr>
        <w:t>RS504393</w:t>
      </w:r>
      <w:r w:rsidRPr="0015099A">
        <w:rPr>
          <w:rFonts w:ascii="Arial" w:hAnsi="Arial" w:cs="Arial"/>
        </w:rPr>
        <w:t xml:space="preserve"> (4wks and 10wks post-DMM) on OA asse</w:t>
      </w:r>
      <w:r w:rsidR="008015B5">
        <w:rPr>
          <w:rFonts w:ascii="Arial" w:hAnsi="Arial" w:cs="Arial"/>
        </w:rPr>
        <w:t xml:space="preserve">ssment (N=6) in DMM knee joints. </w:t>
      </w:r>
      <w:r w:rsidRPr="0015099A">
        <w:rPr>
          <w:rFonts w:ascii="Arial" w:hAnsi="Arial" w:cs="Arial"/>
        </w:rPr>
        <w:t xml:space="preserve">Data presented shows mean differences, 95% CI (in parentheses) between groups at the corresponding time </w:t>
      </w:r>
      <w:r w:rsidRPr="006F1AA2">
        <w:rPr>
          <w:rFonts w:ascii="Arial" w:hAnsi="Arial" w:cs="Arial"/>
        </w:rPr>
        <w:t xml:space="preserve">point. </w:t>
      </w:r>
    </w:p>
    <w:p w14:paraId="19C0537F" w14:textId="7C677F1A" w:rsidR="008015B5" w:rsidRDefault="00832F19" w:rsidP="00F22D10">
      <w:pPr>
        <w:spacing w:after="0" w:line="480" w:lineRule="auto"/>
        <w:jc w:val="center"/>
        <w:rPr>
          <w:rFonts w:ascii="Arial" w:eastAsia="Times New Roman" w:hAnsi="Arial" w:cs="Arial"/>
          <w:b/>
          <w:color w:val="FF0000"/>
          <w:highlight w:val="yellow"/>
        </w:rPr>
      </w:pPr>
      <w:r w:rsidRPr="00832F19">
        <w:rPr>
          <w:rFonts w:ascii="Arial" w:eastAsia="Times New Roman" w:hAnsi="Arial" w:cs="Arial"/>
          <w:b/>
          <w:noProof/>
          <w:color w:val="FF0000"/>
          <w:highlight w:val="yellow"/>
        </w:rPr>
        <w:lastRenderedPageBreak/>
        <w:drawing>
          <wp:anchor distT="0" distB="0" distL="114300" distR="114300" simplePos="0" relativeHeight="251661312" behindDoc="0" locked="0" layoutInCell="1" allowOverlap="1" wp14:anchorId="112497EB" wp14:editId="3FE95125">
            <wp:simplePos x="0" y="0"/>
            <wp:positionH relativeFrom="column">
              <wp:posOffset>885825</wp:posOffset>
            </wp:positionH>
            <wp:positionV relativeFrom="paragraph">
              <wp:posOffset>0</wp:posOffset>
            </wp:positionV>
            <wp:extent cx="4527550" cy="6953250"/>
            <wp:effectExtent l="0" t="0" r="635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527550" cy="6953250"/>
                    </a:xfrm>
                    <a:prstGeom prst="rect">
                      <a:avLst/>
                    </a:prstGeom>
                  </pic:spPr>
                </pic:pic>
              </a:graphicData>
            </a:graphic>
            <wp14:sizeRelH relativeFrom="page">
              <wp14:pctWidth>0</wp14:pctWidth>
            </wp14:sizeRelH>
            <wp14:sizeRelV relativeFrom="page">
              <wp14:pctHeight>0</wp14:pctHeight>
            </wp14:sizeRelV>
          </wp:anchor>
        </w:drawing>
      </w:r>
    </w:p>
    <w:p w14:paraId="44FC0712" w14:textId="040110D4" w:rsidR="008015B5" w:rsidRDefault="008015B5" w:rsidP="00F22D10">
      <w:pPr>
        <w:spacing w:after="0" w:line="480" w:lineRule="auto"/>
        <w:jc w:val="center"/>
        <w:rPr>
          <w:rFonts w:ascii="Arial" w:eastAsia="Times New Roman" w:hAnsi="Arial" w:cs="Arial"/>
          <w:b/>
          <w:color w:val="FF0000"/>
          <w:highlight w:val="yellow"/>
        </w:rPr>
      </w:pPr>
    </w:p>
    <w:p w14:paraId="3CBB17E7" w14:textId="73441D6B" w:rsidR="008015B5" w:rsidRDefault="008015B5" w:rsidP="00F22D10">
      <w:pPr>
        <w:spacing w:after="0" w:line="480" w:lineRule="auto"/>
        <w:jc w:val="center"/>
        <w:rPr>
          <w:rFonts w:ascii="Arial" w:eastAsia="Times New Roman" w:hAnsi="Arial" w:cs="Arial"/>
          <w:b/>
          <w:color w:val="FF0000"/>
          <w:highlight w:val="yellow"/>
        </w:rPr>
      </w:pPr>
    </w:p>
    <w:p w14:paraId="1AF88981" w14:textId="77AB8334" w:rsidR="008015B5" w:rsidRDefault="008015B5" w:rsidP="00F22D10">
      <w:pPr>
        <w:spacing w:after="0" w:line="480" w:lineRule="auto"/>
        <w:jc w:val="center"/>
        <w:rPr>
          <w:rFonts w:ascii="Arial" w:eastAsia="Times New Roman" w:hAnsi="Arial" w:cs="Arial"/>
          <w:b/>
          <w:color w:val="FF0000"/>
          <w:highlight w:val="yellow"/>
        </w:rPr>
      </w:pPr>
    </w:p>
    <w:p w14:paraId="5ACC17FB" w14:textId="77777777" w:rsidR="008015B5" w:rsidRDefault="008015B5" w:rsidP="00F22D10">
      <w:pPr>
        <w:spacing w:after="0" w:line="480" w:lineRule="auto"/>
        <w:jc w:val="center"/>
        <w:rPr>
          <w:rFonts w:ascii="Arial" w:eastAsia="Times New Roman" w:hAnsi="Arial" w:cs="Arial"/>
          <w:b/>
          <w:color w:val="FF0000"/>
          <w:highlight w:val="yellow"/>
        </w:rPr>
      </w:pPr>
    </w:p>
    <w:p w14:paraId="6D819685" w14:textId="77777777" w:rsidR="008015B5" w:rsidRDefault="008015B5" w:rsidP="00F22D10">
      <w:pPr>
        <w:spacing w:after="0" w:line="480" w:lineRule="auto"/>
        <w:jc w:val="center"/>
        <w:rPr>
          <w:rFonts w:ascii="Arial" w:eastAsia="Times New Roman" w:hAnsi="Arial" w:cs="Arial"/>
          <w:b/>
          <w:color w:val="FF0000"/>
          <w:highlight w:val="yellow"/>
        </w:rPr>
      </w:pPr>
    </w:p>
    <w:p w14:paraId="36C8F809" w14:textId="77777777" w:rsidR="008015B5" w:rsidRDefault="008015B5" w:rsidP="00F22D10">
      <w:pPr>
        <w:spacing w:after="0" w:line="480" w:lineRule="auto"/>
        <w:jc w:val="center"/>
        <w:rPr>
          <w:rFonts w:ascii="Arial" w:eastAsia="Times New Roman" w:hAnsi="Arial" w:cs="Arial"/>
          <w:b/>
          <w:color w:val="FF0000"/>
          <w:highlight w:val="yellow"/>
        </w:rPr>
      </w:pPr>
    </w:p>
    <w:p w14:paraId="73313A59" w14:textId="77777777" w:rsidR="008015B5" w:rsidRDefault="008015B5" w:rsidP="00F22D10">
      <w:pPr>
        <w:spacing w:after="0" w:line="480" w:lineRule="auto"/>
        <w:jc w:val="center"/>
        <w:rPr>
          <w:rFonts w:ascii="Arial" w:eastAsia="Times New Roman" w:hAnsi="Arial" w:cs="Arial"/>
          <w:b/>
          <w:color w:val="FF0000"/>
          <w:highlight w:val="yellow"/>
        </w:rPr>
      </w:pPr>
    </w:p>
    <w:p w14:paraId="38956EDD" w14:textId="77777777" w:rsidR="008015B5" w:rsidRDefault="008015B5" w:rsidP="00F22D10">
      <w:pPr>
        <w:spacing w:after="0" w:line="480" w:lineRule="auto"/>
        <w:jc w:val="center"/>
        <w:rPr>
          <w:rFonts w:ascii="Arial" w:eastAsia="Times New Roman" w:hAnsi="Arial" w:cs="Arial"/>
          <w:b/>
          <w:color w:val="FF0000"/>
          <w:highlight w:val="yellow"/>
        </w:rPr>
      </w:pPr>
    </w:p>
    <w:p w14:paraId="5BC65F12" w14:textId="77777777" w:rsidR="008015B5" w:rsidRDefault="008015B5" w:rsidP="00F22D10">
      <w:pPr>
        <w:spacing w:after="0" w:line="480" w:lineRule="auto"/>
        <w:jc w:val="center"/>
        <w:rPr>
          <w:rFonts w:ascii="Arial" w:eastAsia="Times New Roman" w:hAnsi="Arial" w:cs="Arial"/>
          <w:b/>
          <w:color w:val="FF0000"/>
          <w:highlight w:val="yellow"/>
        </w:rPr>
      </w:pPr>
    </w:p>
    <w:p w14:paraId="2285B672" w14:textId="77777777" w:rsidR="008015B5" w:rsidRDefault="008015B5" w:rsidP="00F22D10">
      <w:pPr>
        <w:spacing w:after="0" w:line="480" w:lineRule="auto"/>
        <w:jc w:val="center"/>
        <w:rPr>
          <w:rFonts w:ascii="Arial" w:eastAsia="Times New Roman" w:hAnsi="Arial" w:cs="Arial"/>
          <w:b/>
          <w:color w:val="FF0000"/>
          <w:highlight w:val="yellow"/>
        </w:rPr>
      </w:pPr>
    </w:p>
    <w:p w14:paraId="6ACD0C47" w14:textId="7E57F673" w:rsidR="001A0190" w:rsidRDefault="001A0190" w:rsidP="001A0190">
      <w:pPr>
        <w:ind w:right="-450"/>
        <w:jc w:val="both"/>
        <w:rPr>
          <w:rFonts w:ascii="Arial" w:hAnsi="Arial" w:cs="Arial"/>
        </w:rPr>
      </w:pPr>
    </w:p>
    <w:p w14:paraId="0F9682E8" w14:textId="1C28ABC4" w:rsidR="00CC749F" w:rsidRDefault="00CC749F" w:rsidP="001A0190">
      <w:pPr>
        <w:ind w:right="-450"/>
        <w:jc w:val="both"/>
        <w:rPr>
          <w:rFonts w:ascii="Arial" w:hAnsi="Arial" w:cs="Arial"/>
        </w:rPr>
      </w:pPr>
    </w:p>
    <w:p w14:paraId="5F523B7E" w14:textId="77777777" w:rsidR="00CC749F" w:rsidRPr="0015099A" w:rsidRDefault="00CC749F" w:rsidP="001A0190">
      <w:pPr>
        <w:ind w:right="-450"/>
        <w:jc w:val="both"/>
        <w:rPr>
          <w:rFonts w:ascii="Arial" w:hAnsi="Arial" w:cs="Arial"/>
        </w:rPr>
      </w:pPr>
    </w:p>
    <w:p w14:paraId="15CEE6EF" w14:textId="77777777" w:rsidR="008015B5" w:rsidRDefault="008015B5" w:rsidP="00892B97">
      <w:pPr>
        <w:spacing w:after="0" w:line="480" w:lineRule="auto"/>
        <w:ind w:firstLine="360"/>
        <w:jc w:val="both"/>
        <w:rPr>
          <w:rFonts w:ascii="Arial" w:hAnsi="Arial" w:cs="Arial"/>
          <w:b/>
        </w:rPr>
      </w:pPr>
    </w:p>
    <w:p w14:paraId="43AF345A" w14:textId="77777777" w:rsidR="008015B5" w:rsidRDefault="008015B5" w:rsidP="00892B97">
      <w:pPr>
        <w:spacing w:after="0" w:line="480" w:lineRule="auto"/>
        <w:ind w:firstLine="360"/>
        <w:jc w:val="both"/>
        <w:rPr>
          <w:rFonts w:ascii="Arial" w:hAnsi="Arial" w:cs="Arial"/>
          <w:b/>
        </w:rPr>
      </w:pPr>
    </w:p>
    <w:p w14:paraId="4CDC9118" w14:textId="77777777" w:rsidR="008015B5" w:rsidRDefault="008015B5" w:rsidP="00892B97">
      <w:pPr>
        <w:spacing w:after="0" w:line="480" w:lineRule="auto"/>
        <w:ind w:firstLine="360"/>
        <w:jc w:val="both"/>
        <w:rPr>
          <w:rFonts w:ascii="Arial" w:hAnsi="Arial" w:cs="Arial"/>
          <w:b/>
        </w:rPr>
      </w:pPr>
    </w:p>
    <w:p w14:paraId="58EE09AE" w14:textId="77777777" w:rsidR="00782294" w:rsidRDefault="00782294" w:rsidP="00892B97">
      <w:pPr>
        <w:spacing w:after="0" w:line="480" w:lineRule="auto"/>
        <w:ind w:firstLine="360"/>
        <w:jc w:val="both"/>
        <w:rPr>
          <w:rFonts w:ascii="Arial" w:hAnsi="Arial" w:cs="Arial"/>
          <w:b/>
        </w:rPr>
      </w:pPr>
    </w:p>
    <w:p w14:paraId="150EA314" w14:textId="77777777" w:rsidR="00782294" w:rsidRDefault="00782294" w:rsidP="00892B97">
      <w:pPr>
        <w:spacing w:after="0" w:line="480" w:lineRule="auto"/>
        <w:ind w:firstLine="360"/>
        <w:jc w:val="both"/>
        <w:rPr>
          <w:rFonts w:ascii="Arial" w:hAnsi="Arial" w:cs="Arial"/>
          <w:b/>
        </w:rPr>
      </w:pPr>
    </w:p>
    <w:p w14:paraId="7E9EA003" w14:textId="77777777" w:rsidR="00782294" w:rsidRDefault="00782294" w:rsidP="00892B97">
      <w:pPr>
        <w:spacing w:after="0" w:line="480" w:lineRule="auto"/>
        <w:ind w:firstLine="360"/>
        <w:jc w:val="both"/>
        <w:rPr>
          <w:rFonts w:ascii="Arial" w:hAnsi="Arial" w:cs="Arial"/>
          <w:b/>
        </w:rPr>
      </w:pPr>
    </w:p>
    <w:p w14:paraId="4C1CC374" w14:textId="77777777" w:rsidR="00782294" w:rsidRDefault="00782294" w:rsidP="00892B97">
      <w:pPr>
        <w:spacing w:after="0" w:line="480" w:lineRule="auto"/>
        <w:ind w:firstLine="360"/>
        <w:jc w:val="both"/>
        <w:rPr>
          <w:rFonts w:ascii="Arial" w:hAnsi="Arial" w:cs="Arial"/>
          <w:b/>
        </w:rPr>
      </w:pPr>
    </w:p>
    <w:p w14:paraId="2F142504" w14:textId="77777777" w:rsidR="00782294" w:rsidRDefault="00782294" w:rsidP="00892B97">
      <w:pPr>
        <w:spacing w:after="0" w:line="480" w:lineRule="auto"/>
        <w:ind w:firstLine="360"/>
        <w:jc w:val="both"/>
        <w:rPr>
          <w:rFonts w:ascii="Arial" w:hAnsi="Arial" w:cs="Arial"/>
          <w:b/>
        </w:rPr>
      </w:pPr>
    </w:p>
    <w:p w14:paraId="772E483D" w14:textId="77777777" w:rsidR="00782294" w:rsidRDefault="00782294" w:rsidP="00892B97">
      <w:pPr>
        <w:spacing w:after="0" w:line="480" w:lineRule="auto"/>
        <w:ind w:firstLine="360"/>
        <w:jc w:val="both"/>
        <w:rPr>
          <w:rFonts w:ascii="Arial" w:hAnsi="Arial" w:cs="Arial"/>
          <w:b/>
        </w:rPr>
      </w:pPr>
    </w:p>
    <w:p w14:paraId="7D01C8F5" w14:textId="3332ACAF" w:rsidR="00892B97" w:rsidRPr="00C872D2" w:rsidRDefault="004C52BA" w:rsidP="00832F19">
      <w:pPr>
        <w:spacing w:line="480" w:lineRule="auto"/>
        <w:ind w:firstLine="360"/>
        <w:jc w:val="both"/>
        <w:rPr>
          <w:rFonts w:ascii="Arial" w:hAnsi="Arial" w:cs="Arial"/>
        </w:rPr>
      </w:pPr>
      <w:r>
        <w:rPr>
          <w:rFonts w:ascii="Arial" w:hAnsi="Arial" w:cs="Arial"/>
          <w:b/>
        </w:rPr>
        <w:t xml:space="preserve">Supplemental </w:t>
      </w:r>
      <w:r w:rsidR="00831374" w:rsidRPr="00C872D2">
        <w:rPr>
          <w:rFonts w:ascii="Arial" w:hAnsi="Arial" w:cs="Arial"/>
          <w:b/>
        </w:rPr>
        <w:t>Fig</w:t>
      </w:r>
      <w:r w:rsidR="000909FE">
        <w:rPr>
          <w:rFonts w:ascii="Arial" w:hAnsi="Arial" w:cs="Arial"/>
          <w:b/>
        </w:rPr>
        <w:t>.</w:t>
      </w:r>
      <w:r w:rsidR="00831374" w:rsidRPr="00C872D2">
        <w:rPr>
          <w:rFonts w:ascii="Arial" w:hAnsi="Arial" w:cs="Arial"/>
          <w:b/>
        </w:rPr>
        <w:t xml:space="preserve"> </w:t>
      </w:r>
      <w:r w:rsidR="000909FE" w:rsidRPr="00C872D2">
        <w:rPr>
          <w:rFonts w:ascii="Arial" w:hAnsi="Arial" w:cs="Arial"/>
          <w:b/>
        </w:rPr>
        <w:t>S</w:t>
      </w:r>
      <w:r w:rsidR="00831374" w:rsidRPr="00C872D2">
        <w:rPr>
          <w:rFonts w:ascii="Arial" w:hAnsi="Arial" w:cs="Arial"/>
          <w:b/>
        </w:rPr>
        <w:t>1</w:t>
      </w:r>
      <w:r>
        <w:rPr>
          <w:rFonts w:ascii="Arial" w:hAnsi="Arial" w:cs="Arial"/>
          <w:b/>
        </w:rPr>
        <w:t>.</w:t>
      </w:r>
      <w:r w:rsidR="00831374" w:rsidRPr="00C872D2">
        <w:rPr>
          <w:rFonts w:ascii="Arial" w:hAnsi="Arial" w:cs="Arial"/>
          <w:b/>
        </w:rPr>
        <w:t xml:space="preserve"> Histopathological evaluation, osteophyte assessment</w:t>
      </w:r>
      <w:r w:rsidR="00DC15BE">
        <w:rPr>
          <w:rFonts w:ascii="Arial" w:hAnsi="Arial" w:cs="Arial"/>
          <w:b/>
        </w:rPr>
        <w:t>, subchondral bone thickness</w:t>
      </w:r>
      <w:r w:rsidR="00831374" w:rsidRPr="00C872D2">
        <w:rPr>
          <w:rFonts w:ascii="Arial" w:hAnsi="Arial" w:cs="Arial"/>
          <w:b/>
        </w:rPr>
        <w:t xml:space="preserve"> and synovial hyperplasia evaluation of DMM mouse knees, following intra-articular administration of </w:t>
      </w:r>
      <w:r w:rsidR="00DC15BE">
        <w:rPr>
          <w:rFonts w:ascii="Arial" w:hAnsi="Arial" w:cs="Arial"/>
          <w:b/>
        </w:rPr>
        <w:t>free RS504393 or vehicle</w:t>
      </w:r>
      <w:r w:rsidR="00831374" w:rsidRPr="00C872D2">
        <w:rPr>
          <w:rFonts w:ascii="Arial" w:hAnsi="Arial" w:cs="Arial"/>
          <w:b/>
        </w:rPr>
        <w:t xml:space="preserve">. </w:t>
      </w:r>
      <w:r w:rsidR="00892B97" w:rsidRPr="00C872D2">
        <w:rPr>
          <w:rFonts w:ascii="Arial" w:hAnsi="Arial" w:cs="Arial"/>
        </w:rPr>
        <w:t>(</w:t>
      </w:r>
      <w:r w:rsidR="00892B97" w:rsidRPr="00C872D2">
        <w:rPr>
          <w:rFonts w:ascii="Arial" w:hAnsi="Arial" w:cs="Arial"/>
          <w:b/>
        </w:rPr>
        <w:t>A</w:t>
      </w:r>
      <w:r w:rsidR="00892B97" w:rsidRPr="00C872D2">
        <w:rPr>
          <w:rFonts w:ascii="Arial" w:hAnsi="Arial" w:cs="Arial"/>
        </w:rPr>
        <w:t xml:space="preserve">) Schematic view of </w:t>
      </w:r>
      <w:r w:rsidR="00892B97" w:rsidRPr="00C872D2">
        <w:rPr>
          <w:rFonts w:ascii="Arial" w:hAnsi="Arial" w:cs="Arial"/>
        </w:rPr>
        <w:lastRenderedPageBreak/>
        <w:t xml:space="preserve">timeline for treatment and </w:t>
      </w:r>
      <w:r w:rsidR="006F5B23" w:rsidRPr="00C872D2">
        <w:rPr>
          <w:rFonts w:ascii="Arial" w:hAnsi="Arial" w:cs="Arial"/>
        </w:rPr>
        <w:t>data</w:t>
      </w:r>
      <w:r w:rsidR="00892B97" w:rsidRPr="00C872D2">
        <w:rPr>
          <w:rFonts w:ascii="Arial" w:hAnsi="Arial" w:cs="Arial"/>
        </w:rPr>
        <w:t xml:space="preserve"> evaluation. </w:t>
      </w:r>
      <w:r w:rsidR="00F22D10" w:rsidRPr="00C872D2">
        <w:rPr>
          <w:rFonts w:ascii="Arial" w:hAnsi="Arial" w:cs="Arial"/>
        </w:rPr>
        <w:t>(</w:t>
      </w:r>
      <w:r w:rsidR="00892B97" w:rsidRPr="00C872D2">
        <w:rPr>
          <w:rFonts w:ascii="Arial" w:hAnsi="Arial" w:cs="Arial"/>
          <w:b/>
        </w:rPr>
        <w:t>B</w:t>
      </w:r>
      <w:r w:rsidR="00F22D10" w:rsidRPr="00C872D2">
        <w:rPr>
          <w:rFonts w:ascii="Arial" w:hAnsi="Arial" w:cs="Arial"/>
        </w:rPr>
        <w:t xml:space="preserve">) ACS score (0-12 scale) of DMM knees at the time points indicated. Results are expressed as average of 4 quadrants (medial and lateral tibial plateau, medial and lateral femoral condyles); </w:t>
      </w:r>
      <w:r w:rsidR="00F22D10" w:rsidRPr="00C872D2">
        <w:rPr>
          <w:rFonts w:ascii="Arial" w:hAnsi="Arial" w:cs="Arial"/>
          <w:i/>
          <w:iCs/>
        </w:rPr>
        <w:t>n</w:t>
      </w:r>
      <w:r w:rsidR="00F22D10" w:rsidRPr="00C872D2">
        <w:rPr>
          <w:rFonts w:ascii="Arial" w:hAnsi="Arial" w:cs="Arial"/>
        </w:rPr>
        <w:t>=6 mice for each experimental point. (</w:t>
      </w:r>
      <w:r w:rsidR="00892B97" w:rsidRPr="00C872D2">
        <w:rPr>
          <w:rFonts w:ascii="Arial" w:hAnsi="Arial" w:cs="Arial"/>
          <w:b/>
        </w:rPr>
        <w:t>C</w:t>
      </w:r>
      <w:r w:rsidR="00F22D10" w:rsidRPr="00C872D2">
        <w:rPr>
          <w:rFonts w:ascii="Arial" w:hAnsi="Arial" w:cs="Arial"/>
        </w:rPr>
        <w:t xml:space="preserve">) Safranin-O staining Score (0-12 scale) of DMM knees at the time point indicated. Results are expressed as average of 4 quadrants as described above; </w:t>
      </w:r>
      <w:r w:rsidR="00F22D10" w:rsidRPr="00C872D2">
        <w:rPr>
          <w:rFonts w:ascii="Arial" w:hAnsi="Arial" w:cs="Arial"/>
          <w:i/>
          <w:iCs/>
        </w:rPr>
        <w:t>n</w:t>
      </w:r>
      <w:r w:rsidR="00F22D10" w:rsidRPr="00C872D2">
        <w:rPr>
          <w:rFonts w:ascii="Arial" w:hAnsi="Arial" w:cs="Arial"/>
        </w:rPr>
        <w:t>=6 mice for each experimental point. (</w:t>
      </w:r>
      <w:r w:rsidR="00892B97" w:rsidRPr="00C872D2">
        <w:rPr>
          <w:rFonts w:ascii="Arial" w:hAnsi="Arial" w:cs="Arial"/>
          <w:b/>
        </w:rPr>
        <w:t>D</w:t>
      </w:r>
      <w:r w:rsidR="00F22D10" w:rsidRPr="00C872D2">
        <w:rPr>
          <w:rFonts w:ascii="Arial" w:hAnsi="Arial" w:cs="Arial"/>
        </w:rPr>
        <w:t>) Osteophyte size and (</w:t>
      </w:r>
      <w:r w:rsidR="00892B97" w:rsidRPr="00C872D2">
        <w:rPr>
          <w:rFonts w:ascii="Arial" w:hAnsi="Arial" w:cs="Arial"/>
          <w:b/>
        </w:rPr>
        <w:t>E</w:t>
      </w:r>
      <w:r w:rsidR="00F22D10" w:rsidRPr="00C872D2">
        <w:rPr>
          <w:rFonts w:ascii="Arial" w:hAnsi="Arial" w:cs="Arial"/>
        </w:rPr>
        <w:t xml:space="preserve">) osteophyte maturity scores (scale 0-3) at the time point indicated. Results are expressed as average of 4 quadrants (medial and lateral tibial plateau, medial and lateral femoral condyles); </w:t>
      </w:r>
      <w:r w:rsidR="00F22D10" w:rsidRPr="00C872D2">
        <w:rPr>
          <w:rFonts w:ascii="Arial" w:hAnsi="Arial" w:cs="Arial"/>
          <w:i/>
          <w:iCs/>
        </w:rPr>
        <w:t>n</w:t>
      </w:r>
      <w:r w:rsidR="00F22D10" w:rsidRPr="00C872D2">
        <w:rPr>
          <w:rFonts w:ascii="Arial" w:hAnsi="Arial" w:cs="Arial"/>
        </w:rPr>
        <w:t>=6 mice for each experimental point.</w:t>
      </w:r>
      <w:r w:rsidR="00892B97" w:rsidRPr="00C872D2">
        <w:rPr>
          <w:rFonts w:ascii="Arial" w:hAnsi="Arial" w:cs="Arial"/>
        </w:rPr>
        <w:t xml:space="preserve"> </w:t>
      </w:r>
      <w:r w:rsidR="00832F19" w:rsidRPr="00E258FC">
        <w:rPr>
          <w:rFonts w:ascii="Arial" w:hAnsi="Arial" w:cs="Arial"/>
        </w:rPr>
        <w:t>(</w:t>
      </w:r>
      <w:r w:rsidR="00832F19">
        <w:rPr>
          <w:rFonts w:ascii="Arial" w:hAnsi="Arial" w:cs="Arial"/>
          <w:b/>
        </w:rPr>
        <w:t>F</w:t>
      </w:r>
      <w:r w:rsidR="00832F19" w:rsidRPr="00E258FC">
        <w:rPr>
          <w:rFonts w:ascii="Arial" w:hAnsi="Arial" w:cs="Arial"/>
        </w:rPr>
        <w:t xml:space="preserve">) Quantification of the </w:t>
      </w:r>
      <w:r w:rsidR="00832F19">
        <w:rPr>
          <w:rFonts w:ascii="Arial" w:hAnsi="Arial" w:cs="Arial"/>
        </w:rPr>
        <w:t xml:space="preserve">subchondral plate </w:t>
      </w:r>
      <w:r w:rsidR="00832F19" w:rsidRPr="00E258FC">
        <w:rPr>
          <w:rFonts w:ascii="Arial" w:hAnsi="Arial" w:cs="Arial"/>
        </w:rPr>
        <w:t>area (</w:t>
      </w:r>
      <w:r w:rsidR="00832F19">
        <w:rPr>
          <w:rFonts w:ascii="Arial" w:hAnsi="Arial" w:cs="Arial"/>
        </w:rPr>
        <w:t xml:space="preserve">sq/ </w:t>
      </w:r>
      <w:r w:rsidR="00832F19" w:rsidRPr="00E258FC">
        <w:rPr>
          <w:rFonts w:ascii="Arial" w:hAnsi="Arial" w:cs="Arial"/>
        </w:rPr>
        <w:t>µm) o</w:t>
      </w:r>
      <w:r w:rsidR="00832F19">
        <w:rPr>
          <w:rFonts w:ascii="Arial" w:hAnsi="Arial" w:cs="Arial"/>
        </w:rPr>
        <w:t>f the tibia medial plateau of DMM</w:t>
      </w:r>
      <w:r w:rsidR="00832F19" w:rsidRPr="00E258FC">
        <w:rPr>
          <w:rFonts w:ascii="Arial" w:hAnsi="Arial" w:cs="Arial"/>
        </w:rPr>
        <w:t xml:space="preserve"> knees by histomorphometric analysis at the time point indicated</w:t>
      </w:r>
      <w:r w:rsidR="00832F19">
        <w:rPr>
          <w:rFonts w:ascii="Arial" w:hAnsi="Arial" w:cs="Arial"/>
        </w:rPr>
        <w:t xml:space="preserve">; </w:t>
      </w:r>
      <w:r w:rsidR="00832F19" w:rsidRPr="000065BB">
        <w:rPr>
          <w:rFonts w:ascii="Arial" w:hAnsi="Arial" w:cs="Arial"/>
          <w:i/>
          <w:iCs/>
        </w:rPr>
        <w:t>n</w:t>
      </w:r>
      <w:r w:rsidR="00832F19" w:rsidRPr="000065BB">
        <w:rPr>
          <w:rFonts w:ascii="Arial" w:hAnsi="Arial" w:cs="Arial"/>
        </w:rPr>
        <w:t>=6 mice for each experimental point</w:t>
      </w:r>
      <w:r w:rsidR="00832F19">
        <w:rPr>
          <w:rFonts w:ascii="Arial" w:hAnsi="Arial" w:cs="Arial"/>
        </w:rPr>
        <w:t xml:space="preserve">. </w:t>
      </w:r>
      <w:r w:rsidR="00892B97" w:rsidRPr="00C872D2">
        <w:rPr>
          <w:rFonts w:ascii="Arial" w:hAnsi="Arial" w:cs="Arial"/>
        </w:rPr>
        <w:t>(</w:t>
      </w:r>
      <w:r w:rsidR="00832F19">
        <w:rPr>
          <w:rFonts w:ascii="Arial" w:hAnsi="Arial" w:cs="Arial"/>
          <w:b/>
          <w:bCs/>
        </w:rPr>
        <w:t>G</w:t>
      </w:r>
      <w:r w:rsidR="00F22D10" w:rsidRPr="00C872D2">
        <w:rPr>
          <w:rFonts w:ascii="Arial" w:hAnsi="Arial" w:cs="Arial"/>
        </w:rPr>
        <w:t xml:space="preserve">) Synovial hyperplasia scores (scale 0-3) at the time point indicated. Scores reflect the highest grade of the medial and lateral tibial plateau, medial and lateral femoral condyles.; </w:t>
      </w:r>
      <w:r w:rsidR="00F22D10" w:rsidRPr="00C872D2">
        <w:rPr>
          <w:rFonts w:ascii="Arial" w:hAnsi="Arial" w:cs="Arial"/>
          <w:i/>
          <w:iCs/>
        </w:rPr>
        <w:t>n=6</w:t>
      </w:r>
      <w:r w:rsidR="00F22D10" w:rsidRPr="00C872D2">
        <w:rPr>
          <w:rFonts w:ascii="Arial" w:hAnsi="Arial" w:cs="Arial"/>
        </w:rPr>
        <w:t xml:space="preserve"> mice for each experimental point. </w:t>
      </w:r>
    </w:p>
    <w:p w14:paraId="68EC10A8" w14:textId="6C69A67C" w:rsidR="00F22D10" w:rsidRPr="00C872D2" w:rsidRDefault="00F22D10" w:rsidP="00892B97">
      <w:pPr>
        <w:spacing w:after="0" w:line="480" w:lineRule="auto"/>
        <w:ind w:firstLine="360"/>
        <w:jc w:val="both"/>
        <w:rPr>
          <w:rFonts w:ascii="Arial" w:hAnsi="Arial" w:cs="Arial"/>
        </w:rPr>
      </w:pPr>
      <w:r w:rsidRPr="00C872D2">
        <w:rPr>
          <w:rFonts w:ascii="Arial" w:hAnsi="Arial" w:cs="Arial"/>
        </w:rPr>
        <w:t xml:space="preserve">The graphs represent the mean ± standard deviation. </w:t>
      </w:r>
      <w:r w:rsidRPr="00C872D2">
        <w:rPr>
          <w:rFonts w:ascii="Arial" w:eastAsia="Times New Roman" w:hAnsi="Arial" w:cs="Arial"/>
        </w:rPr>
        <w:t>Student</w:t>
      </w:r>
      <w:r w:rsidRPr="00C872D2">
        <w:rPr>
          <w:rFonts w:ascii="Arial" w:eastAsia="Times New Roman" w:hAnsi="Arial" w:cs="Arial" w:hint="eastAsia"/>
        </w:rPr>
        <w:t>’</w:t>
      </w:r>
      <w:r w:rsidRPr="00C872D2">
        <w:rPr>
          <w:rFonts w:ascii="Arial" w:eastAsia="Times New Roman" w:hAnsi="Arial" w:cs="Arial"/>
        </w:rPr>
        <w:t>s unpaired t-tests</w:t>
      </w:r>
      <w:r w:rsidRPr="00C872D2">
        <w:rPr>
          <w:rFonts w:ascii="Arial" w:hAnsi="Arial" w:cs="Arial"/>
        </w:rPr>
        <w:t xml:space="preserve"> is indicated in each graph at each time point.</w:t>
      </w:r>
    </w:p>
    <w:p w14:paraId="58F37447" w14:textId="19921ECA" w:rsidR="00D42EEA" w:rsidRPr="000F44F0" w:rsidRDefault="00D42EEA" w:rsidP="00483C1B">
      <w:pPr>
        <w:spacing w:after="160" w:line="259" w:lineRule="auto"/>
        <w:rPr>
          <w:rFonts w:ascii="Arial" w:hAnsi="Arial" w:cs="Arial"/>
        </w:rPr>
      </w:pPr>
      <w:bookmarkStart w:id="0" w:name="_GoBack"/>
      <w:bookmarkEnd w:id="0"/>
    </w:p>
    <w:sectPr w:rsidR="00D42EEA" w:rsidRPr="000F44F0" w:rsidSect="00292171">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06F14" w14:textId="77777777" w:rsidR="00162F60" w:rsidRDefault="00162F60">
      <w:pPr>
        <w:spacing w:after="0" w:line="240" w:lineRule="auto"/>
      </w:pPr>
      <w:r>
        <w:separator/>
      </w:r>
    </w:p>
  </w:endnote>
  <w:endnote w:type="continuationSeparator" w:id="0">
    <w:p w14:paraId="375A7A42" w14:textId="77777777" w:rsidR="00162F60" w:rsidRDefault="00162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olor Emoji">
    <w:charset w:val="00"/>
    <w:family w:val="auto"/>
    <w:pitch w:val="variable"/>
    <w:sig w:usb0="00000003" w:usb1="18000000" w:usb2="14000000" w:usb3="00000000" w:csb0="00000001" w:csb1="00000000"/>
  </w:font>
  <w:font w:name="HelveticaNeueLTStd-Lt">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520733665"/>
      <w:docPartObj>
        <w:docPartGallery w:val="Page Numbers (Bottom of Page)"/>
        <w:docPartUnique/>
      </w:docPartObj>
    </w:sdtPr>
    <w:sdtEndPr>
      <w:rPr>
        <w:noProof/>
      </w:rPr>
    </w:sdtEndPr>
    <w:sdtContent>
      <w:p w14:paraId="43603FB7" w14:textId="211425FB" w:rsidR="004201E7" w:rsidRPr="004201E7" w:rsidRDefault="004201E7">
        <w:pPr>
          <w:pStyle w:val="Footer"/>
          <w:jc w:val="right"/>
          <w:rPr>
            <w:rFonts w:ascii="Arial" w:hAnsi="Arial" w:cs="Arial"/>
          </w:rPr>
        </w:pPr>
        <w:r w:rsidRPr="004201E7">
          <w:rPr>
            <w:rFonts w:ascii="Arial" w:hAnsi="Arial" w:cs="Arial"/>
          </w:rPr>
          <w:fldChar w:fldCharType="begin"/>
        </w:r>
        <w:r w:rsidRPr="00E75D1B">
          <w:rPr>
            <w:rFonts w:ascii="Arial" w:hAnsi="Arial" w:cs="Arial"/>
          </w:rPr>
          <w:instrText xml:space="preserve"> PAGE   \* MERGEFORMAT </w:instrText>
        </w:r>
        <w:r w:rsidRPr="004201E7">
          <w:rPr>
            <w:rFonts w:ascii="Arial" w:hAnsi="Arial" w:cs="Arial"/>
          </w:rPr>
          <w:fldChar w:fldCharType="separate"/>
        </w:r>
        <w:r w:rsidR="00483C1B">
          <w:rPr>
            <w:rFonts w:ascii="Arial" w:hAnsi="Arial" w:cs="Arial"/>
            <w:noProof/>
          </w:rPr>
          <w:t>9</w:t>
        </w:r>
        <w:r w:rsidRPr="004201E7">
          <w:rPr>
            <w:rFonts w:ascii="Arial" w:hAnsi="Arial" w:cs="Arial"/>
            <w:noProof/>
          </w:rPr>
          <w:fldChar w:fldCharType="end"/>
        </w:r>
      </w:p>
    </w:sdtContent>
  </w:sdt>
  <w:p w14:paraId="2EF6BE18" w14:textId="77777777" w:rsidR="004201E7" w:rsidRDefault="004201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C27C8" w14:textId="77777777" w:rsidR="00162F60" w:rsidRDefault="00162F60">
      <w:pPr>
        <w:spacing w:after="0" w:line="240" w:lineRule="auto"/>
      </w:pPr>
      <w:r>
        <w:separator/>
      </w:r>
    </w:p>
  </w:footnote>
  <w:footnote w:type="continuationSeparator" w:id="0">
    <w:p w14:paraId="11403AF0" w14:textId="77777777" w:rsidR="00162F60" w:rsidRDefault="00162F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tr-TR" w:vendorID="64" w:dllVersion="0" w:nlCheck="1" w:checkStyle="0"/>
  <w:activeWritingStyle w:appName="MSWord" w:lang="it-IT" w:vendorID="64" w:dllVersion="4096" w:nlCheck="1" w:checkStyle="0"/>
  <w:activeWritingStyle w:appName="MSWord" w:lang="es-ES" w:vendorID="64" w:dllVersion="4096" w:nlCheck="1" w:checkStyle="0"/>
  <w:activeWritingStyle w:appName="MSWord" w:lang="en-US" w:vendorID="64" w:dllVersion="131078" w:nlCheck="1" w:checkStyle="1"/>
  <w:activeWritingStyle w:appName="MSWord" w:lang="es-E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thritis Research Th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14B71"/>
    <w:rsid w:val="00002AC8"/>
    <w:rsid w:val="000044E9"/>
    <w:rsid w:val="00007E2C"/>
    <w:rsid w:val="0001590F"/>
    <w:rsid w:val="00016984"/>
    <w:rsid w:val="00032D12"/>
    <w:rsid w:val="00033E1B"/>
    <w:rsid w:val="00041C17"/>
    <w:rsid w:val="000909FE"/>
    <w:rsid w:val="000A7FF3"/>
    <w:rsid w:val="000B13C5"/>
    <w:rsid w:val="000B3CD7"/>
    <w:rsid w:val="000C2579"/>
    <w:rsid w:val="000D7ACB"/>
    <w:rsid w:val="000E0303"/>
    <w:rsid w:val="000E1CA6"/>
    <w:rsid w:val="000F44F0"/>
    <w:rsid w:val="000F6DB3"/>
    <w:rsid w:val="00105D08"/>
    <w:rsid w:val="00112604"/>
    <w:rsid w:val="0015099A"/>
    <w:rsid w:val="001522B4"/>
    <w:rsid w:val="00154888"/>
    <w:rsid w:val="00162F60"/>
    <w:rsid w:val="00163135"/>
    <w:rsid w:val="00166754"/>
    <w:rsid w:val="0017420A"/>
    <w:rsid w:val="00184117"/>
    <w:rsid w:val="0018590A"/>
    <w:rsid w:val="001A0190"/>
    <w:rsid w:val="001A5DA1"/>
    <w:rsid w:val="001C6AD5"/>
    <w:rsid w:val="001E25F5"/>
    <w:rsid w:val="001E4FC8"/>
    <w:rsid w:val="001E612E"/>
    <w:rsid w:val="0022584E"/>
    <w:rsid w:val="002440D4"/>
    <w:rsid w:val="00265D06"/>
    <w:rsid w:val="0027517B"/>
    <w:rsid w:val="00292171"/>
    <w:rsid w:val="002A6DDD"/>
    <w:rsid w:val="002B18B6"/>
    <w:rsid w:val="002C7F13"/>
    <w:rsid w:val="002D0F9A"/>
    <w:rsid w:val="002D5A47"/>
    <w:rsid w:val="002E0DAD"/>
    <w:rsid w:val="002E61D6"/>
    <w:rsid w:val="002E660E"/>
    <w:rsid w:val="002F2CD1"/>
    <w:rsid w:val="002F523C"/>
    <w:rsid w:val="003122D6"/>
    <w:rsid w:val="00343668"/>
    <w:rsid w:val="003503A1"/>
    <w:rsid w:val="00354CB3"/>
    <w:rsid w:val="003611EA"/>
    <w:rsid w:val="0038664B"/>
    <w:rsid w:val="00396B7A"/>
    <w:rsid w:val="003B1EEB"/>
    <w:rsid w:val="003E0E96"/>
    <w:rsid w:val="003F5ED2"/>
    <w:rsid w:val="00414B71"/>
    <w:rsid w:val="00415BE2"/>
    <w:rsid w:val="004201E7"/>
    <w:rsid w:val="00430F35"/>
    <w:rsid w:val="00434C52"/>
    <w:rsid w:val="00466662"/>
    <w:rsid w:val="00473AC2"/>
    <w:rsid w:val="00480E52"/>
    <w:rsid w:val="00483C1B"/>
    <w:rsid w:val="00484E39"/>
    <w:rsid w:val="004C52BA"/>
    <w:rsid w:val="004D1659"/>
    <w:rsid w:val="004D2538"/>
    <w:rsid w:val="004D362A"/>
    <w:rsid w:val="004E0D0B"/>
    <w:rsid w:val="00505E30"/>
    <w:rsid w:val="005072CB"/>
    <w:rsid w:val="00511409"/>
    <w:rsid w:val="00536ABC"/>
    <w:rsid w:val="005519A7"/>
    <w:rsid w:val="005549FF"/>
    <w:rsid w:val="005572DF"/>
    <w:rsid w:val="0056339F"/>
    <w:rsid w:val="0057194A"/>
    <w:rsid w:val="005742B7"/>
    <w:rsid w:val="005C2182"/>
    <w:rsid w:val="005C4F9A"/>
    <w:rsid w:val="005C75B3"/>
    <w:rsid w:val="005D0248"/>
    <w:rsid w:val="005D09DC"/>
    <w:rsid w:val="005D0A13"/>
    <w:rsid w:val="005D3DDC"/>
    <w:rsid w:val="005E65BC"/>
    <w:rsid w:val="005E6F34"/>
    <w:rsid w:val="005E7D17"/>
    <w:rsid w:val="005F2F02"/>
    <w:rsid w:val="005F46BF"/>
    <w:rsid w:val="00616417"/>
    <w:rsid w:val="00620F1D"/>
    <w:rsid w:val="00626D5B"/>
    <w:rsid w:val="00632704"/>
    <w:rsid w:val="00642E1B"/>
    <w:rsid w:val="00653824"/>
    <w:rsid w:val="006562E5"/>
    <w:rsid w:val="00657DC9"/>
    <w:rsid w:val="00681B63"/>
    <w:rsid w:val="006932A8"/>
    <w:rsid w:val="006A07F4"/>
    <w:rsid w:val="006B4083"/>
    <w:rsid w:val="006E79F6"/>
    <w:rsid w:val="006F1AA2"/>
    <w:rsid w:val="006F55FF"/>
    <w:rsid w:val="006F5B23"/>
    <w:rsid w:val="00701F37"/>
    <w:rsid w:val="007036D4"/>
    <w:rsid w:val="00735A37"/>
    <w:rsid w:val="00751DC5"/>
    <w:rsid w:val="007532AB"/>
    <w:rsid w:val="00762C59"/>
    <w:rsid w:val="007751B1"/>
    <w:rsid w:val="00782150"/>
    <w:rsid w:val="00782294"/>
    <w:rsid w:val="00782754"/>
    <w:rsid w:val="007845C8"/>
    <w:rsid w:val="00793FAF"/>
    <w:rsid w:val="00795269"/>
    <w:rsid w:val="007A1E5B"/>
    <w:rsid w:val="007A2732"/>
    <w:rsid w:val="007A482B"/>
    <w:rsid w:val="007C6DA2"/>
    <w:rsid w:val="007D2CF0"/>
    <w:rsid w:val="007D462D"/>
    <w:rsid w:val="007E74B4"/>
    <w:rsid w:val="007F1B89"/>
    <w:rsid w:val="0080131E"/>
    <w:rsid w:val="008015B5"/>
    <w:rsid w:val="00810094"/>
    <w:rsid w:val="00811115"/>
    <w:rsid w:val="00814CB6"/>
    <w:rsid w:val="00820B5F"/>
    <w:rsid w:val="00831374"/>
    <w:rsid w:val="00832F19"/>
    <w:rsid w:val="00844985"/>
    <w:rsid w:val="008677AB"/>
    <w:rsid w:val="00882D7D"/>
    <w:rsid w:val="00882DEF"/>
    <w:rsid w:val="00892B97"/>
    <w:rsid w:val="008944E9"/>
    <w:rsid w:val="00897CF8"/>
    <w:rsid w:val="008A13B4"/>
    <w:rsid w:val="008A7FD9"/>
    <w:rsid w:val="008B4E7A"/>
    <w:rsid w:val="008B5831"/>
    <w:rsid w:val="008C1A39"/>
    <w:rsid w:val="008D1065"/>
    <w:rsid w:val="008D304E"/>
    <w:rsid w:val="008E1C49"/>
    <w:rsid w:val="008E3B7A"/>
    <w:rsid w:val="008F20EA"/>
    <w:rsid w:val="00910813"/>
    <w:rsid w:val="009132AC"/>
    <w:rsid w:val="009232F4"/>
    <w:rsid w:val="00933A04"/>
    <w:rsid w:val="00936F48"/>
    <w:rsid w:val="00950AA1"/>
    <w:rsid w:val="0095431E"/>
    <w:rsid w:val="00970967"/>
    <w:rsid w:val="0097484B"/>
    <w:rsid w:val="00996647"/>
    <w:rsid w:val="009D119B"/>
    <w:rsid w:val="009D5EE2"/>
    <w:rsid w:val="009E4945"/>
    <w:rsid w:val="009E587B"/>
    <w:rsid w:val="009F2BC5"/>
    <w:rsid w:val="00A305A1"/>
    <w:rsid w:val="00A31258"/>
    <w:rsid w:val="00A354D0"/>
    <w:rsid w:val="00A35B63"/>
    <w:rsid w:val="00A467DD"/>
    <w:rsid w:val="00A47547"/>
    <w:rsid w:val="00A64200"/>
    <w:rsid w:val="00A659EB"/>
    <w:rsid w:val="00A663A4"/>
    <w:rsid w:val="00A67775"/>
    <w:rsid w:val="00A7220B"/>
    <w:rsid w:val="00A91612"/>
    <w:rsid w:val="00AA076A"/>
    <w:rsid w:val="00AA6631"/>
    <w:rsid w:val="00AA7F98"/>
    <w:rsid w:val="00AC0F45"/>
    <w:rsid w:val="00AD161B"/>
    <w:rsid w:val="00AE03CF"/>
    <w:rsid w:val="00AF10B7"/>
    <w:rsid w:val="00AF64BE"/>
    <w:rsid w:val="00B031D9"/>
    <w:rsid w:val="00B0480A"/>
    <w:rsid w:val="00B23400"/>
    <w:rsid w:val="00B36757"/>
    <w:rsid w:val="00B4219C"/>
    <w:rsid w:val="00B57042"/>
    <w:rsid w:val="00B63478"/>
    <w:rsid w:val="00B87B65"/>
    <w:rsid w:val="00B92344"/>
    <w:rsid w:val="00BA031A"/>
    <w:rsid w:val="00BA1CCB"/>
    <w:rsid w:val="00BC1A01"/>
    <w:rsid w:val="00BC2217"/>
    <w:rsid w:val="00BD16DA"/>
    <w:rsid w:val="00BD266B"/>
    <w:rsid w:val="00BD47A3"/>
    <w:rsid w:val="00BD6404"/>
    <w:rsid w:val="00C01833"/>
    <w:rsid w:val="00C03FD7"/>
    <w:rsid w:val="00C2632B"/>
    <w:rsid w:val="00C32B9F"/>
    <w:rsid w:val="00C37354"/>
    <w:rsid w:val="00C40630"/>
    <w:rsid w:val="00C41309"/>
    <w:rsid w:val="00C46470"/>
    <w:rsid w:val="00C600E7"/>
    <w:rsid w:val="00C654C1"/>
    <w:rsid w:val="00C66341"/>
    <w:rsid w:val="00C73D89"/>
    <w:rsid w:val="00C74E34"/>
    <w:rsid w:val="00C7573D"/>
    <w:rsid w:val="00C7682B"/>
    <w:rsid w:val="00C8344B"/>
    <w:rsid w:val="00C872D2"/>
    <w:rsid w:val="00C90462"/>
    <w:rsid w:val="00C97720"/>
    <w:rsid w:val="00CA0D85"/>
    <w:rsid w:val="00CB224D"/>
    <w:rsid w:val="00CC14C9"/>
    <w:rsid w:val="00CC19FC"/>
    <w:rsid w:val="00CC35B9"/>
    <w:rsid w:val="00CC54D7"/>
    <w:rsid w:val="00CC749F"/>
    <w:rsid w:val="00CE2708"/>
    <w:rsid w:val="00CE4E7B"/>
    <w:rsid w:val="00CF6DE2"/>
    <w:rsid w:val="00D07E2A"/>
    <w:rsid w:val="00D27F6E"/>
    <w:rsid w:val="00D42EEA"/>
    <w:rsid w:val="00D448FA"/>
    <w:rsid w:val="00D57D52"/>
    <w:rsid w:val="00D61C42"/>
    <w:rsid w:val="00D8337A"/>
    <w:rsid w:val="00D85269"/>
    <w:rsid w:val="00D93633"/>
    <w:rsid w:val="00DC15BE"/>
    <w:rsid w:val="00DC6359"/>
    <w:rsid w:val="00DD318D"/>
    <w:rsid w:val="00DD46DB"/>
    <w:rsid w:val="00DE456A"/>
    <w:rsid w:val="00DE4710"/>
    <w:rsid w:val="00DE6994"/>
    <w:rsid w:val="00DE7CCC"/>
    <w:rsid w:val="00DE7EE5"/>
    <w:rsid w:val="00DF6335"/>
    <w:rsid w:val="00DF67AC"/>
    <w:rsid w:val="00E04F65"/>
    <w:rsid w:val="00E07BBB"/>
    <w:rsid w:val="00E11293"/>
    <w:rsid w:val="00E12E49"/>
    <w:rsid w:val="00E13298"/>
    <w:rsid w:val="00E22F5B"/>
    <w:rsid w:val="00E41BD2"/>
    <w:rsid w:val="00E53269"/>
    <w:rsid w:val="00E62BC2"/>
    <w:rsid w:val="00E711FD"/>
    <w:rsid w:val="00E75D1B"/>
    <w:rsid w:val="00EA466D"/>
    <w:rsid w:val="00EC3499"/>
    <w:rsid w:val="00ED4EE9"/>
    <w:rsid w:val="00EE6700"/>
    <w:rsid w:val="00EE6DD2"/>
    <w:rsid w:val="00EF0F85"/>
    <w:rsid w:val="00F06836"/>
    <w:rsid w:val="00F072AC"/>
    <w:rsid w:val="00F22D10"/>
    <w:rsid w:val="00F24174"/>
    <w:rsid w:val="00F2481D"/>
    <w:rsid w:val="00F27058"/>
    <w:rsid w:val="00F531C7"/>
    <w:rsid w:val="00F75B00"/>
    <w:rsid w:val="00F87533"/>
    <w:rsid w:val="00F94BE4"/>
    <w:rsid w:val="00F973B8"/>
    <w:rsid w:val="00FA2FE5"/>
    <w:rsid w:val="00FA7A70"/>
    <w:rsid w:val="00FB60B4"/>
    <w:rsid w:val="00FC04D1"/>
    <w:rsid w:val="00FC2D76"/>
    <w:rsid w:val="00FE1EBD"/>
    <w:rsid w:val="00FE3525"/>
    <w:rsid w:val="00FF1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734F9"/>
  <w15:chartTrackingRefBased/>
  <w15:docId w15:val="{31ACEE9F-0C09-4FC8-8959-B5FDF97D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B71"/>
    <w:pPr>
      <w:spacing w:after="200" w:line="276" w:lineRule="auto"/>
    </w:pPr>
    <w:rPr>
      <w:rFonts w:eastAsiaTheme="minorEastAsia"/>
    </w:rPr>
  </w:style>
  <w:style w:type="paragraph" w:styleId="Heading2">
    <w:name w:val="heading 2"/>
    <w:basedOn w:val="Normal"/>
    <w:link w:val="Heading2Char"/>
    <w:uiPriority w:val="9"/>
    <w:qFormat/>
    <w:rsid w:val="00F06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14B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B71"/>
    <w:rPr>
      <w:rFonts w:eastAsiaTheme="minorEastAsia"/>
    </w:rPr>
  </w:style>
  <w:style w:type="table" w:styleId="TableGrid">
    <w:name w:val="Table Grid"/>
    <w:basedOn w:val="TableNormal"/>
    <w:uiPriority w:val="59"/>
    <w:rsid w:val="00414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0683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0683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6836"/>
    <w:rPr>
      <w:color w:val="0000FF"/>
      <w:u w:val="single"/>
    </w:rPr>
  </w:style>
  <w:style w:type="character" w:customStyle="1" w:styleId="mw-headline">
    <w:name w:val="mw-headline"/>
    <w:basedOn w:val="DefaultParagraphFont"/>
    <w:rsid w:val="00F06836"/>
  </w:style>
  <w:style w:type="character" w:styleId="Strong">
    <w:name w:val="Strong"/>
    <w:basedOn w:val="DefaultParagraphFont"/>
    <w:uiPriority w:val="22"/>
    <w:qFormat/>
    <w:rsid w:val="00DC6359"/>
    <w:rPr>
      <w:b/>
      <w:bCs/>
    </w:rPr>
  </w:style>
  <w:style w:type="paragraph" w:styleId="BalloonText">
    <w:name w:val="Balloon Text"/>
    <w:basedOn w:val="Normal"/>
    <w:link w:val="BalloonTextChar"/>
    <w:uiPriority w:val="99"/>
    <w:semiHidden/>
    <w:unhideWhenUsed/>
    <w:rsid w:val="000169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984"/>
    <w:rPr>
      <w:rFonts w:ascii="Segoe UI" w:eastAsiaTheme="minorEastAsia" w:hAnsi="Segoe UI" w:cs="Segoe UI"/>
      <w:sz w:val="18"/>
      <w:szCs w:val="18"/>
    </w:rPr>
  </w:style>
  <w:style w:type="paragraph" w:styleId="Revision">
    <w:name w:val="Revision"/>
    <w:hidden/>
    <w:uiPriority w:val="99"/>
    <w:semiHidden/>
    <w:rsid w:val="00C46470"/>
    <w:pPr>
      <w:spacing w:after="0" w:line="240" w:lineRule="auto"/>
    </w:pPr>
    <w:rPr>
      <w:rFonts w:eastAsiaTheme="minorEastAsia"/>
    </w:rPr>
  </w:style>
  <w:style w:type="character" w:styleId="CommentReference">
    <w:name w:val="annotation reference"/>
    <w:basedOn w:val="DefaultParagraphFont"/>
    <w:uiPriority w:val="99"/>
    <w:semiHidden/>
    <w:rsid w:val="001A5DA1"/>
    <w:rPr>
      <w:rFonts w:cs="Times New Roman"/>
      <w:sz w:val="18"/>
    </w:rPr>
  </w:style>
  <w:style w:type="paragraph" w:styleId="CommentText">
    <w:name w:val="annotation text"/>
    <w:basedOn w:val="Normal"/>
    <w:link w:val="CommentTextChar"/>
    <w:rsid w:val="001A5DA1"/>
    <w:pPr>
      <w:spacing w:after="0"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rsid w:val="001A5DA1"/>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36F48"/>
    <w:pPr>
      <w:spacing w:after="200"/>
    </w:pPr>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sid w:val="00936F48"/>
    <w:rPr>
      <w:rFonts w:ascii="Times New Roman" w:eastAsiaTheme="minorEastAsia" w:hAnsi="Times New Roman" w:cs="Times New Roman"/>
      <w:b/>
      <w:bCs/>
      <w:sz w:val="20"/>
      <w:szCs w:val="20"/>
    </w:rPr>
  </w:style>
  <w:style w:type="paragraph" w:styleId="Header">
    <w:name w:val="header"/>
    <w:basedOn w:val="Normal"/>
    <w:link w:val="HeaderChar"/>
    <w:uiPriority w:val="99"/>
    <w:unhideWhenUsed/>
    <w:rsid w:val="00CF6D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DE2"/>
    <w:rPr>
      <w:rFonts w:eastAsiaTheme="minorEastAsia"/>
    </w:rPr>
  </w:style>
  <w:style w:type="paragraph" w:styleId="BodyText">
    <w:name w:val="Body Text"/>
    <w:basedOn w:val="Normal"/>
    <w:link w:val="BodyTextChar"/>
    <w:unhideWhenUsed/>
    <w:rsid w:val="00C01833"/>
    <w:pPr>
      <w:spacing w:after="0" w:line="240" w:lineRule="auto"/>
      <w:jc w:val="both"/>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C01833"/>
    <w:rPr>
      <w:rFonts w:ascii="Times New Roman" w:eastAsia="Times New Roman" w:hAnsi="Times New Roman" w:cs="Times New Roman"/>
      <w:sz w:val="28"/>
      <w:szCs w:val="20"/>
    </w:rPr>
  </w:style>
  <w:style w:type="paragraph" w:customStyle="1" w:styleId="EndNoteBibliographyTitle">
    <w:name w:val="EndNote Bibliography Title"/>
    <w:basedOn w:val="Normal"/>
    <w:link w:val="EndNoteBibliographyTitleChar"/>
    <w:rsid w:val="000F44F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F44F0"/>
    <w:rPr>
      <w:rFonts w:ascii="Calibri" w:eastAsiaTheme="minorEastAsia" w:hAnsi="Calibri" w:cs="Calibri"/>
      <w:noProof/>
    </w:rPr>
  </w:style>
  <w:style w:type="paragraph" w:customStyle="1" w:styleId="EndNoteBibliography">
    <w:name w:val="EndNote Bibliography"/>
    <w:basedOn w:val="Normal"/>
    <w:link w:val="EndNoteBibliographyChar"/>
    <w:rsid w:val="000F44F0"/>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0F44F0"/>
    <w:rPr>
      <w:rFonts w:ascii="Calibri" w:eastAsiaTheme="minorEastAsia"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58192">
      <w:bodyDiv w:val="1"/>
      <w:marLeft w:val="0"/>
      <w:marRight w:val="0"/>
      <w:marTop w:val="0"/>
      <w:marBottom w:val="0"/>
      <w:divBdr>
        <w:top w:val="none" w:sz="0" w:space="0" w:color="auto"/>
        <w:left w:val="none" w:sz="0" w:space="0" w:color="auto"/>
        <w:bottom w:val="none" w:sz="0" w:space="0" w:color="auto"/>
        <w:right w:val="none" w:sz="0" w:space="0" w:color="auto"/>
      </w:divBdr>
    </w:div>
    <w:div w:id="505511158">
      <w:bodyDiv w:val="1"/>
      <w:marLeft w:val="0"/>
      <w:marRight w:val="0"/>
      <w:marTop w:val="0"/>
      <w:marBottom w:val="0"/>
      <w:divBdr>
        <w:top w:val="none" w:sz="0" w:space="0" w:color="auto"/>
        <w:left w:val="none" w:sz="0" w:space="0" w:color="auto"/>
        <w:bottom w:val="none" w:sz="0" w:space="0" w:color="auto"/>
        <w:right w:val="none" w:sz="0" w:space="0" w:color="auto"/>
      </w:divBdr>
    </w:div>
    <w:div w:id="864514168">
      <w:bodyDiv w:val="1"/>
      <w:marLeft w:val="0"/>
      <w:marRight w:val="0"/>
      <w:marTop w:val="0"/>
      <w:marBottom w:val="0"/>
      <w:divBdr>
        <w:top w:val="none" w:sz="0" w:space="0" w:color="auto"/>
        <w:left w:val="none" w:sz="0" w:space="0" w:color="auto"/>
        <w:bottom w:val="none" w:sz="0" w:space="0" w:color="auto"/>
        <w:right w:val="none" w:sz="0" w:space="0" w:color="auto"/>
      </w:divBdr>
    </w:div>
    <w:div w:id="1322276142">
      <w:bodyDiv w:val="1"/>
      <w:marLeft w:val="0"/>
      <w:marRight w:val="0"/>
      <w:marTop w:val="0"/>
      <w:marBottom w:val="0"/>
      <w:divBdr>
        <w:top w:val="none" w:sz="0" w:space="0" w:color="auto"/>
        <w:left w:val="none" w:sz="0" w:space="0" w:color="auto"/>
        <w:bottom w:val="none" w:sz="0" w:space="0" w:color="auto"/>
        <w:right w:val="none" w:sz="0" w:space="0" w:color="auto"/>
      </w:divBdr>
    </w:div>
    <w:div w:id="140044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lara_longobardi@med.unc.edu"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98B2C61F4CAA429E24FA24580B6C6D" ma:contentTypeVersion="14" ma:contentTypeDescription="Create a new document." ma:contentTypeScope="" ma:versionID="1d6d2ebd0cb6336b49cdb9621e6ff6cd">
  <xsd:schema xmlns:xsd="http://www.w3.org/2001/XMLSchema" xmlns:xs="http://www.w3.org/2001/XMLSchema" xmlns:p="http://schemas.microsoft.com/office/2006/metadata/properties" xmlns:ns3="1ec8c5ab-6ea7-455a-99bb-bad7068bcc06" xmlns:ns4="ab2d28dd-6b2b-4726-b2c2-edc4d3419a58" targetNamespace="http://schemas.microsoft.com/office/2006/metadata/properties" ma:root="true" ma:fieldsID="3496567be2c43bae5ec63a988f7121a2" ns3:_="" ns4:_="">
    <xsd:import namespace="1ec8c5ab-6ea7-455a-99bb-bad7068bcc06"/>
    <xsd:import namespace="ab2d28dd-6b2b-4726-b2c2-edc4d3419a5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8c5ab-6ea7-455a-99bb-bad7068bcc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2d28dd-6b2b-4726-b2c2-edc4d3419a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8BF07-715D-4CB4-8450-A6DEB34A1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8c5ab-6ea7-455a-99bb-bad7068bcc06"/>
    <ds:schemaRef ds:uri="ab2d28dd-6b2b-4726-b2c2-edc4d3419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E3D46-0A44-4EF3-94F6-E5149149F3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D161D0-8EA6-4F84-A71F-5CEB2CE6B74A}">
  <ds:schemaRefs>
    <ds:schemaRef ds:uri="http://schemas.microsoft.com/sharepoint/v3/contenttype/forms"/>
  </ds:schemaRefs>
</ds:datastoreItem>
</file>

<file path=customXml/itemProps4.xml><?xml version="1.0" encoding="utf-8"?>
<ds:datastoreItem xmlns:ds="http://schemas.openxmlformats.org/officeDocument/2006/customXml" ds:itemID="{C2615A75-6347-4D7D-91DC-14AAA1A98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Spagnoli, Anna</dc:creator>
  <cp:keywords/>
  <dc:description/>
  <cp:lastModifiedBy>Longobardi, Lara</cp:lastModifiedBy>
  <cp:revision>2</cp:revision>
  <cp:lastPrinted>2022-05-13T17:10:00Z</cp:lastPrinted>
  <dcterms:created xsi:type="dcterms:W3CDTF">2022-05-18T20:15:00Z</dcterms:created>
  <dcterms:modified xsi:type="dcterms:W3CDTF">2022-05-18T20:15:00Z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0x0101008F98B2C61F4CAA429E24FA24580B6C6D</vt:lpwstr>
  </property>
</Properties>
</file>